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MjYzYTY3NjEwZTIwNGM1ZjBlZGU5MDFlY2M2MWEifQ==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D47088A"/>
    <w:rsid w:val="0E3A6EE7"/>
    <w:rsid w:val="13BF7656"/>
    <w:rsid w:val="14B13ACB"/>
    <w:rsid w:val="173A3BFE"/>
    <w:rsid w:val="19901176"/>
    <w:rsid w:val="19BB59DE"/>
    <w:rsid w:val="1B3A75C2"/>
    <w:rsid w:val="1DF02E8F"/>
    <w:rsid w:val="1DF3321A"/>
    <w:rsid w:val="1E5C6613"/>
    <w:rsid w:val="1E6C2189"/>
    <w:rsid w:val="1EB27601"/>
    <w:rsid w:val="1EFE53B8"/>
    <w:rsid w:val="261B7CE4"/>
    <w:rsid w:val="282B3BEB"/>
    <w:rsid w:val="29174BED"/>
    <w:rsid w:val="2BF63E4E"/>
    <w:rsid w:val="2CF743DB"/>
    <w:rsid w:val="2F906DBC"/>
    <w:rsid w:val="329A236A"/>
    <w:rsid w:val="33684523"/>
    <w:rsid w:val="33F434C4"/>
    <w:rsid w:val="3400212E"/>
    <w:rsid w:val="366E5E25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5AC226A1"/>
    <w:rsid w:val="5D99194B"/>
    <w:rsid w:val="62484EE3"/>
    <w:rsid w:val="62AE5BAE"/>
    <w:rsid w:val="64842F20"/>
    <w:rsid w:val="682B72A6"/>
    <w:rsid w:val="684569A7"/>
    <w:rsid w:val="68A0550D"/>
    <w:rsid w:val="6AEC16F6"/>
    <w:rsid w:val="6CCE0EE6"/>
    <w:rsid w:val="736C596A"/>
    <w:rsid w:val="73E24641"/>
    <w:rsid w:val="75751701"/>
    <w:rsid w:val="77FA61CB"/>
    <w:rsid w:val="782E418A"/>
    <w:rsid w:val="78536B97"/>
    <w:rsid w:val="7A49278D"/>
    <w:rsid w:val="7E0D4213"/>
    <w:rsid w:val="7E1B6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15AB1-D0FF-4A2F-BB3B-BD90B85DC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827</Words>
  <Characters>4716</Characters>
  <Lines>39</Lines>
  <Paragraphs>11</Paragraphs>
  <TotalTime>232</TotalTime>
  <ScaleCrop>false</ScaleCrop>
  <LinksUpToDate>false</LinksUpToDate>
  <CharactersWithSpaces>5532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黄凤娇</cp:lastModifiedBy>
  <cp:lastPrinted>2022-03-22T00:48:00Z</cp:lastPrinted>
  <dcterms:modified xsi:type="dcterms:W3CDTF">2023-09-27T02:20:26Z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D5D3D3856DA549258079B5A4844A83B3_13</vt:lpwstr>
  </property>
</Properties>
</file>