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atLeast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五通桥区2016年网格化体系建设项目</w:t>
      </w:r>
    </w:p>
    <w:p>
      <w:pPr>
        <w:snapToGrid w:val="0"/>
        <w:spacing w:line="600" w:lineRule="atLeast"/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w:t>绩效评价报告</w:t>
      </w:r>
    </w:p>
    <w:p>
      <w:pPr>
        <w:pStyle w:val="6"/>
        <w:numPr>
          <w:ilvl w:val="0"/>
          <w:numId w:val="0"/>
        </w:numPr>
        <w:ind w:firstLine="964" w:firstLineChars="300"/>
        <w:rPr>
          <w:b/>
        </w:rPr>
      </w:pPr>
    </w:p>
    <w:p>
      <w:pPr>
        <w:ind w:firstLine="645"/>
        <w:rPr>
          <w:rFonts w:hint="eastAsia"/>
          <w:b/>
          <w:lang w:val="zh-CN"/>
        </w:rPr>
      </w:pPr>
      <w:r>
        <w:rPr>
          <w:rFonts w:hint="eastAsia"/>
          <w:b/>
          <w:lang w:val="zh-CN"/>
        </w:rPr>
        <w:t xml:space="preserve">一、项目基本情况 </w:t>
      </w:r>
    </w:p>
    <w:p>
      <w:pPr>
        <w:pStyle w:val="6"/>
        <w:numPr>
          <w:ilvl w:val="0"/>
          <w:numId w:val="0"/>
        </w:numPr>
        <w:ind w:firstLine="640" w:firstLineChars="200"/>
        <w:rPr>
          <w:rFonts w:ascii="仿宋_GB2312" w:eastAsia="仿宋_GB2312"/>
        </w:rPr>
      </w:pPr>
      <w:r>
        <w:rPr>
          <w:rFonts w:hint="eastAsia" w:ascii="仿宋_GB2312" w:eastAsia="仿宋_GB2312"/>
          <w:szCs w:val="32"/>
        </w:rPr>
        <w:t>20</w:t>
      </w:r>
      <w:r>
        <w:rPr>
          <w:rFonts w:hint="eastAsia" w:ascii="仿宋_GB2312" w:eastAsia="仿宋_GB2312"/>
        </w:rPr>
        <w:t>16年</w:t>
      </w:r>
      <w:r>
        <w:rPr>
          <w:rFonts w:eastAsia="仿宋_GB2312"/>
          <w:szCs w:val="32"/>
        </w:rPr>
        <w:t>按照省、市创新社会管理方式，深入推进网格化服务管理工作实施意见的要求，</w:t>
      </w:r>
      <w:r>
        <w:rPr>
          <w:rFonts w:hint="eastAsia" w:eastAsia="仿宋_GB2312"/>
          <w:szCs w:val="32"/>
        </w:rPr>
        <w:t>五通桥区惠民帮扶中心</w:t>
      </w:r>
      <w:r>
        <w:rPr>
          <w:rFonts w:hint="eastAsia" w:ascii="仿宋_GB2312" w:eastAsia="仿宋_GB2312"/>
        </w:rPr>
        <w:t>依托四川省网格化服务管理信息系统平台，</w:t>
      </w:r>
      <w:r>
        <w:rPr>
          <w:rFonts w:eastAsia="仿宋_GB2312"/>
          <w:szCs w:val="32"/>
        </w:rPr>
        <w:t>进一步推进网格化服务管理工作，重点是加强农村网格服务管理工作及“三项”重点工作的开展</w:t>
      </w:r>
      <w:r>
        <w:rPr>
          <w:rFonts w:hint="eastAsia" w:eastAsia="仿宋_GB2312"/>
          <w:szCs w:val="32"/>
        </w:rPr>
        <w:t>、</w:t>
      </w:r>
      <w:r>
        <w:rPr>
          <w:rFonts w:hint="eastAsia" w:ascii="仿宋_GB2312" w:eastAsia="仿宋_GB2312"/>
        </w:rPr>
        <w:t>实施网格化服务管理，精细化、流程化、高效化、常态化做好群众工作，进一步密切党群干群关系，促进社会和谐稳定，推进全区优化发展、领先发展，为建成小康社会奠定坚实的群众基础和工作基础。</w:t>
      </w:r>
    </w:p>
    <w:p>
      <w:pPr>
        <w:ind w:firstLine="645"/>
        <w:rPr>
          <w:b/>
          <w:lang w:val="zh-CN"/>
        </w:rPr>
      </w:pPr>
      <w:r>
        <w:rPr>
          <w:rFonts w:hint="eastAsia"/>
          <w:b/>
          <w:lang w:val="zh-CN"/>
        </w:rPr>
        <w:t xml:space="preserve">二、评价工作开展情况 </w:t>
      </w:r>
    </w:p>
    <w:p>
      <w:pPr>
        <w:ind w:firstLine="645"/>
        <w:rPr>
          <w:rFonts w:hAnsi="Calibri"/>
          <w:szCs w:val="21"/>
          <w:lang w:val="zh-CN"/>
        </w:rPr>
      </w:pPr>
      <w:r>
        <w:rPr>
          <w:rFonts w:hint="eastAsia"/>
          <w:b/>
          <w:lang w:val="zh-CN"/>
        </w:rPr>
        <w:t>（一）</w:t>
      </w:r>
      <w:r>
        <w:rPr>
          <w:rFonts w:hint="eastAsia" w:ascii="楷体_GB2312" w:eastAsia="楷体_GB2312"/>
          <w:b/>
        </w:rPr>
        <w:t>现场评价抽样选点情况</w:t>
      </w:r>
      <w:r>
        <w:rPr>
          <w:rFonts w:hint="eastAsia"/>
          <w:b/>
          <w:lang w:val="zh-CN"/>
        </w:rPr>
        <w:t xml:space="preserve"> </w:t>
      </w:r>
      <w:r>
        <w:rPr>
          <w:rFonts w:hint="eastAsia" w:hAnsi="Calibri"/>
          <w:szCs w:val="21"/>
          <w:lang w:val="zh-CN"/>
        </w:rPr>
        <w:t>2017年8月，我股室在和惠民中心沟通、协调后，通过先自评，报资料、最后到现场进行资料抽查和满意度调查问卷的方式，对该项目进行了绩效评价。</w:t>
      </w:r>
    </w:p>
    <w:p>
      <w:pPr>
        <w:spacing w:line="600" w:lineRule="exact"/>
        <w:ind w:firstLine="640" w:firstLineChars="200"/>
        <w:rPr>
          <w:rFonts w:hAnsi="Calibri"/>
          <w:szCs w:val="21"/>
          <w:lang w:val="zh-CN"/>
        </w:rPr>
      </w:pPr>
      <w:r>
        <w:rPr>
          <w:rFonts w:hint="eastAsia"/>
          <w:lang w:val="zh-CN"/>
        </w:rPr>
        <w:t>（二）</w:t>
      </w:r>
      <w:r>
        <w:rPr>
          <w:rFonts w:hint="eastAsia" w:ascii="楷体_GB2312" w:eastAsia="楷体_GB2312"/>
          <w:b/>
        </w:rPr>
        <w:t xml:space="preserve">项目总体评价  </w:t>
      </w:r>
      <w:r>
        <w:rPr>
          <w:rFonts w:hint="eastAsia" w:hAnsi="Calibri"/>
          <w:szCs w:val="21"/>
          <w:lang w:val="zh-CN"/>
        </w:rPr>
        <w:t>该中心严格执行项目资金专项使用管理及时完成财务处理，做到收支核算准确，凭证齐全，合法有效，规范。该项目总体得分95分。</w:t>
      </w:r>
    </w:p>
    <w:p>
      <w:pPr>
        <w:snapToGrid w:val="0"/>
        <w:spacing w:line="600" w:lineRule="atLeast"/>
        <w:ind w:firstLine="640" w:firstLineChars="200"/>
        <w:rPr>
          <w:rFonts w:ascii="Times New Roman" w:eastAsia="黑体"/>
        </w:rPr>
      </w:pPr>
      <w:r>
        <w:rPr>
          <w:rFonts w:hint="eastAsia" w:ascii="Times New Roman" w:eastAsia="黑体"/>
        </w:rPr>
        <w:t>三、项目实施情况</w:t>
      </w:r>
    </w:p>
    <w:p>
      <w:pPr>
        <w:pStyle w:val="6"/>
        <w:numPr>
          <w:ilvl w:val="0"/>
          <w:numId w:val="0"/>
        </w:numPr>
        <w:ind w:firstLine="800" w:firstLineChars="250"/>
        <w:rPr>
          <w:rFonts w:ascii="仿宋_GB2312" w:eastAsia="仿宋_GB2312"/>
        </w:rPr>
      </w:pPr>
      <w:r>
        <w:rPr>
          <w:rFonts w:hint="eastAsia" w:ascii="仿宋_GB2312" w:eastAsia="仿宋_GB2312"/>
        </w:rPr>
        <w:t>年初预算125.52万元，因全面实施农村网格化服务管理、细化并增加社区网格，报区政府批准调整预算增加22.8487万元，合计2016年全年预算148.3687万元。</w:t>
      </w:r>
    </w:p>
    <w:p>
      <w:pPr>
        <w:pStyle w:val="7"/>
        <w:ind w:left="0" w:firstLine="640" w:firstLineChars="200"/>
        <w:rPr>
          <w:szCs w:val="21"/>
          <w:lang w:val="zh-CN"/>
        </w:rPr>
      </w:pPr>
      <w:r>
        <w:rPr>
          <w:rFonts w:hint="eastAsia" w:ascii="楷体_GB2312" w:eastAsia="楷体_GB2312"/>
          <w:szCs w:val="21"/>
          <w:lang w:val="zh-CN"/>
        </w:rPr>
        <w:t>（一）资金计划及到位。</w:t>
      </w:r>
      <w:r>
        <w:rPr>
          <w:rFonts w:hint="eastAsia"/>
          <w:szCs w:val="21"/>
          <w:lang w:val="zh-CN"/>
        </w:rPr>
        <w:t>截止2017年6月，该项目资金实际共到位资金143.85577万元，到位率96.96%。未到位资金原因是项目资金支出大部</w:t>
      </w:r>
      <w:bookmarkStart w:id="0" w:name="_GoBack"/>
      <w:bookmarkEnd w:id="0"/>
      <w:r>
        <w:rPr>
          <w:rFonts w:hint="eastAsia"/>
          <w:szCs w:val="21"/>
          <w:lang w:val="en-US" w:eastAsia="zh-CN"/>
        </w:rPr>
        <w:t>分</w:t>
      </w:r>
      <w:r>
        <w:rPr>
          <w:rFonts w:hint="eastAsia"/>
          <w:szCs w:val="21"/>
          <w:lang w:val="zh-CN"/>
        </w:rPr>
        <w:t>是按实结算的，节约经费支出4.51293万元。其中镇乡工作经费节约资金6.05万元；网格员工作补助及绩效节约0.31273万元；手机及信息平台运行费超支1.8498万元。</w:t>
      </w:r>
    </w:p>
    <w:p>
      <w:pPr>
        <w:pStyle w:val="7"/>
        <w:ind w:left="142" w:firstLine="592" w:firstLineChars="185"/>
        <w:rPr>
          <w:szCs w:val="21"/>
          <w:lang w:val="zh-CN"/>
        </w:rPr>
      </w:pPr>
      <w:r>
        <w:rPr>
          <w:rFonts w:hint="eastAsia" w:ascii="楷体_GB2312" w:eastAsia="楷体_GB2312" w:hAnsiTheme="minorHAnsi"/>
        </w:rPr>
        <w:t>（二）资金使用。</w:t>
      </w:r>
      <w:r>
        <w:rPr>
          <w:rFonts w:hint="eastAsia"/>
          <w:szCs w:val="21"/>
          <w:lang w:val="zh-CN"/>
        </w:rPr>
        <w:t>共支出项目经费143.42061万元。一网格员工作补助及绩效奖励92.04万元；二是网格员手机及网格化服务管理平台运行费26.38221万元，三是镇乡网格化管理工作经费15.95万元，四是网格员意外保险费2.49万元，五是优秀网格员及先进社区工作站表扬经费1.45万元，六是区网格监管中心办公经费5.1084万元。</w:t>
      </w:r>
    </w:p>
    <w:p>
      <w:pPr>
        <w:snapToGrid w:val="0"/>
        <w:spacing w:line="600" w:lineRule="atLeast"/>
        <w:ind w:firstLine="640" w:firstLineChars="200"/>
        <w:rPr>
          <w:rFonts w:ascii="Times New Roman" w:eastAsia="黑体"/>
        </w:rPr>
      </w:pPr>
      <w:r>
        <w:rPr>
          <w:rFonts w:hint="eastAsia" w:ascii="Times New Roman" w:eastAsia="黑体"/>
        </w:rPr>
        <w:t>四、项目绩效情</w:t>
      </w:r>
    </w:p>
    <w:p>
      <w:pPr>
        <w:pStyle w:val="7"/>
        <w:ind w:left="735" w:firstLine="0"/>
        <w:rPr>
          <w:rFonts w:hint="eastAsia" w:ascii="楷体_GB2312" w:eastAsia="楷体_GB2312" w:hAnsiTheme="minorHAnsi"/>
        </w:rPr>
      </w:pPr>
      <w:r>
        <w:rPr>
          <w:rFonts w:hint="eastAsia" w:ascii="楷体_GB2312" w:eastAsia="楷体_GB2312" w:hAnsiTheme="minorHAnsi"/>
        </w:rPr>
        <w:t>(一)目标完成</w:t>
      </w:r>
    </w:p>
    <w:p>
      <w:pPr>
        <w:pStyle w:val="6"/>
        <w:numPr>
          <w:ilvl w:val="0"/>
          <w:numId w:val="0"/>
        </w:numPr>
        <w:ind w:firstLine="960" w:firstLineChars="300"/>
        <w:rPr>
          <w:rFonts w:ascii="仿宋_GB2312" w:eastAsia="仿宋_GB2312"/>
        </w:rPr>
      </w:pPr>
      <w:r>
        <w:rPr>
          <w:rFonts w:hint="eastAsia" w:ascii="仿宋_GB2312" w:eastAsia="仿宋_GB2312"/>
        </w:rPr>
        <w:t>2016</w:t>
      </w:r>
      <w:r>
        <w:rPr>
          <w:rFonts w:hint="eastAsia"/>
        </w:rPr>
        <w:t>年网格员基本上做到了尽心尽责，坚持每天走访，及时收集上</w:t>
      </w:r>
      <w:r>
        <w:rPr>
          <w:rFonts w:hint="eastAsia" w:ascii="仿宋_GB2312" w:eastAsia="仿宋_GB2312"/>
        </w:rPr>
        <w:t>报民情民意、落实公共服务、发现治安隐患等等，切实做到“社情全摸清、矛盾全掌握、服务全方位”，解决群众所盼、所想、所愿之事，把服务送到群众身边，主动帮助群众排忧解难，提高群众幸福指数。截至2016年12月30日，全区共新增办理民生事项事件6319件，遇到群众关注度高的重点、难点民生事项，形成网格专报2期，及时上报区级领导解决，群众满意度高。并且利用网格化服务管理体系配合区综治办做好了“三项重点工作”，截至2016年12月底，网格员已宣传核查上报流动人员3121人；发现治安隐患点2个；推送特殊人群实时动向信息33119人次（发现异常情况447人次）。其中吸毒人员信息10355人次（发现异常情况239人次）、重症精神病人员信息11904人次（发现异常情况67人次）、社区矫正人员信息1441人次（发现异常情况30人次）、刑释人员信息8921人次（发现异常情况111人次）。这为相关职能部门提供了准确的人员信息，为社会综合治理和维稳工作奠定了基础。</w:t>
      </w:r>
    </w:p>
    <w:p>
      <w:pPr>
        <w:pStyle w:val="7"/>
        <w:ind w:left="735" w:firstLine="0"/>
        <w:rPr>
          <w:rFonts w:ascii="楷体_GB2312" w:eastAsia="楷体_GB2312" w:hAnsiTheme="minorHAnsi"/>
        </w:rPr>
      </w:pPr>
      <w:r>
        <w:rPr>
          <w:rFonts w:hint="eastAsia" w:ascii="楷体_GB2312" w:eastAsia="楷体_GB2312" w:hAnsiTheme="minorHAnsi"/>
        </w:rPr>
        <w:t>（二）项目效果</w:t>
      </w:r>
    </w:p>
    <w:p>
      <w:pPr>
        <w:pStyle w:val="6"/>
        <w:numPr>
          <w:ilvl w:val="0"/>
          <w:numId w:val="0"/>
        </w:numPr>
        <w:ind w:firstLine="800" w:firstLineChars="250"/>
        <w:rPr>
          <w:rFonts w:ascii="仿宋_GB2312" w:eastAsia="仿宋_GB2312"/>
        </w:rPr>
      </w:pPr>
      <w:r>
        <w:rPr>
          <w:rFonts w:hint="eastAsia" w:ascii="仿宋_GB2312" w:eastAsia="仿宋_GB2312"/>
        </w:rPr>
        <w:t>区网格监管中心于2014年6月起运行，目前100名社区网格员和149名农村网格员已全部上岗，24个部门、12个镇乡及36个“基层3所”、22个社区网格化服务信息系统平台全面开通，实现了我区网格化服务管理体系全覆盖，初步建成了区、镇（乡）、社区（村）、网格员的四级网格体系。</w:t>
      </w:r>
    </w:p>
    <w:p>
      <w:pPr>
        <w:snapToGrid w:val="0"/>
        <w:spacing w:line="600" w:lineRule="atLeast"/>
        <w:ind w:firstLine="640" w:firstLineChars="200"/>
        <w:rPr>
          <w:rFonts w:ascii="Times New Roman" w:eastAsia="黑体"/>
        </w:rPr>
      </w:pPr>
      <w:r>
        <w:rPr>
          <w:rFonts w:hint="eastAsia" w:ascii="Times New Roman" w:eastAsia="黑体"/>
        </w:rPr>
        <w:t>五、存在的问题</w:t>
      </w:r>
    </w:p>
    <w:p>
      <w:pPr>
        <w:ind w:firstLine="645"/>
        <w:rPr>
          <w:lang w:val="zh-CN"/>
        </w:rPr>
      </w:pPr>
      <w:r>
        <w:rPr>
          <w:rFonts w:hint="eastAsia"/>
          <w:lang w:val="zh-CN"/>
        </w:rPr>
        <w:t>（一）、没有最大限度的发挥网格员的作用。</w:t>
      </w:r>
    </w:p>
    <w:p>
      <w:pPr>
        <w:ind w:firstLine="645"/>
        <w:rPr>
          <w:lang w:val="zh-CN"/>
        </w:rPr>
      </w:pPr>
      <w:r>
        <w:rPr>
          <w:rFonts w:hint="eastAsia"/>
          <w:lang w:val="zh-CN"/>
        </w:rPr>
        <w:t>（二）、财政资金在网格员身上出现了叠加现象，略显浪费。</w:t>
      </w:r>
    </w:p>
    <w:p>
      <w:pPr>
        <w:snapToGrid w:val="0"/>
        <w:spacing w:line="600" w:lineRule="atLeast"/>
        <w:ind w:firstLine="640" w:firstLineChars="200"/>
        <w:rPr>
          <w:rFonts w:ascii="Times New Roman" w:eastAsia="黑体"/>
        </w:rPr>
      </w:pPr>
      <w:r>
        <w:rPr>
          <w:rFonts w:hint="eastAsia" w:ascii="Times New Roman" w:eastAsia="黑体"/>
        </w:rPr>
        <w:t>六、相关建议</w:t>
      </w:r>
    </w:p>
    <w:p>
      <w:pPr>
        <w:ind w:firstLine="645"/>
        <w:rPr>
          <w:lang w:val="zh-CN"/>
        </w:rPr>
      </w:pPr>
      <w:r>
        <w:rPr>
          <w:rFonts w:hint="eastAsia"/>
          <w:lang w:val="zh-CN"/>
        </w:rPr>
        <w:t>（一）、针对部分网格员身上出现的职能叠加现象，可不可以和其他部门沟通、协调。实现资源共享，把网格员的效用发挥到最大化。</w:t>
      </w:r>
    </w:p>
    <w:p>
      <w:pPr>
        <w:ind w:firstLine="645"/>
        <w:rPr>
          <w:lang w:val="zh-CN"/>
        </w:rPr>
      </w:pPr>
      <w:r>
        <w:rPr>
          <w:rFonts w:hint="eastAsia"/>
          <w:lang w:val="zh-CN"/>
        </w:rPr>
        <w:t>（二）、在已经基本网格化全覆盖的情况下，进行细分，使工作做得更深、更彻底。</w:t>
      </w:r>
    </w:p>
    <w:p>
      <w:pPr>
        <w:pStyle w:val="7"/>
        <w:ind w:left="0" w:firstLine="800" w:firstLineChars="250"/>
      </w:pPr>
    </w:p>
    <w:p>
      <w:pPr>
        <w:snapToGrid w:val="0"/>
        <w:spacing w:line="600" w:lineRule="atLeast"/>
        <w:rPr>
          <w:rFonts w:ascii="Times New Roman" w:eastAsia="黑体"/>
        </w:rPr>
      </w:pPr>
    </w:p>
    <w:p>
      <w:pPr>
        <w:rPr>
          <w:rFonts w:ascii="楷体_GB2312" w:eastAsia="楷体_GB2312"/>
          <w:b/>
        </w:rPr>
      </w:pPr>
    </w:p>
    <w:p>
      <w:pPr>
        <w:ind w:firstLine="630"/>
        <w:rPr>
          <w:lang w:val="zh-CN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E55BF3"/>
    <w:multiLevelType w:val="multilevel"/>
    <w:tmpl w:val="7EE55BF3"/>
    <w:lvl w:ilvl="0" w:tentative="0">
      <w:start w:val="1"/>
      <w:numFmt w:val="chineseCountingThousand"/>
      <w:pStyle w:val="6"/>
      <w:suff w:val="nothing"/>
      <w:lvlText w:val="（%1）"/>
      <w:lvlJc w:val="left"/>
      <w:pPr>
        <w:ind w:left="730" w:firstLine="635"/>
      </w:pPr>
      <w:rPr>
        <w:rFonts w:hint="eastAsia"/>
      </w:rPr>
    </w:lvl>
    <w:lvl w:ilvl="1" w:tentative="0">
      <w:start w:val="1"/>
      <w:numFmt w:val="decimal"/>
      <w:lvlText w:val="%2."/>
      <w:lvlJc w:val="left"/>
      <w:pPr>
        <w:ind w:left="1185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43DFA"/>
    <w:rsid w:val="0005718A"/>
    <w:rsid w:val="00064C52"/>
    <w:rsid w:val="000C2F15"/>
    <w:rsid w:val="000D13C4"/>
    <w:rsid w:val="00124318"/>
    <w:rsid w:val="00143BCB"/>
    <w:rsid w:val="001717A7"/>
    <w:rsid w:val="001F0F7E"/>
    <w:rsid w:val="0021315D"/>
    <w:rsid w:val="00250394"/>
    <w:rsid w:val="002650F9"/>
    <w:rsid w:val="00297AD6"/>
    <w:rsid w:val="002A70FA"/>
    <w:rsid w:val="002E78DB"/>
    <w:rsid w:val="002F64D8"/>
    <w:rsid w:val="00347F5C"/>
    <w:rsid w:val="0037664C"/>
    <w:rsid w:val="0041647E"/>
    <w:rsid w:val="0042204A"/>
    <w:rsid w:val="00443DFA"/>
    <w:rsid w:val="00472641"/>
    <w:rsid w:val="004B444F"/>
    <w:rsid w:val="00503FC7"/>
    <w:rsid w:val="00526CF2"/>
    <w:rsid w:val="00534822"/>
    <w:rsid w:val="005E39B1"/>
    <w:rsid w:val="00604FF3"/>
    <w:rsid w:val="00623FAD"/>
    <w:rsid w:val="00672439"/>
    <w:rsid w:val="006D4EE3"/>
    <w:rsid w:val="00715952"/>
    <w:rsid w:val="00741041"/>
    <w:rsid w:val="007B5BB2"/>
    <w:rsid w:val="00810D63"/>
    <w:rsid w:val="00814C12"/>
    <w:rsid w:val="008154EA"/>
    <w:rsid w:val="00873E04"/>
    <w:rsid w:val="00875802"/>
    <w:rsid w:val="0092055C"/>
    <w:rsid w:val="00943D8E"/>
    <w:rsid w:val="00955D26"/>
    <w:rsid w:val="00963BFD"/>
    <w:rsid w:val="009A2EE6"/>
    <w:rsid w:val="009B2308"/>
    <w:rsid w:val="009C3231"/>
    <w:rsid w:val="009C3D9B"/>
    <w:rsid w:val="009D702B"/>
    <w:rsid w:val="009F019B"/>
    <w:rsid w:val="00A01001"/>
    <w:rsid w:val="00A23BC3"/>
    <w:rsid w:val="00A35892"/>
    <w:rsid w:val="00A63B16"/>
    <w:rsid w:val="00A854BE"/>
    <w:rsid w:val="00A86888"/>
    <w:rsid w:val="00A970E2"/>
    <w:rsid w:val="00AA4EC8"/>
    <w:rsid w:val="00AC6462"/>
    <w:rsid w:val="00AD3BA0"/>
    <w:rsid w:val="00B6267F"/>
    <w:rsid w:val="00B71F69"/>
    <w:rsid w:val="00BB397F"/>
    <w:rsid w:val="00BB421C"/>
    <w:rsid w:val="00BC477B"/>
    <w:rsid w:val="00BE45A7"/>
    <w:rsid w:val="00C0264A"/>
    <w:rsid w:val="00C03519"/>
    <w:rsid w:val="00C43DDA"/>
    <w:rsid w:val="00D02829"/>
    <w:rsid w:val="00D07715"/>
    <w:rsid w:val="00D13555"/>
    <w:rsid w:val="00D63A6F"/>
    <w:rsid w:val="00D905C5"/>
    <w:rsid w:val="00D909B3"/>
    <w:rsid w:val="00DB0030"/>
    <w:rsid w:val="00DC721B"/>
    <w:rsid w:val="00E0610B"/>
    <w:rsid w:val="00E6466E"/>
    <w:rsid w:val="00EC32DB"/>
    <w:rsid w:val="00F3364F"/>
    <w:rsid w:val="00F35DEA"/>
    <w:rsid w:val="00F37468"/>
    <w:rsid w:val="00F872AB"/>
    <w:rsid w:val="00FA7070"/>
    <w:rsid w:val="15C55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〖B02〗二级标题"/>
    <w:next w:val="1"/>
    <w:qFormat/>
    <w:uiPriority w:val="0"/>
    <w:pPr>
      <w:widowControl w:val="0"/>
      <w:numPr>
        <w:ilvl w:val="0"/>
        <w:numId w:val="1"/>
      </w:numPr>
      <w:spacing w:line="600" w:lineRule="exact"/>
      <w:outlineLvl w:val="1"/>
    </w:pPr>
    <w:rPr>
      <w:rFonts w:ascii="楷体_GB2312" w:hAnsi="Calibri" w:eastAsia="楷体_GB2312" w:cs="Times New Roman"/>
      <w:kern w:val="2"/>
      <w:sz w:val="32"/>
      <w:szCs w:val="21"/>
      <w:lang w:val="zh-CN" w:eastAsia="zh-CN" w:bidi="ar-SA"/>
    </w:rPr>
  </w:style>
  <w:style w:type="paragraph" w:customStyle="1" w:styleId="7">
    <w:name w:val="〖B03〗三级标题"/>
    <w:qFormat/>
    <w:uiPriority w:val="0"/>
    <w:pPr>
      <w:topLinePunct/>
      <w:spacing w:line="600" w:lineRule="exact"/>
      <w:ind w:left="730" w:firstLine="635"/>
      <w:outlineLvl w:val="2"/>
    </w:pPr>
    <w:rPr>
      <w:rFonts w:ascii="仿宋_GB2312" w:hAnsi="Calibri" w:eastAsia="仿宋_GB2312" w:cs="Times New Roman"/>
      <w:kern w:val="2"/>
      <w:sz w:val="32"/>
      <w:szCs w:val="32"/>
      <w:lang w:val="en-US" w:eastAsia="zh-CN" w:bidi="ar-SA"/>
    </w:rPr>
  </w:style>
  <w:style w:type="character" w:customStyle="1" w:styleId="8">
    <w:name w:val="页眉 Char"/>
    <w:basedOn w:val="5"/>
    <w:link w:val="3"/>
    <w:uiPriority w:val="0"/>
    <w:rPr>
      <w:rFonts w:ascii="仿宋_GB2312" w:eastAsia="仿宋_GB2312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0"/>
    <w:rPr>
      <w:rFonts w:ascii="仿宋_GB2312"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239</Words>
  <Characters>1367</Characters>
  <Lines>11</Lines>
  <Paragraphs>3</Paragraphs>
  <TotalTime>58</TotalTime>
  <ScaleCrop>false</ScaleCrop>
  <LinksUpToDate>false</LinksUpToDate>
  <CharactersWithSpaces>1603</CharactersWithSpaces>
  <Application>WPS Office_12.8.2.15292_F1E327BC-269C-435d-A152-05C5408002CA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2017-09-26T02:50:00Z</dcterms:created>
  <dc:creator>xb21cn</dc:creator>
  <cp:lastModifiedBy>admin</cp:lastModifiedBy>
  <dcterms:modified xsi:type="dcterms:W3CDTF">2025-05-07T06:23:13Z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2052-12.8.2.15292</vt:lpwstr>
  </property>
  <property fmtid="{D5CDD505-2E9C-101B-9397-08002B2CF9AE}" pid="3" name="ICV">
    <vt:lpwstr>61935EFAF90A4580A2A543641FB7BA51_12</vt:lpwstr>
  </property>
</Properties>
</file>