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</w:t>
      </w:r>
      <w:bookmarkStart w:id="0" w:name="OLE_LINK2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五通桥区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石麟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镇202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年中央财政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5D5D5D"/>
          <w:spacing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以工代赈项目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“租、聘、购”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需求的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公告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D5D5D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D5D5D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"https://www.tjxzf.gov.cn/public/6600751/javascript:void(0)" \o "分享到QQ空间"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D5D5D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D5D5D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按照《四川省发展和改革委员会关于加强以工代赈项目村民自建物资采购“租购聘”工作的通知》（川发改赈〔2022〕260号）要求及现场施工的需要，本着公开公平公正的原则，五通桥区石麟镇202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年中央财政以工代赈项目理事会在区以工代赈项目负责人、石麟镇项目负责人以及“村两委”的指导下，将所需要租用的机械、购买的材料、聘用的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员以及第三方监督机构等询价相关事项公告如下。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项目名称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五通桥区石麟镇202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年中央财政以工代赈项目。</w:t>
      </w:r>
    </w:p>
    <w:bookmarkEnd w:id="1"/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项目实施地点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五通桥区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石麟</w:t>
      </w:r>
      <w:r>
        <w:rPr>
          <w:rFonts w:hint="eastAsia" w:ascii="仿宋_GB2312" w:hAnsi="仿宋_GB2312" w:eastAsia="仿宋_GB2312" w:cs="仿宋_GB2312"/>
          <w:sz w:val="32"/>
          <w:szCs w:val="32"/>
        </w:rPr>
        <w:t>镇马儿石村、张坳口村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项目业主单位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五通桥区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石麟</w:t>
      </w:r>
      <w:r>
        <w:rPr>
          <w:rFonts w:hint="eastAsia" w:ascii="仿宋_GB2312" w:hAnsi="仿宋_GB2312" w:eastAsia="仿宋_GB2312" w:cs="仿宋_GB231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马儿石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村民委员会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四、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实施单位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bookmarkStart w:id="2" w:name="OLE_LINK3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通桥区石麟镇202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年中央财政以工代赈项目理事会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五、项目建设方式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采用村民自建的方式。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六、项目建设内容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马儿石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响滩子到张坳口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村委会的破损道路进行整治，全长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4.2公里。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主要内容包括原道路拆除、路基路面恢复、钢筋混凝土管涵铺设、排水工程等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七、建设工期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sz w:val="32"/>
          <w:szCs w:val="32"/>
        </w:rPr>
        <w:t>、租购聘流程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(一)成立询价比价工作小组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由施工管理组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程兴全</w:t>
      </w:r>
      <w:r>
        <w:rPr>
          <w:rFonts w:hint="eastAsia" w:ascii="仿宋_GB2312" w:hAnsi="仿宋_GB2312" w:eastAsia="仿宋_GB2312" w:cs="仿宋_GB2312"/>
          <w:sz w:val="32"/>
          <w:szCs w:val="32"/>
        </w:rPr>
        <w:t>任组长，质量监督组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周冬梅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张邦华，材料采购组潘建，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张美晨、肖惠芳</w:t>
      </w:r>
      <w:r>
        <w:rPr>
          <w:rFonts w:hint="eastAsia" w:ascii="仿宋_GB2312" w:hAnsi="仿宋_GB2312" w:eastAsia="仿宋_GB2312" w:cs="仿宋_GB2312"/>
          <w:sz w:val="32"/>
          <w:szCs w:val="32"/>
        </w:rPr>
        <w:t>一同进入询价比价工作小组，负责项目工作所需原材料采购、机具租赁、人员或单位聘请的询价比价工作。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(二)询价比价对象的范围和数量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1.机具租赁:需根据施工计划内机具租赁清单，在</w:t>
      </w:r>
      <w:bookmarkStart w:id="3" w:name="OLE_LINK4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五通桥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区范围内，有相关资质(营业执照、产品质量合格证、开户银行许可证、单位及人员资质等证明材料)且至少三家及以上的租赁点进行询价、议价、比价分析。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2.材料采购:需根据采购计划内物资清单，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在五通桥</w:t>
      </w:r>
      <w:r>
        <w:rPr>
          <w:rFonts w:hint="eastAsia" w:ascii="仿宋_GB2312" w:hAnsi="仿宋_GB2312" w:eastAsia="仿宋_GB2312" w:cs="仿宋_GB2312"/>
          <w:sz w:val="32"/>
          <w:szCs w:val="32"/>
        </w:rPr>
        <w:t>区范围内，有相关资质(营业执照、产品质量合格证、开户银行许可证、单位及人员资质等证明材料)且至少三家及以上的销售点进行询价、议价、比价分析。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3.人员聘请:需根据项目需求情况，聘请公司或人员须有相关资质，采取询价、议价、比价确定公司或人员。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(三)比价结果的评比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1.询价比价工作小组根据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五通桥区石麟镇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中央财政</w:t>
      </w:r>
      <w:r>
        <w:rPr>
          <w:rFonts w:hint="eastAsia" w:ascii="仿宋_GB2312" w:hAnsi="仿宋_GB2312" w:eastAsia="仿宋_GB2312" w:cs="仿宋_GB2312"/>
          <w:sz w:val="32"/>
          <w:szCs w:val="32"/>
        </w:rPr>
        <w:t>以工代赈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工程询价比价评分办法将至少三家及以上的比价结果形成报告（附询价表），经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村“两委”会议议定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最终</w:t>
      </w:r>
      <w:r>
        <w:rPr>
          <w:rFonts w:hint="eastAsia" w:ascii="仿宋_GB2312" w:hAnsi="仿宋_GB2312" w:eastAsia="仿宋_GB2312" w:cs="仿宋_GB2312"/>
          <w:sz w:val="32"/>
          <w:szCs w:val="32"/>
        </w:rPr>
        <w:t>得分最高者获选，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如遇两家评分相同的情况，由村“两委”召开询价会议议定。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确定租购聘对象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由项目理事会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提出租购聘机械、材料、人员或单位合同，报村委会开会议定，最后经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石麟</w:t>
      </w:r>
      <w:r>
        <w:rPr>
          <w:rFonts w:hint="eastAsia" w:ascii="仿宋_GB2312" w:hAnsi="仿宋_GB2312" w:eastAsia="仿宋_GB2312" w:cs="仿宋_GB2312"/>
          <w:sz w:val="32"/>
          <w:szCs w:val="32"/>
        </w:rPr>
        <w:t>镇人民政府审定同意后，进行公示，公示时间不少于5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2.公示结束后，由项目理事会(村委会代章)与物资供货方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机具租赁方、相关公司单位、聘用人员等签订正式合同合约。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九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、租购聘内容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（一）主要工程机械租赁</w:t>
      </w:r>
    </w:p>
    <w:tbl>
      <w:tblPr>
        <w:tblStyle w:val="6"/>
        <w:tblW w:w="812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Segoe UI" w:hAnsi="Segoe UI" w:eastAsia="Segoe UI" w:cs="Segoe U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机具租赁清单</w:t>
            </w:r>
          </w:p>
          <w:tbl>
            <w:tblPr>
              <w:tblStyle w:val="7"/>
              <w:tblW w:w="959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95"/>
              <w:gridCol w:w="2430"/>
              <w:gridCol w:w="1730"/>
              <w:gridCol w:w="2245"/>
              <w:gridCol w:w="159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机械名称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用途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0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150履带式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挖掘机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11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路基挖方、旧路面破除、基坑开挖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11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1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60履带式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挖掘机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11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路基挖方、旧路面破除、基坑开挖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商混车（5m³以内）        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混凝土2次转运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1.0t载货汽车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施工现场材料转运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18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灰浆搅拌机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Style w:val="10"/>
                      <w:sz w:val="24"/>
                      <w:szCs w:val="24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堡坎、片石、挡土墙砂浆搅拌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81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平板振动器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水泥混凝土面层振捣整平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6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插入式振捣棒组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Style w:val="10"/>
                      <w:sz w:val="24"/>
                      <w:szCs w:val="24"/>
                      <w:lang w:val="en-US" w:eastAsia="zh-CN" w:bidi="ar"/>
                    </w:rPr>
                    <w:t>组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混凝土振捣密实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0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发电机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Style w:val="11"/>
                      <w:sz w:val="24"/>
                      <w:szCs w:val="24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临时用电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刻槽机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混凝土面层抗滑构造刻槽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1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圆盘锯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模板切割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pacing w:val="-17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混凝土路面切缝机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  <w:r>
                    <w:rPr>
                      <w:rStyle w:val="10"/>
                      <w:sz w:val="24"/>
                      <w:szCs w:val="24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混凝土面层切缝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自卸汽车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4辆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弃土外运、材料运输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9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4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斗容量1.0m³</w:t>
                  </w: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装载机</w:t>
                  </w:r>
                </w:p>
              </w:tc>
              <w:tc>
                <w:tcPr>
                  <w:tcW w:w="17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1台</w:t>
                  </w:r>
                </w:p>
              </w:tc>
              <w:tc>
                <w:tcPr>
                  <w:tcW w:w="224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spacing w:val="-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材料装卸、场地平整</w:t>
                  </w:r>
                </w:p>
              </w:tc>
              <w:tc>
                <w:tcPr>
                  <w:tcW w:w="159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E3E3E"/>
                <w:kern w:val="0"/>
                <w:sz w:val="31"/>
                <w:szCs w:val="31"/>
                <w:u w:val="none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其他租赁：搅拌场地租赁。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主要原材料采购</w:t>
      </w:r>
    </w:p>
    <w:tbl>
      <w:tblPr>
        <w:tblStyle w:val="6"/>
        <w:tblW w:w="845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材料采购清单</w:t>
            </w:r>
          </w:p>
          <w:tbl>
            <w:tblPr>
              <w:tblStyle w:val="7"/>
              <w:tblW w:w="823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4"/>
              <w:gridCol w:w="1930"/>
              <w:gridCol w:w="2066"/>
              <w:gridCol w:w="26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材料名称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规格型号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数量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碎石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4.75-19mm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2550m³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钢筋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HPB300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3000Kg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木模板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2000*900*10mm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500㎡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木模板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4000*180*40mm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1000m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钢筋砼涵管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直径 0.6m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 道共32米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水泥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PC42.5（袋装）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80t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河沙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细砂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200m³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砖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240*120*115mm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2万块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PVC管道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firstLine="720" w:firstLineChars="300"/>
                    <w:jc w:val="both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米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8-12号铁丝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firstLine="480" w:firstLineChars="200"/>
                    <w:jc w:val="both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15.8KG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8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93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木方</w:t>
                  </w:r>
                </w:p>
              </w:tc>
              <w:tc>
                <w:tcPr>
                  <w:tcW w:w="20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50*80mm</w:t>
                  </w:r>
                </w:p>
              </w:tc>
              <w:tc>
                <w:tcPr>
                  <w:tcW w:w="265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3E3E3E"/>
                      <w:kern w:val="0"/>
                      <w:sz w:val="24"/>
                      <w:szCs w:val="24"/>
                      <w:u w:val="none"/>
                      <w:vertAlign w:val="baseli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1000m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E3E3E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其他用品：如钉子、水平仪、铁锹、安全帽、标识标牌、反光背心、手套、撮箕、梳耙等，水、电、机油、汽油、柴油、电线、水管、PVC管道、彩钢板、斗车、钢尺、钢铲、砍刀、油锯、锄头等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以实际价格为准。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混凝土采购清单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混凝土采购清单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C20混凝土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商混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C30混凝土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商混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3060m³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 w:firstLineChars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聘用人员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人员、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机构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聘请清单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监理公司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监管工程质量、安全、工期进度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统筹项目施工，负责质量、安全、进度总管控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资料员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Segoe UI" w:hAnsi="Segoe UI" w:eastAsia="Segoe UI" w:cs="Segoe U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整理施工资料，含图纸、检验报告、验收记录等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其他保险、辅材视实际需求情况就近购买或加工。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租购聘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对象基本条件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（一）机械租赁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要求机械出租企业：无客户评价差、列入失信名单、民事纠纷、黑恶势力情况及重大安全事故发生，经营范围要满足项目施工对机械设备的要求。机械操作人员：有相应的机械操作证，近三年无安全事故发生。在租用期间发生机械故障、安全事故等由出租方全面负责，不能影响租赁方正常施工进度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2.机械租赁报价参考现场具体情况进行报价，机械的租赁至少三家及以上的租赁机构进行报名。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3.不接受联合投标。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（二）材料购买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主材类销售单位（含个体经营户）具有相应的营业执照及质量质检合格证、税票，在保证质量、符合国家政策及市场规律情况下，至少三家及以上的销售点进行询问。材料类报价为含税到场价。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（三）聘用人员以及第三方监督机构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bookmarkStart w:id="4" w:name="OLE_LINK6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聘用人员：要求具有相应的资格证书，从事道路、建筑等工程工作三年以上优先选用。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监理单位：运营情况、公司信誉良好，具有工程监理资质，监理人员从事（道路、建筑）监理工作3年以上。</w:t>
      </w:r>
      <w:bookmarkEnd w:id="4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至少三家及以上进行询问。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十一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、资质审查材料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机械租赁企业：①企业的营业执照复印件</w:t>
      </w:r>
      <w:bookmarkStart w:id="5" w:name="OLE_LINK8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；</w:t>
      </w:r>
      <w:bookmarkEnd w:id="5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②企业法定代表人（或负责人）身份证复印件及受托人身份证复印件（加盖单位鲜章）；③机械操作人员要有相应的机械操作证；④公司业绩材料；</w:t>
      </w:r>
      <w:bookmarkStart w:id="6" w:name="OLE_LINK9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⑤报价企业近两年未出现因违法经营，被有关部门行政处罚、列入失信名单等情况。</w:t>
      </w:r>
      <w:bookmarkEnd w:id="6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材料采购商：①企业的营业执照复印件；②企业法定代表人（或负责人）身份证复印件及受托人身份证复印件（加盖单位鲜章）；③公司业绩材料；④报价单位（个体经营户）近两年未出现因违法经营，被有关部门行政处罚、列入失信名单等情况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（三）聘用人员：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（1）质量监理单位（第三方监督机构）:①企业的营业执照复印件；②企业法定代表人（或负责人）身份证复印件及受托人身份证复印件（加盖单位鲜章）；③公司业绩材料等。（2）资料管理员：</w:t>
      </w:r>
      <w:bookmarkStart w:id="7" w:name="OLE_LINK10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①身份证原件；②学历证明；③本人征信。</w:t>
      </w:r>
      <w:bookmarkEnd w:id="7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（3）施工管理员：①身份证原件；②有关项目的资质证书；③本人征信。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、报名方式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及时间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报名时间：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2025年12月18日—2025年12月25日（上午9:00—12:00，下午14:00—18:00），报价需在规定的时间内进行报价，逾期报价视为无效。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报名方式：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书面见面报价（材料密封）。公司或个人按本公告“十一、资质审查材料”规定有关材料于工作时间段到指定地点报名。同时提供报名所需其他材料：按照报价内容中所报材料逐一报价（单项价格，见附件报价单）、企业的营业执照复印件（加盖单位鲜章）、授权委托书原件、企业法定代表人（或负责人）身份证复印件及受托人身份证复印件（加盖单位鲜章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报名地点：乐山市五通桥区石麟镇马儿石村村民委员会办公室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采购人：五通桥区石麟镇2026年中央财政以工代赈项目理事会（村委会代章）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江白英，电话：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18183366479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1920" w:firstLineChars="6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张正亮，电话：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18188349996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.机具租赁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报价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材料采购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报价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混凝土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报价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、机构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聘请</w:t>
      </w:r>
      <w:bookmarkStart w:id="8" w:name="OLE_LINK7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报价表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bookmarkStart w:id="9" w:name="_GoBack"/>
      <w:bookmarkEnd w:id="9"/>
    </w:p>
    <w:bookmarkEnd w:id="8"/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五通桥区石麟镇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中央财政</w:t>
      </w:r>
      <w:r>
        <w:rPr>
          <w:rFonts w:hint="eastAsia" w:ascii="仿宋_GB2312" w:hAnsi="仿宋_GB2312" w:eastAsia="仿宋_GB2312" w:cs="仿宋_GB2312"/>
          <w:sz w:val="32"/>
          <w:szCs w:val="32"/>
        </w:rPr>
        <w:t>以工代赈项目理事会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（村委会代章）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9D2495-67C7-47D4-B018-E357F0CAE6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2C5C5B8-0331-4893-AEA6-1BCFE369CC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53C3C36-0C60-4369-94B7-C21CA8EFD02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76C7ED0-ECCE-47A6-8A41-90EE3BD56679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5" w:fontKey="{08187C08-F029-47A6-B1DD-6D70C4CDF09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sz w:val="21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>—</w:t>
                    </w:r>
                    <w:r>
                      <w:rPr>
                        <w:sz w:val="21"/>
                        <w:szCs w:val="32"/>
                      </w:rPr>
                      <w:t xml:space="preserve"> </w:t>
                    </w: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CD962"/>
    <w:multiLevelType w:val="singleLevel"/>
    <w:tmpl w:val="8E6CD96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7A144A"/>
    <w:multiLevelType w:val="singleLevel"/>
    <w:tmpl w:val="DE7A14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yMWJiNTRkZmZjYTk1ODYxYTI0YTJmMDgyMTk4OTAifQ=="/>
  </w:docVars>
  <w:rsids>
    <w:rsidRoot w:val="00000000"/>
    <w:rsid w:val="00FA00A3"/>
    <w:rsid w:val="04B33675"/>
    <w:rsid w:val="066B74A9"/>
    <w:rsid w:val="06DF2C34"/>
    <w:rsid w:val="08B30CAE"/>
    <w:rsid w:val="09C7291A"/>
    <w:rsid w:val="09C77B25"/>
    <w:rsid w:val="09C97FE7"/>
    <w:rsid w:val="09DC43D3"/>
    <w:rsid w:val="0CE05A6D"/>
    <w:rsid w:val="0E2C64A2"/>
    <w:rsid w:val="102C4C4A"/>
    <w:rsid w:val="10A552EC"/>
    <w:rsid w:val="10F325DF"/>
    <w:rsid w:val="154F2218"/>
    <w:rsid w:val="159A3E81"/>
    <w:rsid w:val="164A731D"/>
    <w:rsid w:val="166B21ED"/>
    <w:rsid w:val="17D3100E"/>
    <w:rsid w:val="19133DC0"/>
    <w:rsid w:val="1A2A7AEF"/>
    <w:rsid w:val="1ADC0AEE"/>
    <w:rsid w:val="1D321808"/>
    <w:rsid w:val="1DBE34F7"/>
    <w:rsid w:val="24066307"/>
    <w:rsid w:val="243F4ED2"/>
    <w:rsid w:val="247A661B"/>
    <w:rsid w:val="276D2022"/>
    <w:rsid w:val="2778020F"/>
    <w:rsid w:val="287974C0"/>
    <w:rsid w:val="289B002D"/>
    <w:rsid w:val="2AED1AEC"/>
    <w:rsid w:val="2AF953C1"/>
    <w:rsid w:val="2EAD0E36"/>
    <w:rsid w:val="31A43F82"/>
    <w:rsid w:val="31E43C10"/>
    <w:rsid w:val="328B05E9"/>
    <w:rsid w:val="33773BC4"/>
    <w:rsid w:val="344A1D35"/>
    <w:rsid w:val="357B5ADD"/>
    <w:rsid w:val="3CDD0CFD"/>
    <w:rsid w:val="3F31395B"/>
    <w:rsid w:val="40761A23"/>
    <w:rsid w:val="414F789E"/>
    <w:rsid w:val="4166285A"/>
    <w:rsid w:val="432F1CCD"/>
    <w:rsid w:val="43847AF7"/>
    <w:rsid w:val="45F878AE"/>
    <w:rsid w:val="461143E0"/>
    <w:rsid w:val="47A439D2"/>
    <w:rsid w:val="4A98542B"/>
    <w:rsid w:val="4B1E4B4A"/>
    <w:rsid w:val="4B3503D7"/>
    <w:rsid w:val="4C2061DD"/>
    <w:rsid w:val="4E4D0DDF"/>
    <w:rsid w:val="4F5A1D04"/>
    <w:rsid w:val="50190420"/>
    <w:rsid w:val="50340847"/>
    <w:rsid w:val="507F399C"/>
    <w:rsid w:val="52C54EDB"/>
    <w:rsid w:val="534A6130"/>
    <w:rsid w:val="558925E5"/>
    <w:rsid w:val="55C81464"/>
    <w:rsid w:val="59090F4F"/>
    <w:rsid w:val="59986A54"/>
    <w:rsid w:val="5CC842BF"/>
    <w:rsid w:val="5EFF49B7"/>
    <w:rsid w:val="614F49E6"/>
    <w:rsid w:val="62213378"/>
    <w:rsid w:val="65177D00"/>
    <w:rsid w:val="677E01D8"/>
    <w:rsid w:val="68F4547B"/>
    <w:rsid w:val="6AFB4AD1"/>
    <w:rsid w:val="6E1677BF"/>
    <w:rsid w:val="6EC7099E"/>
    <w:rsid w:val="6FF8356B"/>
    <w:rsid w:val="70731FFF"/>
    <w:rsid w:val="72577034"/>
    <w:rsid w:val="73BE51BD"/>
    <w:rsid w:val="74434BA2"/>
    <w:rsid w:val="74650381"/>
    <w:rsid w:val="77222583"/>
    <w:rsid w:val="77D9643D"/>
    <w:rsid w:val="7BD13317"/>
    <w:rsid w:val="7CCD364C"/>
    <w:rsid w:val="7D572A32"/>
    <w:rsid w:val="7DA000E4"/>
    <w:rsid w:val="7E097FCF"/>
    <w:rsid w:val="7F24020F"/>
    <w:rsid w:val="7F8A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2825</Words>
  <Characters>3052</Characters>
  <Lines>0</Lines>
  <Paragraphs>0</Paragraphs>
  <TotalTime>0</TotalTime>
  <ScaleCrop>false</ScaleCrop>
  <LinksUpToDate>false</LinksUpToDate>
  <CharactersWithSpaces>3080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2025-05-23T07:54:00Z</dcterms:created>
  <dc:creator>Administrator</dc:creator>
  <cp:lastModifiedBy>唐文韬</cp:lastModifiedBy>
  <cp:lastPrinted>2025-05-23T08:37:00Z</cp:lastPrinted>
  <dcterms:modified xsi:type="dcterms:W3CDTF">2025-12-18T09:08:55Z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TemplateDocerSaveRecord">
    <vt:lpwstr>eyJoZGlkIjoiOWM5MDU0OTQ5N2U1ZWQ1MzY5NTA5YTA2ZmYzOTM2ODgiLCJ1c2VySWQiOiIxMjUwNzE1MjY4In0=</vt:lpwstr>
  </property>
  <property fmtid="{D5CDD505-2E9C-101B-9397-08002B2CF9AE}" pid="4" name="ICV">
    <vt:lpwstr>97F27BB7A76547B7A278B030E74E7E98_12</vt:lpwstr>
  </property>
</Properties>
</file>