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48" w:rsidRDefault="004C5B59">
      <w:pPr>
        <w:pStyle w:val="ds-markdown-paragraph"/>
        <w:shd w:val="clear" w:color="auto" w:fill="FFFFFF"/>
        <w:spacing w:after="217" w:afterAutospacing="0"/>
        <w:jc w:val="center"/>
        <w:rPr>
          <w:rFonts w:ascii="仿宋" w:eastAsia="仿宋" w:hAnsi="仿宋" w:cs="Segoe UI"/>
          <w:color w:val="000000" w:themeColor="text1"/>
          <w:sz w:val="36"/>
          <w:szCs w:val="36"/>
        </w:rPr>
      </w:pPr>
      <w:r>
        <w:rPr>
          <w:rStyle w:val="a9"/>
          <w:rFonts w:ascii="仿宋" w:eastAsia="仿宋" w:hAnsi="仿宋" w:cs="Segoe UI" w:hint="eastAsia"/>
          <w:color w:val="000000" w:themeColor="text1"/>
          <w:sz w:val="36"/>
          <w:szCs w:val="36"/>
        </w:rPr>
        <w:t>乐山市</w:t>
      </w:r>
      <w:r>
        <w:rPr>
          <w:rStyle w:val="a9"/>
          <w:rFonts w:ascii="仿宋" w:eastAsia="仿宋" w:hAnsi="仿宋" w:cs="Segoe UI" w:hint="eastAsia"/>
          <w:color w:val="000000" w:themeColor="text1"/>
          <w:sz w:val="36"/>
          <w:szCs w:val="36"/>
        </w:rPr>
        <w:t>五通桥区</w:t>
      </w:r>
      <w:r>
        <w:rPr>
          <w:rStyle w:val="a9"/>
          <w:rFonts w:ascii="仿宋" w:eastAsia="仿宋" w:hAnsi="仿宋" w:cs="Segoe UI"/>
          <w:color w:val="000000" w:themeColor="text1"/>
          <w:sz w:val="36"/>
          <w:szCs w:val="36"/>
        </w:rPr>
        <w:t>烟草制品零</w:t>
      </w:r>
      <w:r>
        <w:rPr>
          <w:rStyle w:val="a9"/>
          <w:rFonts w:ascii="仿宋" w:eastAsia="仿宋" w:hAnsi="仿宋" w:cs="Segoe UI"/>
          <w:color w:val="000000" w:themeColor="text1"/>
          <w:sz w:val="36"/>
          <w:szCs w:val="36"/>
        </w:rPr>
        <w:t>售点合理布局规划</w:t>
      </w:r>
      <w:r w:rsidR="00B9018F" w:rsidRPr="00B9018F">
        <w:rPr>
          <w:rFonts w:ascii="仿宋" w:eastAsia="仿宋" w:hAnsi="仿宋" w:hint="eastAsia"/>
          <w:b/>
          <w:bCs/>
          <w:color w:val="333333"/>
          <w:sz w:val="36"/>
          <w:szCs w:val="36"/>
        </w:rPr>
        <w:t>（征求意见稿）</w:t>
      </w:r>
    </w:p>
    <w:p w:rsidR="00BC3C48" w:rsidRDefault="004C5B59">
      <w:pPr>
        <w:pStyle w:val="ds-markdown-paragraph"/>
        <w:shd w:val="clear" w:color="auto" w:fill="FFFFFF"/>
        <w:spacing w:before="217" w:beforeAutospacing="0" w:after="217" w:afterAutospacing="0"/>
        <w:jc w:val="center"/>
        <w:rPr>
          <w:rFonts w:ascii="仿宋" w:eastAsia="仿宋" w:hAnsi="仿宋" w:cs="Segoe UI"/>
          <w:color w:val="000000" w:themeColor="text1"/>
          <w:sz w:val="36"/>
          <w:szCs w:val="36"/>
        </w:rPr>
      </w:pPr>
      <w:r>
        <w:rPr>
          <w:rStyle w:val="a9"/>
          <w:rFonts w:ascii="仿宋" w:eastAsia="仿宋" w:hAnsi="仿宋" w:cs="Segoe UI"/>
          <w:color w:val="000000" w:themeColor="text1"/>
          <w:sz w:val="36"/>
          <w:szCs w:val="36"/>
        </w:rPr>
        <w:t>第一章</w:t>
      </w:r>
      <w:r>
        <w:rPr>
          <w:rStyle w:val="a9"/>
          <w:rFonts w:ascii="仿宋" w:eastAsia="仿宋" w:hAnsi="仿宋" w:cs="Segoe UI"/>
          <w:color w:val="000000" w:themeColor="text1"/>
          <w:sz w:val="36"/>
          <w:szCs w:val="36"/>
        </w:rPr>
        <w:t xml:space="preserve"> </w:t>
      </w:r>
      <w:r>
        <w:rPr>
          <w:rStyle w:val="a9"/>
          <w:rFonts w:ascii="仿宋" w:eastAsia="仿宋" w:hAnsi="仿宋" w:cs="Segoe UI"/>
          <w:color w:val="000000" w:themeColor="text1"/>
          <w:sz w:val="36"/>
          <w:szCs w:val="36"/>
        </w:rPr>
        <w:t>总则</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第一条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为加强烟草专卖零售许可证管理，规范烟草制品流通秩序，落实国家乡村振兴战略，促进城乡零售点一体化合理布局，维护国家利益、消费者利益及未成年人合法权益，保障烟草市场健康发展，依据《中华人民共和国行政许可法》《中华人民共和国烟草专卖法》《中华人民共和国烟草专卖法实施条例》《烟草专卖许可证管理办法》（工信部令第</w:t>
      </w:r>
      <w:r>
        <w:rPr>
          <w:rFonts w:ascii="仿宋" w:eastAsia="仿宋" w:hAnsi="仿宋" w:cs="仿宋" w:hint="eastAsia"/>
          <w:color w:val="000000" w:themeColor="text1"/>
          <w:sz w:val="30"/>
          <w:szCs w:val="30"/>
        </w:rPr>
        <w:t>37</w:t>
      </w:r>
      <w:r>
        <w:rPr>
          <w:rFonts w:ascii="仿宋" w:eastAsia="仿宋" w:hAnsi="仿宋" w:cs="仿宋" w:hint="eastAsia"/>
          <w:color w:val="000000" w:themeColor="text1"/>
          <w:sz w:val="30"/>
          <w:szCs w:val="30"/>
        </w:rPr>
        <w:t>号）、《烟草专卖许可证管理办法实施细则》（国烟法〔</w:t>
      </w:r>
      <w:r>
        <w:rPr>
          <w:rFonts w:ascii="仿宋" w:eastAsia="仿宋" w:hAnsi="仿宋" w:cs="仿宋" w:hint="eastAsia"/>
          <w:color w:val="000000" w:themeColor="text1"/>
          <w:sz w:val="30"/>
          <w:szCs w:val="30"/>
        </w:rPr>
        <w:t>2020</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205</w:t>
      </w:r>
      <w:r>
        <w:rPr>
          <w:rFonts w:ascii="仿宋" w:eastAsia="仿宋" w:hAnsi="仿宋" w:cs="仿宋" w:hint="eastAsia"/>
          <w:color w:val="000000" w:themeColor="text1"/>
          <w:sz w:val="30"/>
          <w:szCs w:val="30"/>
        </w:rPr>
        <w:t>号）等法律法规及规章，参照《烟草控制框架公约》，结合本辖区实际，制定本规划。</w:t>
      </w:r>
    </w:p>
    <w:p w:rsidR="00BC3C48" w:rsidRDefault="004C5B59">
      <w:pPr>
        <w:pStyle w:val="ds-markdown-paragraph"/>
        <w:shd w:val="clear" w:color="auto" w:fill="FFFFFF"/>
        <w:spacing w:before="0" w:beforeAutospacing="0" w:after="0" w:afterAutospacing="0"/>
        <w:ind w:firstLineChars="198" w:firstLine="596"/>
        <w:jc w:val="both"/>
        <w:rPr>
          <w:rStyle w:val="a9"/>
          <w:rFonts w:ascii="仿宋" w:eastAsia="仿宋" w:hAnsi="仿宋" w:cs="仿宋"/>
          <w:b w:val="0"/>
          <w:bCs w:val="0"/>
          <w:color w:val="000000" w:themeColor="text1"/>
          <w:sz w:val="30"/>
          <w:szCs w:val="30"/>
        </w:rPr>
      </w:pPr>
      <w:r>
        <w:rPr>
          <w:rStyle w:val="a9"/>
          <w:rFonts w:ascii="仿宋" w:eastAsia="仿宋" w:hAnsi="仿宋" w:cs="仿宋" w:hint="eastAsia"/>
          <w:color w:val="000000" w:themeColor="text1"/>
          <w:sz w:val="30"/>
          <w:szCs w:val="30"/>
        </w:rPr>
        <w:t>第二条</w:t>
      </w:r>
      <w:r>
        <w:rPr>
          <w:rStyle w:val="a9"/>
          <w:rFonts w:ascii="仿宋" w:eastAsia="仿宋" w:hAnsi="仿宋" w:cs="仿宋" w:hint="eastAsia"/>
          <w:color w:val="000000" w:themeColor="text1"/>
          <w:sz w:val="30"/>
          <w:szCs w:val="30"/>
        </w:rPr>
        <w:t> </w:t>
      </w:r>
      <w:r>
        <w:rPr>
          <w:rStyle w:val="a9"/>
          <w:rFonts w:ascii="仿宋" w:eastAsia="仿宋" w:hAnsi="仿宋" w:cs="仿宋" w:hint="eastAsia"/>
          <w:b w:val="0"/>
          <w:bCs w:val="0"/>
          <w:color w:val="000000" w:themeColor="text1"/>
          <w:sz w:val="30"/>
          <w:szCs w:val="30"/>
        </w:rPr>
        <w:t>本规划所称烟草制品零售点（以下简称“零售点”），是</w:t>
      </w:r>
      <w:r>
        <w:rPr>
          <w:rStyle w:val="a9"/>
          <w:rFonts w:ascii="仿宋" w:eastAsia="仿宋" w:hAnsi="仿宋" w:cs="仿宋" w:hint="eastAsia"/>
          <w:b w:val="0"/>
          <w:bCs w:val="0"/>
          <w:color w:val="000000" w:themeColor="text1"/>
          <w:sz w:val="30"/>
          <w:szCs w:val="30"/>
        </w:rPr>
        <w:t>指经申请人申请，依法取得烟草专卖零售许可证（以下简称“许可证”），从事烟草制品零售业务的固定经营场所。</w:t>
      </w:r>
    </w:p>
    <w:p w:rsidR="00BC3C48" w:rsidRDefault="004C5B59">
      <w:pPr>
        <w:pStyle w:val="ds-markdown-paragraph"/>
        <w:shd w:val="clear" w:color="auto" w:fill="FFFFFF"/>
        <w:spacing w:before="0" w:beforeAutospacing="0" w:after="0" w:afterAutospacing="0"/>
        <w:ind w:firstLineChars="198" w:firstLine="596"/>
        <w:jc w:val="both"/>
        <w:rPr>
          <w:rStyle w:val="a9"/>
          <w:rFonts w:ascii="仿宋" w:eastAsia="仿宋" w:hAnsi="仿宋" w:cs="仿宋"/>
          <w:b w:val="0"/>
          <w:bCs w:val="0"/>
          <w:color w:val="000000" w:themeColor="text1"/>
          <w:sz w:val="30"/>
          <w:szCs w:val="30"/>
        </w:rPr>
      </w:pPr>
      <w:r>
        <w:rPr>
          <w:rStyle w:val="a9"/>
          <w:rFonts w:ascii="仿宋" w:eastAsia="仿宋" w:hAnsi="仿宋" w:cs="仿宋" w:hint="eastAsia"/>
          <w:color w:val="000000" w:themeColor="text1"/>
          <w:sz w:val="30"/>
          <w:szCs w:val="30"/>
        </w:rPr>
        <w:t>第三条</w:t>
      </w:r>
      <w:r>
        <w:rPr>
          <w:rStyle w:val="a9"/>
          <w:rFonts w:ascii="仿宋" w:eastAsia="仿宋" w:hAnsi="仿宋" w:cs="仿宋" w:hint="eastAsia"/>
          <w:color w:val="000000" w:themeColor="text1"/>
          <w:sz w:val="30"/>
          <w:szCs w:val="30"/>
        </w:rPr>
        <w:t> </w:t>
      </w:r>
      <w:r>
        <w:rPr>
          <w:rStyle w:val="a9"/>
          <w:rFonts w:ascii="仿宋" w:eastAsia="仿宋" w:hAnsi="仿宋" w:cs="仿宋" w:hint="eastAsia"/>
          <w:b w:val="0"/>
          <w:bCs w:val="0"/>
          <w:color w:val="000000" w:themeColor="text1"/>
          <w:sz w:val="30"/>
          <w:szCs w:val="30"/>
        </w:rPr>
        <w:t>本规划所称“经营场所”，是指专门用于烟草制品经营、与居住场所相互独立、在空间上有实体墙隔离或明确区域界线的固定地点。多个门牌地址的商铺经改造、扩建后形成无明显物理分隔的同一空间，视为同一经营场所。</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第四条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本规划适用于乐山市五通桥区烟草专卖局管辖范围内的烟草制品零售许可事项。电子烟零售点布局按《四川省电子烟零售点布局规划》执行。</w:t>
      </w:r>
    </w:p>
    <w:p w:rsidR="00BC3C48" w:rsidRDefault="004C5B59">
      <w:pPr>
        <w:pStyle w:val="ds-markdown-paragraph"/>
        <w:shd w:val="clear" w:color="auto" w:fill="FFFFFF"/>
        <w:spacing w:before="0" w:beforeAutospacing="0" w:after="0" w:afterAutospacing="0"/>
        <w:ind w:leftChars="142" w:left="298" w:firstLineChars="100" w:firstLine="301"/>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第五条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零售点布局遵循以下原则：</w:t>
      </w:r>
    </w:p>
    <w:p w:rsidR="00BC3C48" w:rsidRDefault="004C5B59">
      <w:pPr>
        <w:pStyle w:val="ds-markdown-paragraph"/>
        <w:numPr>
          <w:ilvl w:val="0"/>
          <w:numId w:val="1"/>
        </w:numPr>
        <w:shd w:val="clear" w:color="auto" w:fill="FFFFFF"/>
        <w:spacing w:before="0" w:beforeAutospacing="0" w:after="0" w:afterAutospacing="0"/>
        <w:ind w:leftChars="142" w:left="298" w:firstLineChars="100" w:firstLine="3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依法行政、科学规划、均衡发展、服务</w:t>
      </w:r>
      <w:r>
        <w:rPr>
          <w:rFonts w:ascii="仿宋" w:eastAsia="仿宋" w:hAnsi="仿宋" w:cs="仿宋" w:hint="eastAsia"/>
          <w:color w:val="000000" w:themeColor="text1"/>
          <w:sz w:val="30"/>
          <w:szCs w:val="30"/>
        </w:rPr>
        <w:t>社会；</w:t>
      </w:r>
    </w:p>
    <w:p w:rsidR="00BC3C48" w:rsidRDefault="004C5B59">
      <w:pPr>
        <w:pStyle w:val="ds-markdown-paragraph"/>
        <w:numPr>
          <w:ilvl w:val="0"/>
          <w:numId w:val="1"/>
        </w:numPr>
        <w:shd w:val="clear" w:color="auto" w:fill="FFFFFF"/>
        <w:spacing w:before="0" w:beforeAutospacing="0" w:after="0" w:afterAutospacing="0"/>
        <w:ind w:leftChars="142" w:left="298" w:firstLineChars="100" w:firstLine="3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lastRenderedPageBreak/>
        <w:t>尊重历史、实事求是、按需布局、动态平衡；</w:t>
      </w:r>
    </w:p>
    <w:p w:rsidR="00BC3C48" w:rsidRDefault="004C5B59">
      <w:pPr>
        <w:pStyle w:val="ds-markdown-paragraph"/>
        <w:numPr>
          <w:ilvl w:val="0"/>
          <w:numId w:val="1"/>
        </w:numPr>
        <w:shd w:val="clear" w:color="auto" w:fill="FFFFFF"/>
        <w:spacing w:before="0" w:beforeAutospacing="0" w:after="0" w:afterAutospacing="0"/>
        <w:ind w:leftChars="142" w:left="298" w:firstLineChars="100" w:firstLine="3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公开透明、履约尽责、定期评估、适时调整。</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第六条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乐山市五通桥区行政区域内零售点布局采取以数量、间距为标准的布局模式，以人口普查人数、区域特征、综合购买力、卷烟销量以及相关发展趋势等因素为依据，将辖区内街道、乡镇划分为最小市场单元格，通过科学合理的评估，测算容量区间，作为最小市场单元格零售点设置的指导数。</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第七条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本规划所称的零售点指导数，指各市场单元格内可设置零售点数量的上限数。烟草专卖局应在最小市场单元格的规划数量范围内设置零售点。若单元格内零售点数量达到或超过指导数上限，则不再增设零售点。当该最小市场单元格内因注销、歇业或取消经营资格等原因出现名额空缺时，应按照“先申请先受理、先受理先办理”的原则依法进行办理</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（以下简称</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“先退后进”原则）。</w:t>
      </w:r>
    </w:p>
    <w:p w:rsidR="00BC3C48" w:rsidRDefault="004C5B59">
      <w:pPr>
        <w:overflowPunct w:val="0"/>
        <w:ind w:firstLineChars="200" w:firstLine="602"/>
        <w:rPr>
          <w:rFonts w:ascii="仿宋" w:eastAsia="仿宋" w:hAnsi="仿宋" w:cs="仿宋"/>
          <w:b/>
          <w:color w:val="000000" w:themeColor="text1"/>
          <w:sz w:val="30"/>
          <w:szCs w:val="30"/>
        </w:rPr>
      </w:pPr>
      <w:r>
        <w:rPr>
          <w:rStyle w:val="a9"/>
          <w:rFonts w:ascii="仿宋" w:eastAsia="仿宋" w:hAnsi="仿宋" w:cs="仿宋" w:hint="eastAsia"/>
          <w:color w:val="000000" w:themeColor="text1"/>
          <w:sz w:val="30"/>
          <w:szCs w:val="30"/>
        </w:rPr>
        <w:t>第八条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零售点合理布局规划及附件应及时向社会公示。</w:t>
      </w:r>
    </w:p>
    <w:p w:rsidR="00BC3C48" w:rsidRDefault="004C5B59">
      <w:pPr>
        <w:pStyle w:val="ds-markdown-paragraph"/>
        <w:shd w:val="clear" w:color="auto" w:fill="FFFFFF"/>
        <w:spacing w:before="0" w:beforeAutospacing="0" w:after="0" w:afterAutospacing="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第二章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零售点总体布局规划</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第九条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乐山市五通桥区烟草专卖局综合考虑经济发展水平、人口数量、消费能力、历史零售点数量等相关因素，以满足卷烟市场需求和零售点平衡布局为主要目的，将辖区划分为</w:t>
      </w: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个片区</w:t>
      </w:r>
      <w:r>
        <w:rPr>
          <w:rFonts w:ascii="仿宋" w:eastAsia="仿宋" w:hAnsi="仿宋" w:cs="仿宋" w:hint="eastAsia"/>
          <w:color w:val="000000" w:themeColor="text1"/>
          <w:sz w:val="30"/>
          <w:szCs w:val="30"/>
        </w:rPr>
        <w:t>24</w:t>
      </w:r>
      <w:r>
        <w:rPr>
          <w:rFonts w:ascii="仿宋" w:eastAsia="仿宋" w:hAnsi="仿宋" w:cs="仿宋" w:hint="eastAsia"/>
          <w:color w:val="000000" w:themeColor="text1"/>
          <w:sz w:val="30"/>
          <w:szCs w:val="30"/>
        </w:rPr>
        <w:t>个最小市场单元格，分别采取数量调控、距离控制等布局规划模式。最小市场单元格的零售点容量通过采用统计学等方法，经科学合理的测算评估后进行设置。各单元格范围和名额数详见</w:t>
      </w:r>
      <w:r>
        <w:rPr>
          <w:rFonts w:ascii="仿宋" w:eastAsia="仿宋" w:hAnsi="仿宋" w:cs="仿宋" w:hint="eastAsia"/>
          <w:color w:val="000000" w:themeColor="text1"/>
          <w:sz w:val="30"/>
          <w:szCs w:val="30"/>
        </w:rPr>
        <w:t>附件</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乐山市</w:t>
      </w:r>
      <w:r>
        <w:rPr>
          <w:rFonts w:ascii="仿宋" w:eastAsia="仿宋" w:hAnsi="仿宋" w:cs="仿宋" w:hint="eastAsia"/>
          <w:color w:val="000000" w:themeColor="text1"/>
          <w:sz w:val="30"/>
          <w:szCs w:val="30"/>
        </w:rPr>
        <w:t>五通桥区烟草制品零售点合理布局规划表》。</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第十条</w:t>
      </w:r>
      <w:r>
        <w:rPr>
          <w:rFonts w:ascii="仿宋" w:eastAsia="仿宋" w:hAnsi="仿宋" w:cs="仿宋" w:hint="eastAsia"/>
          <w:b/>
          <w:color w:val="000000" w:themeColor="text1"/>
          <w:sz w:val="30"/>
          <w:szCs w:val="30"/>
        </w:rPr>
        <w:t> </w:t>
      </w:r>
      <w:r>
        <w:rPr>
          <w:rFonts w:ascii="仿宋" w:eastAsia="仿宋" w:hAnsi="仿宋" w:cs="仿宋" w:hint="eastAsia"/>
          <w:color w:val="000000" w:themeColor="text1"/>
          <w:sz w:val="30"/>
          <w:szCs w:val="30"/>
        </w:rPr>
        <w:t>按照“先退后进”的原则，在最小单元格内，因零售点新增</w:t>
      </w:r>
      <w:r>
        <w:rPr>
          <w:rFonts w:ascii="仿宋" w:eastAsia="仿宋" w:hAnsi="仿宋" w:cs="仿宋" w:hint="eastAsia"/>
          <w:color w:val="000000" w:themeColor="text1"/>
          <w:sz w:val="30"/>
          <w:szCs w:val="30"/>
        </w:rPr>
        <w:lastRenderedPageBreak/>
        <w:t>导致的名额变化将即时生效，直至达到各单元格零售点的规划上限。若因注销、</w:t>
      </w:r>
      <w:r>
        <w:rPr>
          <w:rFonts w:ascii="仿宋" w:eastAsia="仿宋" w:hAnsi="仿宋" w:cs="仿宋" w:hint="eastAsia"/>
          <w:color w:val="000000" w:themeColor="text1"/>
          <w:sz w:val="30"/>
          <w:szCs w:val="30"/>
        </w:rPr>
        <w:t>歇业、取消经营资格等原因导致现有零售点减少，新增名额在公示后将于次日生效。</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第十一条</w:t>
      </w:r>
      <w:r>
        <w:rPr>
          <w:rFonts w:ascii="仿宋" w:eastAsia="仿宋" w:hAnsi="仿宋" w:cs="仿宋" w:hint="eastAsia"/>
          <w:b/>
          <w:color w:val="000000" w:themeColor="text1"/>
          <w:sz w:val="30"/>
          <w:szCs w:val="30"/>
        </w:rPr>
        <w:t> </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乐山市五通桥区</w:t>
      </w:r>
      <w:r>
        <w:rPr>
          <w:rFonts w:ascii="仿宋" w:eastAsia="仿宋" w:hAnsi="仿宋" w:cs="仿宋" w:hint="eastAsia"/>
          <w:color w:val="000000" w:themeColor="text1"/>
          <w:sz w:val="30"/>
          <w:szCs w:val="30"/>
        </w:rPr>
        <w:t>烟草专卖局可以根据上一年度烟草制品零售点集中度、增长趋势、历史峰值、城市规划及政策调整等情况，每年对最小单元格内的零售点指导数量进行动态调整，调整应经科学测算、合理论证，广泛征求意见，单次调整幅度不超过</w:t>
      </w: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，经</w:t>
      </w:r>
      <w:r>
        <w:rPr>
          <w:rFonts w:ascii="仿宋" w:eastAsia="仿宋" w:hAnsi="仿宋" w:cs="仿宋" w:hint="eastAsia"/>
          <w:color w:val="000000" w:themeColor="text1"/>
          <w:sz w:val="30"/>
          <w:szCs w:val="30"/>
        </w:rPr>
        <w:t>乐山市五通桥区政府网</w:t>
      </w:r>
      <w:r>
        <w:rPr>
          <w:rFonts w:ascii="仿宋" w:eastAsia="仿宋" w:hAnsi="仿宋" w:cs="仿宋" w:hint="eastAsia"/>
          <w:color w:val="000000" w:themeColor="text1"/>
          <w:sz w:val="30"/>
          <w:szCs w:val="30"/>
        </w:rPr>
        <w:t>公告</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日后可以实施。</w:t>
      </w:r>
    </w:p>
    <w:p w:rsidR="00BC3C48" w:rsidRDefault="004C5B59">
      <w:pPr>
        <w:pStyle w:val="ds-markdown-paragraph"/>
        <w:shd w:val="clear" w:color="auto" w:fill="FFFFFF"/>
        <w:spacing w:before="0" w:beforeAutospacing="0" w:after="0" w:afterAutospacing="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第三章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城区零售点布局规划</w:t>
      </w:r>
    </w:p>
    <w:p w:rsidR="00BC3C48" w:rsidRDefault="004C5B59">
      <w:pPr>
        <w:pStyle w:val="ds-markdown-paragraph"/>
        <w:shd w:val="clear" w:color="auto" w:fill="FFFFFF"/>
        <w:spacing w:before="0" w:beforeAutospacing="0" w:after="0" w:afterAutospacing="0"/>
        <w:ind w:firstLineChars="200" w:firstLine="602"/>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第十</w:t>
      </w:r>
      <w:r>
        <w:rPr>
          <w:rStyle w:val="a9"/>
          <w:rFonts w:ascii="仿宋" w:eastAsia="仿宋" w:hAnsi="仿宋" w:cs="仿宋" w:hint="eastAsia"/>
          <w:color w:val="000000" w:themeColor="text1"/>
          <w:sz w:val="30"/>
          <w:szCs w:val="30"/>
        </w:rPr>
        <w:t>二条</w:t>
      </w:r>
      <w:r>
        <w:rPr>
          <w:rFonts w:ascii="仿宋" w:eastAsia="仿宋" w:hAnsi="仿宋" w:cs="仿宋" w:hint="eastAsia"/>
          <w:b/>
          <w:color w:val="000000" w:themeColor="text1"/>
          <w:sz w:val="30"/>
          <w:szCs w:val="30"/>
        </w:rPr>
        <w:t xml:space="preserve">  </w:t>
      </w:r>
      <w:r>
        <w:rPr>
          <w:rFonts w:ascii="仿宋" w:eastAsia="仿宋" w:hAnsi="仿宋" w:cs="仿宋" w:hint="eastAsia"/>
          <w:color w:val="000000" w:themeColor="text1"/>
          <w:sz w:val="30"/>
          <w:szCs w:val="30"/>
        </w:rPr>
        <w:t>对城区的烟草制品零售点设置采取“数量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控制模式，对最小市场单元格内的烟草制品零售点设定指导数量，单元格现有零售点数量达到或者超过指导数量上限的不予新增零售点，对超出设定数量的新办申请实施“先退后进”，且相邻烟草制品零售点之间间距不得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城区（含</w:t>
      </w:r>
      <w:r>
        <w:rPr>
          <w:rFonts w:ascii="仿宋" w:eastAsia="仿宋" w:hAnsi="仿宋" w:cs="仿宋" w:hint="eastAsia"/>
          <w:color w:val="000000" w:themeColor="text1"/>
          <w:sz w:val="30"/>
          <w:szCs w:val="30"/>
        </w:rPr>
        <w:t>竹根镇</w:t>
      </w:r>
      <w:r>
        <w:rPr>
          <w:rFonts w:ascii="仿宋" w:eastAsia="仿宋" w:hAnsi="仿宋" w:cs="仿宋" w:hint="eastAsia"/>
          <w:color w:val="000000" w:themeColor="text1"/>
          <w:sz w:val="30"/>
          <w:szCs w:val="30"/>
        </w:rPr>
        <w:t>）共规划最小单元格</w:t>
      </w:r>
      <w:r>
        <w:rPr>
          <w:rFonts w:ascii="仿宋" w:eastAsia="仿宋" w:hAnsi="仿宋" w:cs="仿宋" w:hint="eastAsia"/>
          <w:color w:val="000000" w:themeColor="text1"/>
          <w:sz w:val="30"/>
          <w:szCs w:val="30"/>
        </w:rPr>
        <w:t>11</w:t>
      </w:r>
      <w:r>
        <w:rPr>
          <w:rFonts w:ascii="仿宋" w:eastAsia="仿宋" w:hAnsi="仿宋" w:cs="仿宋" w:hint="eastAsia"/>
          <w:color w:val="000000" w:themeColor="text1"/>
          <w:sz w:val="30"/>
          <w:szCs w:val="30"/>
        </w:rPr>
        <w:t>个，各单元格范围和名额数详见附件《</w:t>
      </w:r>
      <w:r>
        <w:rPr>
          <w:rFonts w:ascii="仿宋" w:eastAsia="仿宋" w:hAnsi="仿宋" w:cs="仿宋" w:hint="eastAsia"/>
          <w:color w:val="000000" w:themeColor="text1"/>
          <w:sz w:val="30"/>
          <w:szCs w:val="30"/>
        </w:rPr>
        <w:t>乐山市</w:t>
      </w:r>
      <w:r>
        <w:rPr>
          <w:rFonts w:ascii="仿宋" w:eastAsia="仿宋" w:hAnsi="仿宋" w:cs="仿宋" w:hint="eastAsia"/>
          <w:color w:val="000000" w:themeColor="text1"/>
          <w:sz w:val="30"/>
          <w:szCs w:val="30"/>
        </w:rPr>
        <w:t>五通桥区烟草制品零售点合理布局规划表》。</w:t>
      </w:r>
    </w:p>
    <w:p w:rsidR="00BC3C48" w:rsidRDefault="004C5B59">
      <w:pPr>
        <w:overflowPunct w:val="0"/>
        <w:ind w:firstLineChars="200" w:firstLine="602"/>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第四章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农村零售点布局规划</w:t>
      </w:r>
    </w:p>
    <w:p w:rsidR="00BC3C48" w:rsidRDefault="004C5B59">
      <w:pPr>
        <w:ind w:firstLineChars="198" w:firstLine="596"/>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第十</w:t>
      </w:r>
      <w:r>
        <w:rPr>
          <w:rStyle w:val="a9"/>
          <w:rFonts w:ascii="仿宋" w:eastAsia="仿宋" w:hAnsi="仿宋" w:cs="仿宋" w:hint="eastAsia"/>
          <w:color w:val="000000" w:themeColor="text1"/>
          <w:sz w:val="30"/>
          <w:szCs w:val="30"/>
        </w:rPr>
        <w:t>三</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对乡镇的烟草制品零售点设置采取“数量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距离”控制模式，对最小市场单元格内的烟草制品零售点设定数量指标，单</w:t>
      </w:r>
      <w:r>
        <w:rPr>
          <w:rFonts w:ascii="仿宋" w:eastAsia="仿宋" w:hAnsi="仿宋" w:cs="仿宋" w:hint="eastAsia"/>
          <w:color w:val="000000" w:themeColor="text1"/>
          <w:sz w:val="30"/>
          <w:szCs w:val="30"/>
        </w:rPr>
        <w:t>元格现有零售点数量达到或者超过指导数上限的不予设置零售点，对超出设定数量的新办申请实施“先退后进”，且相邻烟草制品零售点之间的距离不得低于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lastRenderedPageBreak/>
        <w:t>第十</w:t>
      </w:r>
      <w:r>
        <w:rPr>
          <w:rStyle w:val="a9"/>
          <w:rFonts w:ascii="仿宋" w:eastAsia="仿宋" w:hAnsi="仿宋" w:cs="仿宋" w:hint="eastAsia"/>
          <w:color w:val="000000" w:themeColor="text1"/>
          <w:sz w:val="30"/>
          <w:szCs w:val="30"/>
        </w:rPr>
        <w:t>四</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农村</w:t>
      </w:r>
      <w:r>
        <w:rPr>
          <w:rFonts w:ascii="仿宋" w:eastAsia="仿宋" w:hAnsi="仿宋" w:cs="仿宋" w:hint="eastAsia"/>
          <w:color w:val="000000" w:themeColor="text1"/>
          <w:sz w:val="30"/>
          <w:szCs w:val="30"/>
        </w:rPr>
        <w:t>零售点实行“数量”调控模式布局，对本次合理布局规划生效前已有烟草制品零售点的行政村，原则上不再新增，按照“先退后进”的模式办理。对于无零售点的行政村，为保障基本消费需求，设置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个零售点，且不受邻近</w:t>
      </w:r>
      <w:r>
        <w:rPr>
          <w:rFonts w:ascii="仿宋" w:eastAsia="仿宋" w:hAnsi="仿宋" w:cs="仿宋" w:hint="eastAsia"/>
          <w:color w:val="000000" w:themeColor="text1"/>
          <w:sz w:val="30"/>
          <w:szCs w:val="30"/>
        </w:rPr>
        <w:t>行政村</w:t>
      </w:r>
      <w:r>
        <w:rPr>
          <w:rFonts w:ascii="仿宋" w:eastAsia="仿宋" w:hAnsi="仿宋" w:cs="仿宋" w:hint="eastAsia"/>
          <w:color w:val="000000" w:themeColor="text1"/>
          <w:sz w:val="30"/>
          <w:szCs w:val="30"/>
        </w:rPr>
        <w:t>零售点间距限制，但应确保其服务范围主要覆盖本村。​</w:t>
      </w:r>
    </w:p>
    <w:p w:rsidR="00BC3C48" w:rsidRDefault="004C5B59">
      <w:pPr>
        <w:overflowPunct w:val="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五</w:t>
      </w:r>
      <w:r>
        <w:rPr>
          <w:rStyle w:val="a9"/>
          <w:rFonts w:ascii="仿宋" w:eastAsia="仿宋" w:hAnsi="仿宋" w:cs="仿宋" w:hint="eastAsia"/>
          <w:color w:val="000000" w:themeColor="text1"/>
          <w:sz w:val="30"/>
          <w:szCs w:val="30"/>
        </w:rPr>
        <w:t>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特殊区域零售点布局</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第十</w:t>
      </w:r>
      <w:r>
        <w:rPr>
          <w:rStyle w:val="a9"/>
          <w:rFonts w:ascii="仿宋" w:eastAsia="仿宋" w:hAnsi="仿宋" w:cs="仿宋" w:hint="eastAsia"/>
          <w:color w:val="000000" w:themeColor="text1"/>
          <w:sz w:val="30"/>
          <w:szCs w:val="30"/>
        </w:rPr>
        <w:t>五</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特殊区域零售点设置标准如下：</w:t>
      </w:r>
    </w:p>
    <w:p w:rsidR="00BC3C48" w:rsidRDefault="004C5B59">
      <w:pPr>
        <w:pStyle w:val="ds-markdown-paragraph"/>
        <w:numPr>
          <w:ilvl w:val="0"/>
          <w:numId w:val="2"/>
        </w:numPr>
        <w:shd w:val="clear" w:color="auto" w:fill="FFFFFF"/>
        <w:spacing w:before="0" w:beforeAutospacing="0" w:after="0" w:afterAutospacing="0"/>
        <w:ind w:left="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封闭式住宅小区对内经营的零售点设置根据小区规划户数采用。封闭式住宅小区规划住户户数在</w:t>
      </w:r>
      <w:r>
        <w:rPr>
          <w:rFonts w:ascii="仿宋" w:eastAsia="仿宋" w:hAnsi="仿宋" w:cs="仿宋" w:hint="eastAsia"/>
          <w:color w:val="000000" w:themeColor="text1"/>
          <w:sz w:val="30"/>
          <w:szCs w:val="30"/>
        </w:rPr>
        <w:t>500</w:t>
      </w:r>
      <w:r>
        <w:rPr>
          <w:rFonts w:ascii="仿宋" w:eastAsia="仿宋" w:hAnsi="仿宋" w:cs="仿宋" w:hint="eastAsia"/>
          <w:color w:val="000000" w:themeColor="text1"/>
          <w:sz w:val="30"/>
          <w:szCs w:val="30"/>
        </w:rPr>
        <w:t>户以下可设</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个，每增加</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户可增设</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个，最多不超过</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个，间距不低于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零售点应为平层全开放式门店，住宅小区临街的经营场所（卷烟摆放或出入口、标牌设置面向建筑物外的）、开放式住宅小区，参照所在区域市场单元格的布局模式执行。</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（二）各类综合性商业市场、农贸市场、专业批发市场等商业市场内，根据固定门面（摊位）的数量采用“数量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距离”调控模式设置零售点。门面（摊位）数量不足</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户的，设置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个烟草制品零售点，门面（摊位</w:t>
      </w:r>
      <w:r>
        <w:rPr>
          <w:rFonts w:ascii="仿宋" w:eastAsia="仿宋" w:hAnsi="仿宋" w:cs="仿宋" w:hint="eastAsia"/>
          <w:color w:val="000000" w:themeColor="text1"/>
          <w:sz w:val="30"/>
          <w:szCs w:val="30"/>
        </w:rPr>
        <w:t>）数量每递增</w:t>
      </w:r>
      <w:r>
        <w:rPr>
          <w:rFonts w:ascii="仿宋" w:eastAsia="仿宋" w:hAnsi="仿宋" w:cs="仿宋" w:hint="eastAsia"/>
          <w:color w:val="000000" w:themeColor="text1"/>
          <w:sz w:val="30"/>
          <w:szCs w:val="30"/>
        </w:rPr>
        <w:t>100</w:t>
      </w:r>
      <w:r>
        <w:rPr>
          <w:rFonts w:ascii="仿宋" w:eastAsia="仿宋" w:hAnsi="仿宋" w:cs="仿宋" w:hint="eastAsia"/>
          <w:color w:val="000000" w:themeColor="text1"/>
          <w:sz w:val="30"/>
          <w:szCs w:val="30"/>
        </w:rPr>
        <w:t>户设置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个烟草制品零售点，递增数量不足</w:t>
      </w:r>
      <w:r>
        <w:rPr>
          <w:rFonts w:ascii="仿宋" w:eastAsia="仿宋" w:hAnsi="仿宋" w:cs="仿宋" w:hint="eastAsia"/>
          <w:color w:val="000000" w:themeColor="text1"/>
          <w:sz w:val="30"/>
          <w:szCs w:val="30"/>
        </w:rPr>
        <w:t>100</w:t>
      </w:r>
      <w:r>
        <w:rPr>
          <w:rFonts w:ascii="仿宋" w:eastAsia="仿宋" w:hAnsi="仿宋" w:cs="仿宋" w:hint="eastAsia"/>
          <w:color w:val="000000" w:themeColor="text1"/>
          <w:sz w:val="30"/>
          <w:szCs w:val="30"/>
        </w:rPr>
        <w:t>户的，超过</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户的按</w:t>
      </w:r>
      <w:r>
        <w:rPr>
          <w:rFonts w:ascii="仿宋" w:eastAsia="仿宋" w:hAnsi="仿宋" w:cs="仿宋" w:hint="eastAsia"/>
          <w:color w:val="000000" w:themeColor="text1"/>
          <w:sz w:val="30"/>
          <w:szCs w:val="30"/>
        </w:rPr>
        <w:t>100</w:t>
      </w:r>
      <w:r>
        <w:rPr>
          <w:rFonts w:ascii="仿宋" w:eastAsia="仿宋" w:hAnsi="仿宋" w:cs="仿宋" w:hint="eastAsia"/>
          <w:color w:val="000000" w:themeColor="text1"/>
          <w:sz w:val="30"/>
          <w:szCs w:val="30"/>
        </w:rPr>
        <w:t>户计算，同一商业市场内设置零售点不得超过</w:t>
      </w: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个，零售点之间间距设定为不低于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（三）交通枢纽内部候乘场所，如客运汽车站、客运铁路车站、渡船码头等候乘场所内部采用“数量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距离”调控模式布局，零售点布局参考室内面积，</w:t>
      </w:r>
      <w:r>
        <w:rPr>
          <w:rFonts w:ascii="仿宋" w:eastAsia="仿宋" w:hAnsi="仿宋" w:cs="仿宋" w:hint="eastAsia"/>
          <w:color w:val="000000" w:themeColor="text1"/>
          <w:sz w:val="30"/>
          <w:szCs w:val="30"/>
        </w:rPr>
        <w:t>1000</w:t>
      </w:r>
      <w:r>
        <w:rPr>
          <w:rFonts w:ascii="仿宋" w:eastAsia="仿宋" w:hAnsi="仿宋" w:cs="仿宋" w:hint="eastAsia"/>
          <w:color w:val="000000" w:themeColor="text1"/>
          <w:sz w:val="30"/>
          <w:szCs w:val="30"/>
        </w:rPr>
        <w:t>平方米以下的，在公共开放的区域内可以设置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w:t>
      </w:r>
      <w:r>
        <w:rPr>
          <w:rFonts w:ascii="仿宋" w:eastAsia="仿宋" w:hAnsi="仿宋" w:cs="仿宋" w:hint="eastAsia"/>
          <w:color w:val="000000" w:themeColor="text1"/>
          <w:sz w:val="30"/>
          <w:szCs w:val="30"/>
        </w:rPr>
        <w:lastRenderedPageBreak/>
        <w:t>零售点，每增加</w:t>
      </w:r>
      <w:r>
        <w:rPr>
          <w:rFonts w:ascii="仿宋" w:eastAsia="仿宋" w:hAnsi="仿宋" w:cs="仿宋" w:hint="eastAsia"/>
          <w:color w:val="000000" w:themeColor="text1"/>
          <w:sz w:val="30"/>
          <w:szCs w:val="30"/>
        </w:rPr>
        <w:t>1000</w:t>
      </w:r>
      <w:r>
        <w:rPr>
          <w:rFonts w:ascii="仿宋" w:eastAsia="仿宋" w:hAnsi="仿宋" w:cs="仿宋" w:hint="eastAsia"/>
          <w:color w:val="000000" w:themeColor="text1"/>
          <w:sz w:val="30"/>
          <w:szCs w:val="30"/>
        </w:rPr>
        <w:t>平方米可增设</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个烟草制品零售点，内部候乘场所设置零售点不得超过</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个，零售点之间间距设定为不低于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（四）封闭式特殊区域内设置的对内经营场所采用“数量”调控模式布局，如高等教育院校生活区、军事单位、拘留所、看守所、戒毒所、监狱等对内经营的封闭式特殊区域，每个商品经营区域可以设置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个烟草制品零售点。</w:t>
      </w:r>
    </w:p>
    <w:p w:rsidR="00BC3C48" w:rsidRDefault="004C5B59">
      <w:pPr>
        <w:ind w:firstLineChars="200" w:firstLine="600"/>
        <w:rPr>
          <w:rFonts w:ascii="仿宋" w:eastAsia="仿宋" w:hAnsi="仿宋" w:cs="仿宋"/>
          <w:color w:val="000000" w:themeColor="text1"/>
          <w:kern w:val="0"/>
          <w:sz w:val="30"/>
          <w:szCs w:val="30"/>
        </w:rPr>
      </w:pPr>
      <w:r>
        <w:rPr>
          <w:rFonts w:ascii="仿宋" w:eastAsia="仿宋" w:hAnsi="仿宋" w:cs="仿宋" w:hint="eastAsia"/>
          <w:color w:val="000000" w:themeColor="text1"/>
          <w:sz w:val="30"/>
          <w:szCs w:val="30"/>
        </w:rPr>
        <w:t>（五）</w:t>
      </w:r>
      <w:r>
        <w:rPr>
          <w:rFonts w:ascii="仿宋" w:eastAsia="仿宋" w:hAnsi="仿宋" w:cs="仿宋" w:hint="eastAsia"/>
          <w:color w:val="000000" w:themeColor="text1"/>
          <w:kern w:val="0"/>
          <w:sz w:val="30"/>
          <w:szCs w:val="30"/>
        </w:rPr>
        <w:t>休闲娱乐区域</w:t>
      </w:r>
      <w:r>
        <w:rPr>
          <w:rFonts w:ascii="仿宋" w:eastAsia="仿宋" w:hAnsi="仿宋" w:cs="仿宋" w:hint="eastAsia"/>
          <w:color w:val="000000" w:themeColor="text1"/>
          <w:kern w:val="0"/>
          <w:sz w:val="30"/>
          <w:szCs w:val="30"/>
        </w:rPr>
        <w:t>(</w:t>
      </w:r>
      <w:r>
        <w:rPr>
          <w:rFonts w:ascii="仿宋" w:eastAsia="仿宋" w:hAnsi="仿宋" w:cs="仿宋" w:hint="eastAsia"/>
          <w:color w:val="000000" w:themeColor="text1"/>
          <w:kern w:val="0"/>
          <w:sz w:val="30"/>
          <w:szCs w:val="30"/>
        </w:rPr>
        <w:t>如公园、景区等</w:t>
      </w:r>
      <w:r>
        <w:rPr>
          <w:rFonts w:ascii="仿宋" w:eastAsia="仿宋" w:hAnsi="仿宋" w:cs="仿宋" w:hint="eastAsia"/>
          <w:color w:val="000000" w:themeColor="text1"/>
          <w:kern w:val="0"/>
          <w:sz w:val="30"/>
          <w:szCs w:val="30"/>
        </w:rPr>
        <w:t>)</w:t>
      </w:r>
      <w:r>
        <w:rPr>
          <w:rFonts w:ascii="仿宋" w:eastAsia="仿宋" w:hAnsi="仿宋" w:cs="仿宋" w:hint="eastAsia"/>
          <w:color w:val="000000" w:themeColor="text1"/>
          <w:kern w:val="0"/>
          <w:sz w:val="30"/>
          <w:szCs w:val="30"/>
        </w:rPr>
        <w:t>：</w:t>
      </w:r>
      <w:r>
        <w:rPr>
          <w:rFonts w:ascii="仿宋" w:eastAsia="仿宋" w:hAnsi="仿宋" w:cs="仿宋" w:hint="eastAsia"/>
          <w:bCs/>
          <w:color w:val="000000" w:themeColor="text1"/>
          <w:kern w:val="0"/>
          <w:sz w:val="30"/>
          <w:szCs w:val="30"/>
        </w:rPr>
        <w:t>应严格限定在核心服务区或指定商业区内</w:t>
      </w:r>
      <w:r>
        <w:rPr>
          <w:rFonts w:ascii="仿宋" w:eastAsia="仿宋" w:hAnsi="仿宋" w:cs="仿宋" w:hint="eastAsia"/>
          <w:color w:val="000000" w:themeColor="text1"/>
          <w:kern w:val="0"/>
          <w:sz w:val="30"/>
          <w:szCs w:val="30"/>
        </w:rPr>
        <w:t>。面积</w:t>
      </w:r>
      <w:r>
        <w:rPr>
          <w:rFonts w:ascii="仿宋" w:eastAsia="仿宋" w:hAnsi="仿宋" w:cs="仿宋" w:hint="eastAsia"/>
          <w:color w:val="000000" w:themeColor="text1"/>
          <w:kern w:val="0"/>
          <w:sz w:val="30"/>
          <w:szCs w:val="30"/>
        </w:rPr>
        <w:t>2000</w:t>
      </w:r>
      <w:r>
        <w:rPr>
          <w:rFonts w:ascii="仿宋" w:eastAsia="仿宋" w:hAnsi="仿宋" w:cs="仿宋" w:hint="eastAsia"/>
          <w:color w:val="000000" w:themeColor="text1"/>
          <w:kern w:val="0"/>
          <w:sz w:val="30"/>
          <w:szCs w:val="30"/>
        </w:rPr>
        <w:t>平方米以下可设</w:t>
      </w:r>
      <w:r>
        <w:rPr>
          <w:rFonts w:ascii="仿宋" w:eastAsia="仿宋" w:hAnsi="仿宋" w:cs="仿宋" w:hint="eastAsia"/>
          <w:color w:val="000000" w:themeColor="text1"/>
          <w:kern w:val="0"/>
          <w:sz w:val="30"/>
          <w:szCs w:val="30"/>
        </w:rPr>
        <w:t>1</w:t>
      </w:r>
      <w:r>
        <w:rPr>
          <w:rFonts w:ascii="仿宋" w:eastAsia="仿宋" w:hAnsi="仿宋" w:cs="仿宋" w:hint="eastAsia"/>
          <w:color w:val="000000" w:themeColor="text1"/>
          <w:kern w:val="0"/>
          <w:sz w:val="30"/>
          <w:szCs w:val="30"/>
        </w:rPr>
        <w:t>个，每增加</w:t>
      </w:r>
      <w:r>
        <w:rPr>
          <w:rFonts w:ascii="仿宋" w:eastAsia="仿宋" w:hAnsi="仿宋" w:cs="仿宋" w:hint="eastAsia"/>
          <w:color w:val="000000" w:themeColor="text1"/>
          <w:kern w:val="0"/>
          <w:sz w:val="30"/>
          <w:szCs w:val="30"/>
        </w:rPr>
        <w:t>2000</w:t>
      </w:r>
      <w:r>
        <w:rPr>
          <w:rFonts w:ascii="仿宋" w:eastAsia="仿宋" w:hAnsi="仿宋" w:cs="仿宋" w:hint="eastAsia"/>
          <w:color w:val="000000" w:themeColor="text1"/>
          <w:kern w:val="0"/>
          <w:sz w:val="30"/>
          <w:szCs w:val="30"/>
        </w:rPr>
        <w:t>平方米可增设</w:t>
      </w:r>
      <w:r>
        <w:rPr>
          <w:rFonts w:ascii="仿宋" w:eastAsia="仿宋" w:hAnsi="仿宋" w:cs="仿宋" w:hint="eastAsia"/>
          <w:color w:val="000000" w:themeColor="text1"/>
          <w:kern w:val="0"/>
          <w:sz w:val="30"/>
          <w:szCs w:val="30"/>
        </w:rPr>
        <w:t>1</w:t>
      </w:r>
      <w:r>
        <w:rPr>
          <w:rFonts w:ascii="仿宋" w:eastAsia="仿宋" w:hAnsi="仿宋" w:cs="仿宋" w:hint="eastAsia"/>
          <w:color w:val="000000" w:themeColor="text1"/>
          <w:kern w:val="0"/>
          <w:sz w:val="30"/>
          <w:szCs w:val="30"/>
        </w:rPr>
        <w:t>个，最多不超过</w:t>
      </w:r>
      <w:r>
        <w:rPr>
          <w:rFonts w:ascii="仿宋" w:eastAsia="仿宋" w:hAnsi="仿宋" w:cs="仿宋" w:hint="eastAsia"/>
          <w:color w:val="000000" w:themeColor="text1"/>
          <w:kern w:val="0"/>
          <w:sz w:val="30"/>
          <w:szCs w:val="30"/>
        </w:rPr>
        <w:t>4</w:t>
      </w:r>
      <w:r>
        <w:rPr>
          <w:rFonts w:ascii="仿宋" w:eastAsia="仿宋" w:hAnsi="仿宋" w:cs="仿宋" w:hint="eastAsia"/>
          <w:color w:val="000000" w:themeColor="text1"/>
          <w:kern w:val="0"/>
          <w:sz w:val="30"/>
          <w:szCs w:val="30"/>
        </w:rPr>
        <w:t>个，</w:t>
      </w:r>
      <w:r>
        <w:rPr>
          <w:rFonts w:ascii="仿宋" w:eastAsia="仿宋" w:hAnsi="仿宋" w:cs="仿宋" w:hint="eastAsia"/>
          <w:bCs/>
          <w:color w:val="000000" w:themeColor="text1"/>
          <w:kern w:val="0"/>
          <w:sz w:val="30"/>
          <w:szCs w:val="30"/>
        </w:rPr>
        <w:t>且相互之间间距不低于</w:t>
      </w:r>
      <w:r>
        <w:rPr>
          <w:rFonts w:ascii="仿宋" w:eastAsia="仿宋" w:hAnsi="仿宋" w:cs="仿宋" w:hint="eastAsia"/>
          <w:bCs/>
          <w:color w:val="000000" w:themeColor="text1"/>
          <w:kern w:val="0"/>
          <w:sz w:val="30"/>
          <w:szCs w:val="30"/>
        </w:rPr>
        <w:t>50</w:t>
      </w:r>
      <w:r>
        <w:rPr>
          <w:rFonts w:ascii="仿宋" w:eastAsia="仿宋" w:hAnsi="仿宋" w:cs="仿宋" w:hint="eastAsia"/>
          <w:bCs/>
          <w:color w:val="000000" w:themeColor="text1"/>
          <w:kern w:val="0"/>
          <w:sz w:val="30"/>
          <w:szCs w:val="30"/>
        </w:rPr>
        <w:t>米</w:t>
      </w:r>
      <w:r>
        <w:rPr>
          <w:rFonts w:ascii="仿宋" w:eastAsia="仿宋" w:hAnsi="仿宋" w:cs="仿宋" w:hint="eastAsia"/>
          <w:color w:val="000000" w:themeColor="text1"/>
          <w:kern w:val="0"/>
          <w:sz w:val="30"/>
          <w:szCs w:val="30"/>
        </w:rPr>
        <w:t>。</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（六）具备安全保障措施、不存在安全隐患的加油站便利店以及高速公路服务区（单侧）内的经营性场所采用“数量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距离”调控模式布局，按</w:t>
      </w:r>
      <w:r>
        <w:rPr>
          <w:rFonts w:ascii="仿宋" w:eastAsia="仿宋" w:hAnsi="仿宋" w:cs="仿宋" w:hint="eastAsia"/>
          <w:color w:val="000000" w:themeColor="text1"/>
          <w:sz w:val="30"/>
          <w:szCs w:val="30"/>
        </w:rPr>
        <w:t>照“一店一证”原则设置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个烟草制品零售点，每侧</w:t>
      </w:r>
      <w:r>
        <w:rPr>
          <w:rFonts w:ascii="仿宋" w:eastAsia="仿宋" w:hAnsi="仿宋" w:cs="仿宋" w:hint="eastAsia"/>
          <w:color w:val="000000" w:themeColor="text1"/>
          <w:sz w:val="30"/>
          <w:szCs w:val="30"/>
        </w:rPr>
        <w:t>总量</w:t>
      </w:r>
      <w:r>
        <w:rPr>
          <w:rFonts w:ascii="仿宋" w:eastAsia="仿宋" w:hAnsi="仿宋" w:cs="仿宋" w:hint="eastAsia"/>
          <w:color w:val="000000" w:themeColor="text1"/>
          <w:sz w:val="30"/>
          <w:szCs w:val="30"/>
        </w:rPr>
        <w:t>不超过</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个，间距不低于</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米。</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上述零售点仅作为本场所内设置依据，不作为外部间距参照，也不受单元格数量限制。</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第十</w:t>
      </w:r>
      <w:r>
        <w:rPr>
          <w:rFonts w:ascii="仿宋" w:eastAsia="仿宋" w:hAnsi="仿宋" w:cs="仿宋" w:hint="eastAsia"/>
          <w:b/>
          <w:bCs/>
          <w:color w:val="000000" w:themeColor="text1"/>
          <w:sz w:val="30"/>
          <w:szCs w:val="30"/>
        </w:rPr>
        <w:t>六</w:t>
      </w:r>
      <w:r>
        <w:rPr>
          <w:rFonts w:ascii="仿宋" w:eastAsia="仿宋" w:hAnsi="仿宋" w:cs="仿宋" w:hint="eastAsia"/>
          <w:b/>
          <w:bCs/>
          <w:color w:val="000000" w:themeColor="text1"/>
          <w:sz w:val="30"/>
          <w:szCs w:val="30"/>
        </w:rPr>
        <w:t>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新建或在建的城镇新区、特色城镇、住宅小区、道路等，处于开发或规划阶段，尚未纳入烟草制品零售点合理布局区域单元调控规划表的区域和小区，采用“距离”调控模式布局限制模式布局，该区域内的零售点之间间距不得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米，不受单元格数量调控限制。</w:t>
      </w:r>
    </w:p>
    <w:p w:rsidR="00BC3C48" w:rsidRDefault="004C5B59">
      <w:pPr>
        <w:pStyle w:val="ds-markdown-paragraph"/>
        <w:shd w:val="clear" w:color="auto" w:fill="FFFFFF"/>
        <w:spacing w:before="0" w:beforeAutospacing="0" w:after="0" w:afterAutospacing="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六</w:t>
      </w:r>
      <w:r>
        <w:rPr>
          <w:rStyle w:val="a9"/>
          <w:rFonts w:ascii="仿宋" w:eastAsia="仿宋" w:hAnsi="仿宋" w:cs="仿宋" w:hint="eastAsia"/>
          <w:color w:val="000000" w:themeColor="text1"/>
          <w:sz w:val="30"/>
          <w:szCs w:val="30"/>
        </w:rPr>
        <w:t>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特殊业态零售点布局</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十七</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特殊业态烟草制品零售点布局标准</w:t>
      </w:r>
      <w:r>
        <w:rPr>
          <w:rFonts w:ascii="仿宋" w:eastAsia="仿宋" w:hAnsi="仿宋" w:cs="仿宋" w:hint="eastAsia"/>
          <w:color w:val="000000" w:themeColor="text1"/>
          <w:sz w:val="30"/>
          <w:szCs w:val="30"/>
        </w:rPr>
        <w:t>如下</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（一）娱乐服务类业态和其他类业态采用“距离”调控模式，</w:t>
      </w:r>
      <w:r>
        <w:rPr>
          <w:rFonts w:ascii="仿宋" w:eastAsia="仿宋" w:hAnsi="仿宋" w:cs="仿宋" w:hint="eastAsia"/>
          <w:sz w:val="30"/>
          <w:szCs w:val="30"/>
        </w:rPr>
        <w:t>零售点</w:t>
      </w:r>
      <w:r>
        <w:rPr>
          <w:rFonts w:ascii="仿宋" w:eastAsia="仿宋" w:hAnsi="仿宋" w:cs="仿宋" w:hint="eastAsia"/>
          <w:sz w:val="30"/>
          <w:szCs w:val="30"/>
        </w:rPr>
        <w:lastRenderedPageBreak/>
        <w:t>之间间距不得低于</w:t>
      </w:r>
      <w:r>
        <w:rPr>
          <w:rFonts w:ascii="仿宋" w:eastAsia="仿宋" w:hAnsi="仿宋" w:cs="仿宋" w:hint="eastAsia"/>
          <w:sz w:val="30"/>
          <w:szCs w:val="30"/>
        </w:rPr>
        <w:t>200</w:t>
      </w:r>
      <w:r>
        <w:rPr>
          <w:rFonts w:ascii="仿宋" w:eastAsia="仿宋" w:hAnsi="仿宋" w:cs="仿宋" w:hint="eastAsia"/>
          <w:sz w:val="30"/>
          <w:szCs w:val="30"/>
        </w:rPr>
        <w:t>米。</w:t>
      </w:r>
      <w:r>
        <w:rPr>
          <w:rFonts w:ascii="仿宋" w:eastAsia="仿宋" w:hAnsi="仿宋" w:cs="仿宋" w:hint="eastAsia"/>
          <w:sz w:val="30"/>
          <w:szCs w:val="30"/>
        </w:rPr>
        <w:t>同一栋建筑物内，仅</w:t>
      </w:r>
      <w:r>
        <w:rPr>
          <w:rFonts w:ascii="仿宋" w:eastAsia="仿宋" w:hAnsi="仿宋" w:cs="仿宋" w:hint="eastAsia"/>
          <w:sz w:val="30"/>
          <w:szCs w:val="30"/>
        </w:rPr>
        <w:t>设置</w:t>
      </w:r>
      <w:r>
        <w:rPr>
          <w:rFonts w:ascii="仿宋" w:eastAsia="仿宋" w:hAnsi="仿宋" w:cs="仿宋" w:hint="eastAsia"/>
          <w:sz w:val="30"/>
          <w:szCs w:val="30"/>
        </w:rPr>
        <w:t>1</w:t>
      </w:r>
      <w:r>
        <w:rPr>
          <w:rFonts w:ascii="仿宋" w:eastAsia="仿宋" w:hAnsi="仿宋" w:cs="仿宋" w:hint="eastAsia"/>
          <w:sz w:val="30"/>
          <w:szCs w:val="30"/>
        </w:rPr>
        <w:t>个烟草制品零售点</w:t>
      </w:r>
      <w:r>
        <w:rPr>
          <w:rFonts w:ascii="仿宋" w:eastAsia="仿宋" w:hAnsi="仿宋" w:cs="仿宋" w:hint="eastAsia"/>
          <w:sz w:val="30"/>
          <w:szCs w:val="30"/>
        </w:rPr>
        <w:t>。</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（二）经营面积不低于</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㎡的超市</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便利店、超市、烟草专业店，间距限制放宽至不低于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米进行核定，不受所在地市场最小单元格指导数限制。</w:t>
      </w:r>
    </w:p>
    <w:p w:rsidR="00BC3C48" w:rsidRDefault="004C5B59">
      <w:pPr>
        <w:overflowPunct w:val="0"/>
        <w:ind w:firstLineChars="200" w:firstLine="600"/>
        <w:rPr>
          <w:rFonts w:ascii="仿宋" w:eastAsia="仿宋" w:hAnsi="仿宋" w:cs="仿宋"/>
          <w:sz w:val="30"/>
          <w:szCs w:val="30"/>
        </w:rPr>
      </w:pPr>
      <w:r>
        <w:rPr>
          <w:rFonts w:ascii="仿宋" w:eastAsia="仿宋" w:hAnsi="仿宋" w:cs="仿宋" w:hint="eastAsia"/>
          <w:sz w:val="30"/>
          <w:szCs w:val="30"/>
        </w:rPr>
        <w:t>（三）经营面积</w:t>
      </w:r>
      <w:r>
        <w:rPr>
          <w:rFonts w:ascii="仿宋" w:eastAsia="仿宋" w:hAnsi="仿宋" w:cs="仿宋" w:hint="eastAsia"/>
          <w:kern w:val="0"/>
          <w:sz w:val="30"/>
          <w:szCs w:val="30"/>
        </w:rPr>
        <w:t>不低于</w:t>
      </w:r>
      <w:r>
        <w:rPr>
          <w:rFonts w:ascii="仿宋" w:eastAsia="仿宋" w:hAnsi="仿宋" w:cs="仿宋" w:hint="eastAsia"/>
          <w:kern w:val="0"/>
          <w:sz w:val="30"/>
          <w:szCs w:val="30"/>
        </w:rPr>
        <w:t>2000</w:t>
      </w:r>
      <w:r>
        <w:rPr>
          <w:rFonts w:ascii="仿宋" w:eastAsia="仿宋" w:hAnsi="仿宋" w:cs="仿宋" w:hint="eastAsia"/>
          <w:kern w:val="0"/>
          <w:sz w:val="30"/>
          <w:szCs w:val="30"/>
        </w:rPr>
        <w:t>㎡</w:t>
      </w:r>
      <w:r>
        <w:rPr>
          <w:rFonts w:ascii="仿宋" w:eastAsia="仿宋" w:hAnsi="仿宋" w:cs="仿宋" w:hint="eastAsia"/>
          <w:sz w:val="30"/>
          <w:szCs w:val="30"/>
        </w:rPr>
        <w:t>的商场，间距限制放宽至不低于</w:t>
      </w:r>
      <w:r>
        <w:rPr>
          <w:rFonts w:ascii="仿宋" w:eastAsia="仿宋" w:hAnsi="仿宋" w:cs="仿宋" w:hint="eastAsia"/>
          <w:sz w:val="30"/>
          <w:szCs w:val="30"/>
        </w:rPr>
        <w:t>30</w:t>
      </w:r>
      <w:r>
        <w:rPr>
          <w:rFonts w:ascii="仿宋" w:eastAsia="仿宋" w:hAnsi="仿宋" w:cs="仿宋" w:hint="eastAsia"/>
          <w:sz w:val="30"/>
          <w:szCs w:val="30"/>
        </w:rPr>
        <w:t>米进行核定，</w:t>
      </w:r>
      <w:r>
        <w:rPr>
          <w:rFonts w:ascii="仿宋" w:eastAsia="仿宋" w:hAnsi="仿宋" w:cs="仿宋" w:hint="eastAsia"/>
          <w:sz w:val="30"/>
          <w:szCs w:val="30"/>
          <w:shd w:val="clear" w:color="auto" w:fill="FFFFFF"/>
        </w:rPr>
        <w:t>不受所在地市场最小单元格</w:t>
      </w:r>
      <w:r>
        <w:rPr>
          <w:rFonts w:ascii="仿宋" w:eastAsia="仿宋" w:hAnsi="仿宋" w:cs="仿宋" w:hint="eastAsia"/>
          <w:sz w:val="30"/>
          <w:szCs w:val="30"/>
        </w:rPr>
        <w:t>指导数</w:t>
      </w:r>
      <w:r>
        <w:rPr>
          <w:rFonts w:ascii="仿宋" w:eastAsia="仿宋" w:hAnsi="仿宋" w:cs="仿宋" w:hint="eastAsia"/>
          <w:sz w:val="30"/>
          <w:szCs w:val="30"/>
          <w:shd w:val="clear" w:color="auto" w:fill="FFFFFF"/>
        </w:rPr>
        <w:t>限制</w:t>
      </w:r>
      <w:r>
        <w:rPr>
          <w:rFonts w:ascii="仿宋" w:eastAsia="仿宋" w:hAnsi="仿宋" w:cs="仿宋" w:hint="eastAsia"/>
          <w:sz w:val="30"/>
          <w:szCs w:val="30"/>
        </w:rPr>
        <w:t>。</w:t>
      </w:r>
    </w:p>
    <w:p w:rsidR="00BC3C48" w:rsidRDefault="004C5B59">
      <w:pPr>
        <w:pStyle w:val="ds-markdown-paragraph"/>
        <w:shd w:val="clear" w:color="auto" w:fill="FFFFFF"/>
        <w:spacing w:before="0" w:beforeAutospacing="0" w:after="0" w:afterAutospacing="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七</w:t>
      </w:r>
      <w:r>
        <w:rPr>
          <w:rStyle w:val="a9"/>
          <w:rFonts w:ascii="仿宋" w:eastAsia="仿宋" w:hAnsi="仿宋" w:cs="仿宋" w:hint="eastAsia"/>
          <w:color w:val="000000" w:themeColor="text1"/>
          <w:sz w:val="30"/>
          <w:szCs w:val="30"/>
        </w:rPr>
        <w:t>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特殊情形</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十八</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符合下列情形之一的，可适当放宽间距限制：</w:t>
      </w:r>
    </w:p>
    <w:p w:rsidR="00BC3C48" w:rsidRDefault="004C5B59">
      <w:pPr>
        <w:pStyle w:val="ds-markdown-paragraph"/>
        <w:numPr>
          <w:ilvl w:val="0"/>
          <w:numId w:val="3"/>
        </w:numPr>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申请人为个体工商户，且属于视力残疾的一级盲、二级盲，听力残疾的一、二、三级，言语残疾的一、二、三级，肢体残疾的重度（一级）、中度（二级），经核实后可放宽间距限制，按照城区、乡镇不低于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w:t>
      </w:r>
      <w:r>
        <w:rPr>
          <w:rFonts w:ascii="仿宋" w:eastAsia="仿宋" w:hAnsi="仿宋" w:cs="仿宋" w:hint="eastAsia"/>
          <w:color w:val="000000" w:themeColor="text1"/>
          <w:sz w:val="30"/>
          <w:szCs w:val="30"/>
          <w:shd w:val="clear" w:color="auto" w:fill="FFFFFF"/>
        </w:rPr>
        <w:t>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。以上残疾类型的其他等级不予优待。</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（二）烈士家属、因公牺牲军人家属，经核实后可放宽间距限制，按照城区、乡镇不低于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w:t>
      </w:r>
      <w:r>
        <w:rPr>
          <w:rFonts w:ascii="仿宋" w:eastAsia="仿宋" w:hAnsi="仿宋" w:cs="仿宋" w:hint="eastAsia"/>
          <w:color w:val="000000" w:themeColor="text1"/>
          <w:sz w:val="30"/>
          <w:szCs w:val="30"/>
          <w:shd w:val="clear" w:color="auto" w:fill="FFFFFF"/>
        </w:rPr>
        <w:t>不受所在地市场最小单元格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（三）残疾军人，经核实后可放宽间距限制，实际经营者必须为其本人或其直系亲属（仅限配偶、父母、子女），按照城区、乡镇不低于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shd w:val="clear" w:color="auto" w:fill="FFFFFF"/>
        </w:rPr>
        <w:t>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（四）退役军人，经核实后可放宽间距限制，实际经营者必须为其本人，按照城区、乡镇不低于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w:t>
      </w:r>
      <w:r>
        <w:rPr>
          <w:rFonts w:ascii="仿宋" w:eastAsia="仿宋" w:hAnsi="仿宋" w:cs="仿宋" w:hint="eastAsia"/>
          <w:color w:val="000000" w:themeColor="text1"/>
          <w:sz w:val="30"/>
          <w:szCs w:val="30"/>
        </w:rPr>
        <w:lastRenderedPageBreak/>
        <w:t>进行核定</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shd w:val="clear" w:color="auto" w:fill="FFFFFF"/>
        </w:rPr>
        <w:t>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color w:val="000000" w:themeColor="text1"/>
          <w:sz w:val="30"/>
          <w:szCs w:val="30"/>
          <w:highlight w:val="yellow"/>
        </w:rPr>
      </w:pPr>
      <w:r>
        <w:rPr>
          <w:rFonts w:ascii="仿宋" w:eastAsia="仿宋" w:hAnsi="仿宋" w:cs="仿宋" w:hint="eastAsia"/>
          <w:color w:val="000000" w:themeColor="text1"/>
          <w:sz w:val="30"/>
          <w:szCs w:val="30"/>
        </w:rPr>
        <w:t>（五）政策帮扶对象持有政府开具的有效证明，经核实后可放宽间距限制，实际经营者必须为其本人，按照城区、乡镇不低于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w:t>
      </w:r>
      <w:r>
        <w:rPr>
          <w:rFonts w:ascii="仿宋" w:eastAsia="仿宋" w:hAnsi="仿宋" w:cs="仿宋" w:hint="eastAsia"/>
          <w:color w:val="000000" w:themeColor="text1"/>
          <w:sz w:val="30"/>
          <w:szCs w:val="30"/>
        </w:rPr>
        <w:t>、省道）不低于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不</w:t>
      </w:r>
      <w:r>
        <w:rPr>
          <w:rFonts w:ascii="仿宋" w:eastAsia="仿宋" w:hAnsi="仿宋" w:cs="仿宋" w:hint="eastAsia"/>
          <w:color w:val="000000" w:themeColor="text1"/>
          <w:sz w:val="30"/>
          <w:szCs w:val="30"/>
          <w:shd w:val="clear" w:color="auto" w:fill="FFFFFF"/>
        </w:rPr>
        <w:t>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（六）政府招商引资的重点企业持有政府开具的有效证明或相关文件，经核实后可放宽间距限制，按照城区、乡镇不低于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shd w:val="clear" w:color="auto" w:fill="FFFFFF"/>
        </w:rPr>
        <w:t>受所在地市场最小单元格</w:t>
      </w:r>
      <w:r>
        <w:rPr>
          <w:rFonts w:ascii="仿宋" w:eastAsia="仿宋" w:hAnsi="仿宋" w:cs="仿宋" w:hint="eastAsia"/>
          <w:color w:val="000000" w:themeColor="text1"/>
          <w:sz w:val="30"/>
          <w:szCs w:val="30"/>
        </w:rPr>
        <w:t>指导数</w:t>
      </w:r>
      <w:r>
        <w:rPr>
          <w:rFonts w:ascii="仿宋" w:eastAsia="仿宋" w:hAnsi="仿宋" w:cs="仿宋" w:hint="eastAsia"/>
          <w:color w:val="000000" w:themeColor="text1"/>
          <w:sz w:val="30"/>
          <w:szCs w:val="30"/>
          <w:shd w:val="clear" w:color="auto" w:fill="FFFFFF"/>
        </w:rPr>
        <w:t>限制</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color w:val="000000" w:themeColor="text1"/>
          <w:sz w:val="30"/>
          <w:szCs w:val="30"/>
          <w:shd w:val="clear" w:color="auto" w:fill="FFFFFF"/>
        </w:rPr>
      </w:pPr>
      <w:r>
        <w:rPr>
          <w:rFonts w:ascii="仿宋" w:eastAsia="仿宋" w:hAnsi="仿宋" w:cs="仿宋" w:hint="eastAsia"/>
          <w:color w:val="000000" w:themeColor="text1"/>
          <w:sz w:val="30"/>
          <w:szCs w:val="30"/>
        </w:rPr>
        <w:t>（七）因道路规划、城市建设等客观原因造成无法在核定经营地址经营，或者因中小学、幼儿园新建、搬迁、通道改变等客观原因导致原许可证处于中小学、幼儿园周围范围内无法在原核定地址经营，持证人申请变更到原发证机关辖区内其他地址经营的，</w:t>
      </w:r>
      <w:r>
        <w:rPr>
          <w:rFonts w:ascii="仿宋" w:eastAsia="仿宋" w:hAnsi="仿宋" w:cs="仿宋" w:hint="eastAsia"/>
          <w:color w:val="000000" w:themeColor="text1"/>
          <w:sz w:val="30"/>
          <w:szCs w:val="30"/>
          <w:shd w:val="clear" w:color="auto" w:fill="FFFFFF"/>
        </w:rPr>
        <w:t>可以适当放</w:t>
      </w:r>
      <w:r>
        <w:rPr>
          <w:rFonts w:ascii="仿宋" w:eastAsia="仿宋" w:hAnsi="仿宋" w:cs="仿宋" w:hint="eastAsia"/>
          <w:color w:val="000000" w:themeColor="text1"/>
          <w:sz w:val="30"/>
          <w:szCs w:val="30"/>
        </w:rPr>
        <w:t>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米进行核定，实际经营者必须为本人或其家庭成员（家庭成员限于营业执照备案的共同经营家庭成员范围）。以上客观原因消除后，持证人对新许可证申请歇业的同时在原核定经营地址申请新办的，</w:t>
      </w:r>
      <w:r>
        <w:rPr>
          <w:rFonts w:ascii="仿宋" w:eastAsia="仿宋" w:hAnsi="仿宋" w:cs="仿宋" w:hint="eastAsia"/>
          <w:color w:val="000000" w:themeColor="text1"/>
          <w:sz w:val="30"/>
          <w:szCs w:val="30"/>
          <w:shd w:val="clear" w:color="auto" w:fill="FFFFFF"/>
        </w:rPr>
        <w:t>可以适当放</w:t>
      </w:r>
      <w:r>
        <w:rPr>
          <w:rFonts w:ascii="仿宋" w:eastAsia="仿宋" w:hAnsi="仿宋" w:cs="仿宋" w:hint="eastAsia"/>
          <w:color w:val="000000" w:themeColor="text1"/>
          <w:sz w:val="30"/>
          <w:szCs w:val="30"/>
        </w:rPr>
        <w:t>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米进行核定，实际经营者必须为本人或其家庭成员（家庭成员限于营业执照备案的共同经营的家庭成员范围），不受所在地市场最小单元格指导数</w:t>
      </w:r>
      <w:r>
        <w:rPr>
          <w:rFonts w:ascii="仿宋" w:eastAsia="仿宋" w:hAnsi="仿宋" w:cs="仿宋" w:hint="eastAsia"/>
          <w:color w:val="000000" w:themeColor="text1"/>
          <w:sz w:val="30"/>
          <w:szCs w:val="30"/>
          <w:shd w:val="clear" w:color="auto" w:fill="FFFFFF"/>
        </w:rPr>
        <w:t>限制。</w:t>
      </w:r>
    </w:p>
    <w:p w:rsidR="00BC3C48" w:rsidRDefault="004C5B59">
      <w:pPr>
        <w:overflowPunct w:val="0"/>
        <w:ind w:firstLineChars="200" w:firstLine="600"/>
        <w:rPr>
          <w:rFonts w:ascii="仿宋" w:eastAsia="仿宋" w:hAnsi="仿宋" w:cs="仿宋"/>
          <w:color w:val="000000" w:themeColor="text1"/>
          <w:sz w:val="30"/>
          <w:szCs w:val="30"/>
          <w:shd w:val="clear" w:color="auto" w:fill="FFFFFF"/>
        </w:rPr>
      </w:pPr>
      <w:r>
        <w:rPr>
          <w:rFonts w:ascii="仿宋" w:eastAsia="仿宋" w:hAnsi="仿宋" w:cs="仿宋" w:hint="eastAsia"/>
          <w:color w:val="000000" w:themeColor="text1"/>
          <w:sz w:val="30"/>
          <w:szCs w:val="30"/>
        </w:rPr>
        <w:t>（八）</w:t>
      </w:r>
      <w:r>
        <w:rPr>
          <w:rFonts w:ascii="仿宋" w:eastAsia="仿宋" w:hAnsi="仿宋" w:cs="仿宋" w:hint="eastAsia"/>
          <w:color w:val="000000" w:themeColor="text1"/>
          <w:sz w:val="30"/>
          <w:szCs w:val="30"/>
          <w:shd w:val="clear" w:color="auto" w:fill="FFFFFF"/>
        </w:rPr>
        <w:t>中小学、幼儿园周边</w:t>
      </w:r>
      <w:r>
        <w:rPr>
          <w:rFonts w:ascii="仿宋" w:eastAsia="仿宋" w:hAnsi="仿宋" w:cs="仿宋" w:hint="eastAsia"/>
          <w:color w:val="000000" w:themeColor="text1"/>
          <w:sz w:val="30"/>
          <w:szCs w:val="30"/>
          <w:shd w:val="clear" w:color="auto" w:fill="FFFFFF"/>
        </w:rPr>
        <w:t>50</w:t>
      </w:r>
      <w:r>
        <w:rPr>
          <w:rFonts w:ascii="仿宋" w:eastAsia="仿宋" w:hAnsi="仿宋" w:cs="仿宋" w:hint="eastAsia"/>
          <w:color w:val="000000" w:themeColor="text1"/>
          <w:sz w:val="30"/>
          <w:szCs w:val="30"/>
          <w:shd w:val="clear" w:color="auto" w:fill="FFFFFF"/>
        </w:rPr>
        <w:t>米以内</w:t>
      </w:r>
      <w:r>
        <w:rPr>
          <w:rFonts w:ascii="仿宋" w:eastAsia="仿宋" w:hAnsi="仿宋" w:cs="仿宋" w:hint="eastAsia"/>
          <w:color w:val="000000" w:themeColor="text1"/>
          <w:sz w:val="30"/>
          <w:szCs w:val="30"/>
        </w:rPr>
        <w:t>已合法持有有效</w:t>
      </w:r>
      <w:r>
        <w:rPr>
          <w:rFonts w:ascii="仿宋" w:eastAsia="仿宋" w:hAnsi="仿宋" w:cs="仿宋" w:hint="eastAsia"/>
          <w:color w:val="000000" w:themeColor="text1"/>
          <w:sz w:val="30"/>
          <w:szCs w:val="30"/>
        </w:rPr>
        <w:t>烟草专卖零售许可证的零售户</w:t>
      </w:r>
      <w:r>
        <w:rPr>
          <w:rFonts w:ascii="仿宋" w:eastAsia="仿宋" w:hAnsi="仿宋" w:cs="仿宋" w:hint="eastAsia"/>
          <w:color w:val="000000" w:themeColor="text1"/>
          <w:sz w:val="30"/>
          <w:szCs w:val="30"/>
          <w:shd w:val="clear" w:color="auto" w:fill="FFFFFF"/>
        </w:rPr>
        <w:t>，原则上许可证到期不予延续。</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shd w:val="clear" w:color="auto" w:fill="FFFFFF"/>
        </w:rPr>
        <w:t>中小学、幼儿园周边超过</w:t>
      </w:r>
      <w:r>
        <w:rPr>
          <w:rFonts w:ascii="仿宋" w:eastAsia="仿宋" w:hAnsi="仿宋" w:cs="仿宋" w:hint="eastAsia"/>
          <w:color w:val="000000" w:themeColor="text1"/>
          <w:sz w:val="30"/>
          <w:szCs w:val="30"/>
          <w:shd w:val="clear" w:color="auto" w:fill="FFFFFF"/>
        </w:rPr>
        <w:t>50</w:t>
      </w:r>
      <w:r>
        <w:rPr>
          <w:rFonts w:ascii="仿宋" w:eastAsia="仿宋" w:hAnsi="仿宋" w:cs="仿宋" w:hint="eastAsia"/>
          <w:color w:val="000000" w:themeColor="text1"/>
          <w:sz w:val="30"/>
          <w:szCs w:val="30"/>
          <w:shd w:val="clear" w:color="auto" w:fill="FFFFFF"/>
        </w:rPr>
        <w:t>米、不足</w:t>
      </w:r>
      <w:r>
        <w:rPr>
          <w:rFonts w:ascii="仿宋" w:eastAsia="仿宋" w:hAnsi="仿宋" w:cs="仿宋" w:hint="eastAsia"/>
          <w:color w:val="000000" w:themeColor="text1"/>
          <w:sz w:val="30"/>
          <w:szCs w:val="30"/>
          <w:shd w:val="clear" w:color="auto" w:fill="FFFFFF"/>
        </w:rPr>
        <w:t>200</w:t>
      </w:r>
      <w:r>
        <w:rPr>
          <w:rFonts w:ascii="仿宋" w:eastAsia="仿宋" w:hAnsi="仿宋" w:cs="仿宋" w:hint="eastAsia"/>
          <w:color w:val="000000" w:themeColor="text1"/>
          <w:sz w:val="30"/>
          <w:szCs w:val="30"/>
          <w:shd w:val="clear" w:color="auto" w:fill="FFFFFF"/>
        </w:rPr>
        <w:t>米</w:t>
      </w:r>
      <w:r>
        <w:rPr>
          <w:rFonts w:ascii="仿宋" w:eastAsia="仿宋" w:hAnsi="仿宋" w:cs="仿宋" w:hint="eastAsia"/>
          <w:color w:val="000000" w:themeColor="text1"/>
          <w:sz w:val="30"/>
          <w:szCs w:val="30"/>
          <w:shd w:val="clear" w:color="auto" w:fill="FFFFFF"/>
        </w:rPr>
        <w:t>的</w:t>
      </w:r>
      <w:r>
        <w:rPr>
          <w:rFonts w:ascii="仿宋" w:eastAsia="仿宋" w:hAnsi="仿宋" w:cs="仿宋" w:hint="eastAsia"/>
          <w:color w:val="000000" w:themeColor="text1"/>
          <w:sz w:val="30"/>
          <w:szCs w:val="30"/>
        </w:rPr>
        <w:t>已合法持有有效烟草专</w:t>
      </w:r>
      <w:r>
        <w:rPr>
          <w:rFonts w:ascii="仿宋" w:eastAsia="仿宋" w:hAnsi="仿宋" w:cs="仿宋" w:hint="eastAsia"/>
          <w:color w:val="000000" w:themeColor="text1"/>
          <w:sz w:val="30"/>
          <w:szCs w:val="30"/>
        </w:rPr>
        <w:lastRenderedPageBreak/>
        <w:t>卖零售许可证的零售户，可保留其继续从事烟草制品零售业务的资格。</w:t>
      </w:r>
      <w:r>
        <w:rPr>
          <w:rFonts w:ascii="仿宋" w:eastAsia="仿宋" w:hAnsi="仿宋" w:cs="仿宋" w:hint="eastAsia"/>
          <w:color w:val="000000" w:themeColor="text1"/>
          <w:sz w:val="30"/>
          <w:szCs w:val="30"/>
        </w:rPr>
        <w:t xml:space="preserve"> </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shd w:val="clear" w:color="auto" w:fill="FFFFFF"/>
        </w:rPr>
        <w:t>中小学、幼儿园周边</w:t>
      </w:r>
      <w:r>
        <w:rPr>
          <w:rFonts w:ascii="仿宋" w:eastAsia="仿宋" w:hAnsi="仿宋" w:cs="仿宋" w:hint="eastAsia"/>
          <w:color w:val="000000" w:themeColor="text1"/>
          <w:sz w:val="30"/>
          <w:szCs w:val="30"/>
          <w:shd w:val="clear" w:color="auto" w:fill="FFFFFF"/>
        </w:rPr>
        <w:t>不足</w:t>
      </w:r>
      <w:r>
        <w:rPr>
          <w:rFonts w:ascii="仿宋" w:eastAsia="仿宋" w:hAnsi="仿宋" w:cs="仿宋" w:hint="eastAsia"/>
          <w:color w:val="000000" w:themeColor="text1"/>
          <w:sz w:val="30"/>
          <w:szCs w:val="30"/>
          <w:shd w:val="clear" w:color="auto" w:fill="FFFFFF"/>
        </w:rPr>
        <w:t>200</w:t>
      </w:r>
      <w:r>
        <w:rPr>
          <w:rFonts w:ascii="仿宋" w:eastAsia="仿宋" w:hAnsi="仿宋" w:cs="仿宋" w:hint="eastAsia"/>
          <w:color w:val="000000" w:themeColor="text1"/>
          <w:sz w:val="30"/>
          <w:szCs w:val="30"/>
          <w:shd w:val="clear" w:color="auto" w:fill="FFFFFF"/>
        </w:rPr>
        <w:t>米的</w:t>
      </w:r>
      <w:r>
        <w:rPr>
          <w:rFonts w:ascii="仿宋" w:eastAsia="仿宋" w:hAnsi="仿宋" w:cs="仿宋" w:hint="eastAsia"/>
          <w:color w:val="000000" w:themeColor="text1"/>
          <w:sz w:val="30"/>
          <w:szCs w:val="30"/>
        </w:rPr>
        <w:t>已</w:t>
      </w:r>
      <w:bookmarkStart w:id="0" w:name="_GoBack"/>
      <w:bookmarkEnd w:id="0"/>
      <w:r>
        <w:rPr>
          <w:rFonts w:ascii="仿宋" w:eastAsia="仿宋" w:hAnsi="仿宋" w:cs="仿宋" w:hint="eastAsia"/>
          <w:color w:val="000000" w:themeColor="text1"/>
          <w:sz w:val="30"/>
          <w:szCs w:val="30"/>
        </w:rPr>
        <w:t>合法持有有效烟草专卖零售许可证的零售户</w:t>
      </w:r>
      <w:r>
        <w:rPr>
          <w:rFonts w:ascii="仿宋" w:eastAsia="仿宋" w:hAnsi="仿宋" w:cs="仿宋" w:hint="eastAsia"/>
          <w:color w:val="000000" w:themeColor="text1"/>
          <w:sz w:val="30"/>
          <w:szCs w:val="30"/>
        </w:rPr>
        <w:t>若是</w:t>
      </w:r>
      <w:r>
        <w:rPr>
          <w:rFonts w:ascii="仿宋" w:eastAsia="仿宋" w:hAnsi="仿宋" w:cs="仿宋" w:hint="eastAsia"/>
          <w:color w:val="000000" w:themeColor="text1"/>
          <w:sz w:val="30"/>
          <w:szCs w:val="30"/>
        </w:rPr>
        <w:t>在其有效期结束前，主动申请搬迁、变更经营地址的，可以适当放宽间距限制，按照城区、乡镇不低于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米、公路沿线（国道、省道）不低于</w:t>
      </w:r>
      <w:r>
        <w:rPr>
          <w:rFonts w:ascii="仿宋" w:eastAsia="仿宋" w:hAnsi="仿宋" w:cs="仿宋" w:hint="eastAsia"/>
          <w:color w:val="000000" w:themeColor="text1"/>
          <w:sz w:val="30"/>
          <w:szCs w:val="30"/>
        </w:rPr>
        <w:t>50</w:t>
      </w:r>
      <w:r>
        <w:rPr>
          <w:rFonts w:ascii="仿宋" w:eastAsia="仿宋" w:hAnsi="仿宋" w:cs="仿宋" w:hint="eastAsia"/>
          <w:color w:val="000000" w:themeColor="text1"/>
          <w:sz w:val="30"/>
          <w:szCs w:val="30"/>
        </w:rPr>
        <w:t>米进行核定，实际经营者必须为本人或其家庭成员（家庭成员限于营业执照备案的共同经营家庭成员范围），不受所在地市场最小单元</w:t>
      </w:r>
      <w:r>
        <w:rPr>
          <w:rFonts w:ascii="仿宋" w:eastAsia="仿宋" w:hAnsi="仿宋" w:cs="仿宋" w:hint="eastAsia"/>
          <w:color w:val="000000" w:themeColor="text1"/>
          <w:sz w:val="30"/>
          <w:szCs w:val="30"/>
        </w:rPr>
        <w:t>格指导数限制。</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（九）辖区内新建成的“烟火火”红色驿站初次申请办理许可证的，相邻零售点之间的间距不得低于</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米，不受所在市场最小单元格指导数数量限制。“烟火火”红色驿站建设认定标准和程序详见《乐山市烟草专卖局（公司）“烟火火”红色驿站建设管理实施细则》。</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同一申请人在乐山市五通桥区行政区域内只享受一次上述政策。</w:t>
      </w:r>
    </w:p>
    <w:p w:rsidR="00BC3C48" w:rsidRDefault="004C5B59">
      <w:pPr>
        <w:pStyle w:val="ds-markdown-paragraph"/>
        <w:shd w:val="clear" w:color="auto" w:fill="FFFFFF"/>
        <w:spacing w:before="0" w:beforeAutospacing="0" w:after="0" w:afterAutospacing="0"/>
        <w:jc w:val="center"/>
        <w:rPr>
          <w:rStyle w:val="a9"/>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八</w:t>
      </w:r>
      <w:r>
        <w:rPr>
          <w:rStyle w:val="a9"/>
          <w:rFonts w:ascii="仿宋" w:eastAsia="仿宋" w:hAnsi="仿宋" w:cs="仿宋" w:hint="eastAsia"/>
          <w:color w:val="000000" w:themeColor="text1"/>
          <w:sz w:val="30"/>
          <w:szCs w:val="30"/>
        </w:rPr>
        <w:t>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雪茄烟零售点布局规划</w:t>
      </w:r>
    </w:p>
    <w:p w:rsidR="00BC3C48" w:rsidRDefault="004C5B59">
      <w:pPr>
        <w:pStyle w:val="ds-markdown-paragraph"/>
        <w:shd w:val="clear" w:color="auto" w:fill="FFFFFF"/>
        <w:spacing w:before="0" w:beforeAutospacing="0" w:after="0" w:afterAutospacing="0"/>
        <w:ind w:firstLineChars="200" w:firstLine="602"/>
        <w:jc w:val="both"/>
        <w:rPr>
          <w:rStyle w:val="a9"/>
          <w:rFonts w:ascii="仿宋" w:eastAsia="仿宋" w:hAnsi="仿宋" w:cs="仿宋"/>
          <w:b w:val="0"/>
          <w:bCs w:val="0"/>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十九</w:t>
      </w:r>
      <w:r>
        <w:rPr>
          <w:rStyle w:val="a9"/>
          <w:rFonts w:ascii="仿宋" w:eastAsia="仿宋" w:hAnsi="仿宋" w:cs="仿宋" w:hint="eastAsia"/>
          <w:color w:val="000000" w:themeColor="text1"/>
          <w:sz w:val="30"/>
          <w:szCs w:val="30"/>
        </w:rPr>
        <w:t>条</w:t>
      </w:r>
      <w:r>
        <w:rPr>
          <w:rStyle w:val="a9"/>
          <w:rFonts w:ascii="仿宋" w:eastAsia="仿宋" w:hAnsi="仿宋" w:cs="仿宋" w:hint="eastAsia"/>
          <w:b w:val="0"/>
          <w:bCs w:val="0"/>
          <w:color w:val="000000" w:themeColor="text1"/>
          <w:sz w:val="30"/>
          <w:szCs w:val="30"/>
        </w:rPr>
        <w:t xml:space="preserve"> </w:t>
      </w:r>
      <w:r>
        <w:rPr>
          <w:rStyle w:val="a9"/>
          <w:rFonts w:ascii="仿宋" w:eastAsia="仿宋" w:hAnsi="仿宋" w:cs="仿宋" w:hint="eastAsia"/>
          <w:b w:val="0"/>
          <w:bCs w:val="0"/>
          <w:color w:val="000000" w:themeColor="text1"/>
          <w:sz w:val="30"/>
          <w:szCs w:val="30"/>
        </w:rPr>
        <w:t>雪茄烟零售点布局实行单独布局，采用以下标准：</w:t>
      </w:r>
    </w:p>
    <w:p w:rsidR="00BC3C48" w:rsidRDefault="004C5B59">
      <w:pPr>
        <w:pStyle w:val="ds-markdown-paragraph"/>
        <w:shd w:val="clear" w:color="auto" w:fill="FFFFFF"/>
        <w:spacing w:before="0" w:beforeAutospacing="0" w:after="0" w:afterAutospacing="0"/>
        <w:ind w:firstLineChars="200" w:firstLine="600"/>
        <w:jc w:val="both"/>
        <w:rPr>
          <w:rStyle w:val="a9"/>
          <w:rFonts w:ascii="仿宋" w:eastAsia="仿宋" w:hAnsi="仿宋" w:cs="仿宋"/>
          <w:b w:val="0"/>
          <w:bCs w:val="0"/>
          <w:color w:val="000000" w:themeColor="text1"/>
          <w:sz w:val="30"/>
          <w:szCs w:val="30"/>
        </w:rPr>
      </w:pPr>
      <w:r>
        <w:rPr>
          <w:rStyle w:val="a9"/>
          <w:rFonts w:ascii="仿宋" w:eastAsia="仿宋" w:hAnsi="仿宋" w:cs="仿宋" w:hint="eastAsia"/>
          <w:b w:val="0"/>
          <w:bCs w:val="0"/>
          <w:color w:val="000000" w:themeColor="text1"/>
          <w:sz w:val="30"/>
          <w:szCs w:val="30"/>
        </w:rPr>
        <w:t>（一）雪茄烟零售点指经营范围只包含雪茄烟本店零售的经营场所。雪茄烟零售点应有专门用于雪茄烟陈列、展示的设施，有能够恒定维持雪茄烟储存所需湿度、温度条件的设备设施，有满足雪茄烟品鉴条件的区域、工具及良好通风条件的品鉴环境。</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Style w:val="a9"/>
          <w:rFonts w:ascii="仿宋" w:eastAsia="仿宋" w:hAnsi="仿宋" w:cs="仿宋" w:hint="eastAsia"/>
          <w:b w:val="0"/>
          <w:bCs w:val="0"/>
          <w:color w:val="000000" w:themeColor="text1"/>
          <w:sz w:val="30"/>
          <w:szCs w:val="30"/>
        </w:rPr>
        <w:t>（二）</w:t>
      </w:r>
      <w:r>
        <w:rPr>
          <w:rStyle w:val="a9"/>
          <w:rFonts w:ascii="仿宋" w:eastAsia="仿宋" w:hAnsi="仿宋" w:cs="仿宋" w:hint="eastAsia"/>
          <w:b w:val="0"/>
          <w:bCs w:val="0"/>
          <w:color w:val="000000" w:themeColor="text1"/>
          <w:sz w:val="30"/>
          <w:szCs w:val="30"/>
        </w:rPr>
        <w:t>雪茄烟零售点的布局不与其他卷烟、电子烟零售点相互参照</w:t>
      </w:r>
      <w:r>
        <w:rPr>
          <w:rStyle w:val="a9"/>
          <w:rFonts w:ascii="仿宋" w:eastAsia="仿宋" w:hAnsi="仿宋" w:cs="仿宋" w:hint="eastAsia"/>
          <w:b w:val="0"/>
          <w:bCs w:val="0"/>
          <w:color w:val="000000" w:themeColor="text1"/>
          <w:sz w:val="30"/>
          <w:szCs w:val="30"/>
        </w:rPr>
        <w:t>。乐山市五通桥区烟草专卖局综合考虑人口数量、市场特征、消费需求及合理利润等因素，对雪茄烟零售点采取数量调控模式，在全区共设置</w:t>
      </w:r>
      <w:r>
        <w:rPr>
          <w:rStyle w:val="a9"/>
          <w:rFonts w:ascii="仿宋" w:eastAsia="仿宋" w:hAnsi="仿宋" w:cs="仿宋" w:hint="eastAsia"/>
          <w:b w:val="0"/>
          <w:bCs w:val="0"/>
          <w:color w:val="000000" w:themeColor="text1"/>
          <w:sz w:val="30"/>
          <w:szCs w:val="30"/>
        </w:rPr>
        <w:t>5</w:t>
      </w:r>
      <w:r>
        <w:rPr>
          <w:rStyle w:val="a9"/>
          <w:rFonts w:ascii="仿宋" w:eastAsia="仿宋" w:hAnsi="仿宋" w:cs="仿宋" w:hint="eastAsia"/>
          <w:b w:val="0"/>
          <w:bCs w:val="0"/>
          <w:color w:val="000000" w:themeColor="text1"/>
          <w:sz w:val="30"/>
          <w:szCs w:val="30"/>
        </w:rPr>
        <w:t>个雪茄烟零售点，且不受间距限制。对于机场、高铁站、旅游景区、特色商业</w:t>
      </w:r>
      <w:r>
        <w:rPr>
          <w:rStyle w:val="a9"/>
          <w:rFonts w:ascii="仿宋" w:eastAsia="仿宋" w:hAnsi="仿宋" w:cs="仿宋" w:hint="eastAsia"/>
          <w:b w:val="0"/>
          <w:bCs w:val="0"/>
          <w:color w:val="000000" w:themeColor="text1"/>
          <w:sz w:val="30"/>
          <w:szCs w:val="30"/>
        </w:rPr>
        <w:lastRenderedPageBreak/>
        <w:t>街区、大型商场、购物中心、星级宾馆等相</w:t>
      </w:r>
      <w:r>
        <w:rPr>
          <w:rStyle w:val="a9"/>
          <w:rFonts w:ascii="仿宋" w:eastAsia="仿宋" w:hAnsi="仿宋" w:cs="仿宋" w:hint="eastAsia"/>
          <w:b w:val="0"/>
          <w:bCs w:val="0"/>
          <w:color w:val="000000" w:themeColor="text1"/>
          <w:sz w:val="30"/>
          <w:szCs w:val="30"/>
        </w:rPr>
        <w:t>对独立的市场单元</w:t>
      </w:r>
      <w:r>
        <w:rPr>
          <w:rFonts w:ascii="仿宋" w:eastAsia="仿宋" w:hAnsi="仿宋" w:cs="仿宋" w:hint="eastAsia"/>
          <w:color w:val="000000" w:themeColor="text1"/>
          <w:sz w:val="30"/>
          <w:szCs w:val="30"/>
          <w:shd w:val="clear" w:color="auto" w:fill="FFFFFF"/>
        </w:rPr>
        <w:t>，若</w:t>
      </w:r>
      <w:r>
        <w:rPr>
          <w:rFonts w:ascii="仿宋" w:eastAsia="仿宋" w:hAnsi="仿宋" w:cs="仿宋" w:hint="eastAsia"/>
          <w:color w:val="000000" w:themeColor="text1"/>
          <w:sz w:val="30"/>
          <w:szCs w:val="30"/>
        </w:rPr>
        <w:t>门面（摊位）数量不足</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户，则设置</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个雪茄烟零售点；若超过</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户，则可增加</w:t>
      </w: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个雪茄烟零售点。同一</w:t>
      </w:r>
      <w:r>
        <w:rPr>
          <w:rStyle w:val="a9"/>
          <w:rFonts w:ascii="仿宋" w:eastAsia="仿宋" w:hAnsi="仿宋" w:cs="仿宋" w:hint="eastAsia"/>
          <w:b w:val="0"/>
          <w:bCs w:val="0"/>
          <w:color w:val="000000" w:themeColor="text1"/>
          <w:sz w:val="30"/>
          <w:szCs w:val="30"/>
        </w:rPr>
        <w:t>独立市场单元内的雪茄烟零售点数量</w:t>
      </w:r>
      <w:r>
        <w:rPr>
          <w:rFonts w:ascii="仿宋" w:eastAsia="仿宋" w:hAnsi="仿宋" w:cs="仿宋" w:hint="eastAsia"/>
          <w:color w:val="000000" w:themeColor="text1"/>
          <w:sz w:val="30"/>
          <w:szCs w:val="30"/>
        </w:rPr>
        <w:t>不得超过</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个</w:t>
      </w:r>
      <w:r>
        <w:rPr>
          <w:rStyle w:val="a9"/>
          <w:rFonts w:ascii="仿宋" w:eastAsia="仿宋" w:hAnsi="仿宋" w:cs="仿宋" w:hint="eastAsia"/>
          <w:b w:val="0"/>
          <w:bCs w:val="0"/>
          <w:color w:val="000000" w:themeColor="text1"/>
          <w:sz w:val="30"/>
          <w:szCs w:val="30"/>
        </w:rPr>
        <w:t>，且不受区域市场雪茄烟零售点名额的限制。</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sz w:val="30"/>
          <w:szCs w:val="30"/>
        </w:rPr>
      </w:pPr>
      <w:r>
        <w:rPr>
          <w:rStyle w:val="a9"/>
          <w:rFonts w:ascii="仿宋" w:eastAsia="仿宋" w:hAnsi="仿宋" w:cs="仿宋" w:hint="eastAsia"/>
          <w:b w:val="0"/>
          <w:bCs w:val="0"/>
          <w:color w:val="000000" w:themeColor="text1"/>
          <w:sz w:val="30"/>
          <w:szCs w:val="30"/>
        </w:rPr>
        <w:t>（</w:t>
      </w:r>
      <w:r>
        <w:rPr>
          <w:rStyle w:val="a9"/>
          <w:rFonts w:ascii="仿宋" w:eastAsia="仿宋" w:hAnsi="仿宋" w:cs="仿宋" w:hint="eastAsia"/>
          <w:b w:val="0"/>
          <w:bCs w:val="0"/>
          <w:sz w:val="30"/>
          <w:szCs w:val="30"/>
        </w:rPr>
        <w:t>三）</w:t>
      </w:r>
      <w:r>
        <w:rPr>
          <w:rFonts w:ascii="仿宋" w:eastAsia="仿宋" w:hAnsi="仿宋" w:cs="仿宋" w:hint="eastAsia"/>
          <w:sz w:val="30"/>
          <w:szCs w:val="30"/>
        </w:rPr>
        <w:t>乐山市五通桥区烟草专卖局根据雪茄烟市场需求、产业政策变化，基于销量、消费群体、市场趋势等数据评估供需，拟定数量调整方案</w:t>
      </w:r>
      <w:r>
        <w:rPr>
          <w:rFonts w:ascii="仿宋" w:eastAsia="仿宋" w:hAnsi="仿宋" w:cs="仿宋" w:hint="eastAsia"/>
          <w:sz w:val="30"/>
          <w:szCs w:val="30"/>
        </w:rPr>
        <w:t>。</w:t>
      </w:r>
      <w:r>
        <w:rPr>
          <w:rFonts w:ascii="仿宋" w:eastAsia="仿宋" w:hAnsi="仿宋" w:cs="仿宋" w:hint="eastAsia"/>
          <w:sz w:val="30"/>
          <w:szCs w:val="30"/>
        </w:rPr>
        <w:t>经</w:t>
      </w:r>
      <w:r>
        <w:rPr>
          <w:rFonts w:ascii="仿宋" w:eastAsia="仿宋" w:hAnsi="仿宋" w:cs="仿宋" w:hint="eastAsia"/>
          <w:sz w:val="30"/>
          <w:szCs w:val="30"/>
        </w:rPr>
        <w:t>内部审核、</w:t>
      </w:r>
      <w:r>
        <w:rPr>
          <w:rFonts w:ascii="仿宋" w:eastAsia="仿宋" w:hAnsi="仿宋" w:cs="仿宋" w:hint="eastAsia"/>
          <w:sz w:val="30"/>
          <w:szCs w:val="30"/>
        </w:rPr>
        <w:t>公示征求意见、集体决策</w:t>
      </w:r>
      <w:r>
        <w:rPr>
          <w:rFonts w:ascii="仿宋" w:eastAsia="仿宋" w:hAnsi="仿宋" w:cs="仿宋" w:hint="eastAsia"/>
          <w:sz w:val="30"/>
          <w:szCs w:val="30"/>
        </w:rPr>
        <w:t>后，在</w:t>
      </w:r>
      <w:r>
        <w:rPr>
          <w:rFonts w:ascii="仿宋" w:eastAsia="仿宋" w:hAnsi="仿宋" w:cs="仿宋" w:hint="eastAsia"/>
          <w:sz w:val="30"/>
          <w:szCs w:val="30"/>
        </w:rPr>
        <w:t>乐山市五通桥区政府网公告</w:t>
      </w:r>
      <w:r>
        <w:rPr>
          <w:rFonts w:ascii="仿宋" w:eastAsia="仿宋" w:hAnsi="仿宋" w:cs="仿宋" w:hint="eastAsia"/>
          <w:sz w:val="30"/>
          <w:szCs w:val="30"/>
        </w:rPr>
        <w:t>30</w:t>
      </w:r>
      <w:r>
        <w:rPr>
          <w:rFonts w:ascii="仿宋" w:eastAsia="仿宋" w:hAnsi="仿宋" w:cs="仿宋" w:hint="eastAsia"/>
          <w:sz w:val="30"/>
          <w:szCs w:val="30"/>
        </w:rPr>
        <w:t>日后实施，确保与实际需求匹配且程序合规。</w:t>
      </w:r>
    </w:p>
    <w:p w:rsidR="00BC3C48" w:rsidRDefault="004C5B59">
      <w:pPr>
        <w:pStyle w:val="ds-markdown-paragraph"/>
        <w:shd w:val="clear" w:color="auto" w:fill="FFFFFF"/>
        <w:spacing w:before="0" w:beforeAutospacing="0" w:after="0" w:afterAutospacing="0"/>
        <w:ind w:firstLineChars="200" w:firstLine="600"/>
        <w:jc w:val="both"/>
        <w:rPr>
          <w:rStyle w:val="a9"/>
          <w:rFonts w:ascii="仿宋" w:eastAsia="仿宋" w:hAnsi="仿宋" w:cs="仿宋"/>
          <w:b w:val="0"/>
          <w:bCs w:val="0"/>
          <w:color w:val="000000" w:themeColor="text1"/>
          <w:sz w:val="30"/>
          <w:szCs w:val="30"/>
        </w:rPr>
      </w:pPr>
      <w:r>
        <w:rPr>
          <w:rStyle w:val="a9"/>
          <w:rFonts w:ascii="仿宋" w:eastAsia="仿宋" w:hAnsi="仿宋" w:cs="仿宋" w:hint="eastAsia"/>
          <w:b w:val="0"/>
          <w:bCs w:val="0"/>
          <w:color w:val="000000" w:themeColor="text1"/>
          <w:sz w:val="30"/>
          <w:szCs w:val="30"/>
        </w:rPr>
        <w:t>（四）根据雪茄烟零售点布局规划取得的许可证，如果申请许可范围变更的，需符合申请变更许可范围所对应的零售点布局规划。同一经营地址已经办理了烟草专卖零售许可证，在有效期内不再核准雪茄烟零售许可。</w:t>
      </w:r>
    </w:p>
    <w:p w:rsidR="00BC3C48" w:rsidRDefault="004C5B59">
      <w:pPr>
        <w:pStyle w:val="ds-markdown-paragraph"/>
        <w:shd w:val="clear" w:color="auto" w:fill="FFFFFF"/>
        <w:spacing w:before="0" w:beforeAutospacing="0" w:after="0" w:afterAutospacing="0"/>
        <w:jc w:val="center"/>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九</w:t>
      </w:r>
      <w:r>
        <w:rPr>
          <w:rStyle w:val="a9"/>
          <w:rFonts w:ascii="仿宋" w:eastAsia="仿宋" w:hAnsi="仿宋" w:cs="仿宋" w:hint="eastAsia"/>
          <w:color w:val="000000" w:themeColor="text1"/>
          <w:sz w:val="30"/>
          <w:szCs w:val="30"/>
        </w:rPr>
        <w:t>章</w:t>
      </w:r>
      <w:r>
        <w:rPr>
          <w:rStyle w:val="a9"/>
          <w:rFonts w:ascii="仿宋" w:eastAsia="仿宋" w:hAnsi="仿宋" w:cs="仿宋" w:hint="eastAsia"/>
          <w:color w:val="000000" w:themeColor="text1"/>
          <w:sz w:val="30"/>
          <w:szCs w:val="30"/>
        </w:rPr>
        <w:t xml:space="preserve"> </w:t>
      </w:r>
      <w:r>
        <w:rPr>
          <w:rStyle w:val="a9"/>
          <w:rFonts w:ascii="仿宋" w:eastAsia="仿宋" w:hAnsi="仿宋" w:cs="仿宋" w:hint="eastAsia"/>
          <w:color w:val="000000" w:themeColor="text1"/>
          <w:sz w:val="30"/>
          <w:szCs w:val="30"/>
        </w:rPr>
        <w:t>不予设置的情形</w:t>
      </w:r>
    </w:p>
    <w:p w:rsidR="00BC3C48" w:rsidRDefault="004C5B59">
      <w:pPr>
        <w:pStyle w:val="ds-markdown-paragraph"/>
        <w:shd w:val="clear" w:color="auto" w:fill="FFFFFF"/>
        <w:spacing w:before="0" w:beforeAutospacing="0" w:after="0" w:afterAutospacing="0"/>
        <w:ind w:firstLineChars="198" w:firstLine="596"/>
        <w:jc w:val="both"/>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第二十条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有下列情形之一的，不予发放烟草专卖零售许可证：</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（一）申请资格方面：</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无民事行为能力或限制民事行为能力人。</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外商投资的商业企业或者个体工商户，或外商投资的商业企业或者个体工商户以特许、吸纳加盟店及其他再投资等形式变相从事烟草专卖品经营的。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取消从事烟草专卖业务资格不满三年的</w:t>
      </w:r>
      <w:r>
        <w:rPr>
          <w:rFonts w:ascii="仿宋" w:eastAsia="仿宋" w:hAnsi="仿宋" w:cs="仿宋" w:hint="eastAsia"/>
          <w:color w:val="000000" w:themeColor="text1"/>
          <w:sz w:val="30"/>
          <w:szCs w:val="30"/>
        </w:rPr>
        <w:t>。</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申请人隐瞒有关情况或者提供虚假材料，烟草专卖行政主管部门作出不予受理或者不予发证决定后，申请人一年内再次提出申请的。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申请人以欺骗、贿赂等不正当手段取得的烟草专卖许可证被撤销后，</w:t>
      </w:r>
      <w:r>
        <w:rPr>
          <w:rFonts w:ascii="仿宋" w:eastAsia="仿宋" w:hAnsi="仿宋" w:cs="仿宋" w:hint="eastAsia"/>
          <w:color w:val="000000" w:themeColor="text1"/>
          <w:sz w:val="30"/>
          <w:szCs w:val="30"/>
        </w:rPr>
        <w:lastRenderedPageBreak/>
        <w:t>申请人三年内再次提出申请的。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未领取烟草专卖零售许可证经营烟草专卖品业务，并且一年内被执法机关处罚两次以上，在三年内申请领取烟草专卖零售许可证的。</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7.</w:t>
      </w:r>
      <w:r>
        <w:rPr>
          <w:rFonts w:ascii="仿宋" w:eastAsia="仿宋" w:hAnsi="仿宋" w:cs="仿宋" w:hint="eastAsia"/>
          <w:color w:val="000000" w:themeColor="text1"/>
          <w:sz w:val="30"/>
          <w:szCs w:val="30"/>
        </w:rPr>
        <w:t>未领取烟草专卖零售许可证经营烟草制品业务被追究刑事责任，在</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年内申请领取烟草专卖零售许可证的。</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（二）经营场所方面：</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无固定经营场所的。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经营场所与住所不相独立的。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同一经营场所已经办理了烟草专卖零售许可证，且该许可证在有效期内的。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经营场所存在安全隐患，且不具备安全保障措施，不适宜经营卷烟的，包括但不限于经营或存放有毒有害、易燃易爆、放射性物品的场所。具备安全保障措施的加油站便利店除外。</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（三）经营方式方面：</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通过涉烟自动售货机（柜）、无人超市、电玩游戏机等自动售货形式，销售或者变相销售烟草制品的。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利用信息网络渠道销售卷烟的。</w:t>
      </w:r>
    </w:p>
    <w:p w:rsidR="00BC3C48" w:rsidRDefault="004C5B59">
      <w:pPr>
        <w:pStyle w:val="ds-markdown-paragraph"/>
        <w:shd w:val="clear" w:color="auto" w:fill="FFFFFF"/>
        <w:spacing w:before="0" w:beforeAutospacing="0" w:after="0" w:afterAutospacing="0"/>
        <w:ind w:firstLineChars="200" w:firstLine="600"/>
        <w:jc w:val="both"/>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（四）特殊区域方面：</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w:t>
      </w:r>
      <w:r>
        <w:rPr>
          <w:rFonts w:ascii="仿宋" w:eastAsia="仿宋" w:hAnsi="仿宋" w:cs="仿宋" w:hint="eastAsia"/>
          <w:color w:val="000000" w:themeColor="text1"/>
          <w:sz w:val="30"/>
          <w:szCs w:val="30"/>
        </w:rPr>
        <w:t>中小学、幼儿园内部，距离中小学校、幼儿园周边不足</w:t>
      </w:r>
      <w:r>
        <w:rPr>
          <w:rFonts w:ascii="仿宋" w:eastAsia="仿宋" w:hAnsi="仿宋" w:cs="仿宋" w:hint="eastAsia"/>
          <w:color w:val="000000" w:themeColor="text1"/>
          <w:sz w:val="30"/>
          <w:szCs w:val="30"/>
        </w:rPr>
        <w:t>200</w:t>
      </w:r>
      <w:r>
        <w:rPr>
          <w:rFonts w:ascii="仿宋" w:eastAsia="仿宋" w:hAnsi="仿宋" w:cs="仿宋" w:hint="eastAsia"/>
          <w:color w:val="000000" w:themeColor="text1"/>
          <w:sz w:val="30"/>
          <w:szCs w:val="30"/>
        </w:rPr>
        <w:t>米的，不再新</w:t>
      </w:r>
      <w:r>
        <w:rPr>
          <w:rFonts w:ascii="仿宋" w:eastAsia="仿宋" w:hAnsi="仿宋" w:cs="仿宋" w:hint="eastAsia"/>
          <w:color w:val="000000" w:themeColor="text1"/>
          <w:sz w:val="30"/>
          <w:szCs w:val="30"/>
        </w:rPr>
        <w:t>增烟草制品零售点。若政府、烟草上级部门出台新标准的，从其标准执行。</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诊所、医院、党政机关内部等依照当地政府或机构明确规定不能设</w:t>
      </w:r>
      <w:r>
        <w:rPr>
          <w:rFonts w:ascii="仿宋" w:eastAsia="仿宋" w:hAnsi="仿宋" w:cs="仿宋" w:hint="eastAsia"/>
          <w:color w:val="000000" w:themeColor="text1"/>
          <w:sz w:val="30"/>
          <w:szCs w:val="30"/>
        </w:rPr>
        <w:lastRenderedPageBreak/>
        <w:t>置烟草制品零售点的。</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法律、法规、规章和国家烟草专卖局规定的其他不予发证的情形。</w:t>
      </w:r>
    </w:p>
    <w:p w:rsidR="00BC3C48" w:rsidRDefault="004C5B59">
      <w:pPr>
        <w:overflowPunct w:val="0"/>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第十章</w:t>
      </w:r>
      <w:r>
        <w:rPr>
          <w:rFonts w:ascii="仿宋" w:eastAsia="仿宋" w:hAnsi="仿宋" w:cs="仿宋" w:hint="eastAsia"/>
          <w:b/>
          <w:color w:val="000000" w:themeColor="text1"/>
          <w:sz w:val="30"/>
          <w:szCs w:val="30"/>
        </w:rPr>
        <w:t xml:space="preserve">  </w:t>
      </w:r>
      <w:r>
        <w:rPr>
          <w:rFonts w:ascii="仿宋" w:eastAsia="仿宋" w:hAnsi="仿宋" w:cs="仿宋" w:hint="eastAsia"/>
          <w:b/>
          <w:color w:val="000000" w:themeColor="text1"/>
          <w:sz w:val="30"/>
          <w:szCs w:val="30"/>
        </w:rPr>
        <w:t>附则</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第二十</w:t>
      </w:r>
      <w:r>
        <w:rPr>
          <w:rFonts w:ascii="仿宋" w:eastAsia="仿宋" w:hAnsi="仿宋" w:cs="仿宋" w:hint="eastAsia"/>
          <w:b/>
          <w:bCs/>
          <w:color w:val="000000" w:themeColor="text1"/>
          <w:sz w:val="30"/>
          <w:szCs w:val="30"/>
        </w:rPr>
        <w:t>一</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本规划所称数量调控模式，是指通过设定规划期限内特定区域的烟草制品零售点数量，达到调控区域烟草制品零售点空间分布与适度规模的目的。</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第二十</w:t>
      </w:r>
      <w:r>
        <w:rPr>
          <w:rFonts w:ascii="仿宋" w:eastAsia="仿宋" w:hAnsi="仿宋" w:cs="仿宋" w:hint="eastAsia"/>
          <w:b/>
          <w:bCs/>
          <w:color w:val="000000" w:themeColor="text1"/>
          <w:sz w:val="30"/>
          <w:szCs w:val="30"/>
        </w:rPr>
        <w:t>二</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本规划所称距离控制模式，是指以设定烟草制品零售点之间的距离为布局标准，通常按照不同区域特点分别设定最近两个零售点的间距标准。</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第二十</w:t>
      </w:r>
      <w:r>
        <w:rPr>
          <w:rFonts w:ascii="仿宋" w:eastAsia="仿宋" w:hAnsi="仿宋" w:cs="仿宋" w:hint="eastAsia"/>
          <w:b/>
          <w:bCs/>
          <w:color w:val="000000" w:themeColor="text1"/>
          <w:sz w:val="30"/>
          <w:szCs w:val="30"/>
        </w:rPr>
        <w:t>三</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本规划所称“数量</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距离”控制模式，是指以数量调控和距离控制相结合的综合模式。</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二十四</w:t>
      </w:r>
      <w:r>
        <w:rPr>
          <w:rFonts w:ascii="仿宋" w:eastAsia="仿宋" w:hAnsi="仿宋" w:cs="仿宋" w:hint="eastAsia"/>
          <w:b/>
          <w:bCs/>
          <w:color w:val="000000" w:themeColor="text1"/>
          <w:sz w:val="30"/>
          <w:szCs w:val="30"/>
        </w:rPr>
        <w:t>条</w:t>
      </w: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本规划所称雪茄烟零售点是指依法取得烟草专卖零售许可证的公民、法人及其他组织，单独从事雪茄烟零售业务的与住所相独立的具有雪茄烟储存保管条件的固定经营场所。</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雪茄烟零售点的许可范围仅为雪茄烟本店零售，经营场所地址应当具体明确，具有唯一性，与营业执照登记地址相符。</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二十五</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固定经营场所”，是指用于商品销售、存储的不可移动且合法使用的场所。申请烟草专卖零售许可证时经营场所应设置零售商品展示的柜台或货架，明确存储位置或场所，具备正常开展经营活动的条件。“固定经营场所”不包括住宅、公寓或其附属的地下室、储藏室、车库等，也不包含流动摊点（车、棚）、违章建筑、临时建筑物（建筑工地除外）、占用公共消防通道的经营场所等。申请人用于存放烟草制</w:t>
      </w:r>
      <w:r>
        <w:rPr>
          <w:rFonts w:ascii="仿宋" w:eastAsia="仿宋" w:hAnsi="仿宋" w:cs="仿宋" w:hint="eastAsia"/>
          <w:color w:val="000000" w:themeColor="text1"/>
          <w:sz w:val="30"/>
          <w:szCs w:val="30"/>
        </w:rPr>
        <w:lastRenderedPageBreak/>
        <w:t>品的储藏室、仓库等空间属于经营场所，应当在实地核查时予以明确。</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二十六</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本规划所称“与住所相独立”，是指经营场所与生活居住场所在物理空间</w:t>
      </w:r>
      <w:r>
        <w:rPr>
          <w:rFonts w:ascii="仿宋" w:eastAsia="仿宋" w:hAnsi="仿宋" w:cs="仿宋" w:hint="eastAsia"/>
          <w:color w:val="000000" w:themeColor="text1"/>
          <w:sz w:val="30"/>
          <w:szCs w:val="30"/>
        </w:rPr>
        <w:t>上隔离且有明确的区域界线。</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二十七</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间距”（除幼儿园、中小学周边外），指申请者拟从事烟草制品零售业务经营场所入口中心点至最近的零售点入口中心点的距离。零售点间距按照行人在不违反交通管理规定的前提下，可通行的最短可行路径进行测量。测量方式为两名以上执法人员实地测量三次，测量最终数据为三次测量平均数，单位为米，保留小数点后一位。间距测量工作标准详见附件</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二十八</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本规划所称“住宅小区”指的是以住宅房屋为主，并有相配套的公共设施的居住小区、居住组团、商住楼等。</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（一）住宅小区沿街店面适用住宅</w:t>
      </w:r>
      <w:r>
        <w:rPr>
          <w:rFonts w:ascii="仿宋" w:eastAsia="仿宋" w:hAnsi="仿宋" w:cs="仿宋" w:hint="eastAsia"/>
          <w:color w:val="000000" w:themeColor="text1"/>
          <w:sz w:val="30"/>
          <w:szCs w:val="30"/>
        </w:rPr>
        <w:t>小区的零售点设置条件。</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（二）住宅小区住户数量原则上以小区物业或村（居）委会等部门出具的小区住户数量证明为准，住户含居民户和商户。经核实小区物业或村（居）委会等管理部门出具虚假证明的，不予采纳。</w:t>
      </w:r>
    </w:p>
    <w:p w:rsidR="00BC3C48" w:rsidRDefault="004C5B59">
      <w:pPr>
        <w:overflowPunct w:val="0"/>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（三）“封闭式住宅小区”是指有明确界限，设有门岗、院墙或其他隔离障碍的住宅小区。“开放式住宅小区”与之相反。</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二十九</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本规划所称“乡镇”是指乡、镇人民政府所在地以及乡、镇行政区域内由集市发展而成的经济、文化和生活服务中心，为人口相对集中区域，包括乡、镇的主要社区、街、道。</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第三十条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本规划所称“农村”主要为行政村，是指依据《</w:t>
      </w:r>
      <w:hyperlink r:id="rId7" w:tgtFrame="_blank" w:history="1">
        <w:r>
          <w:rPr>
            <w:rFonts w:ascii="仿宋" w:eastAsia="仿宋" w:hAnsi="仿宋" w:cs="仿宋" w:hint="eastAsia"/>
            <w:color w:val="000000" w:themeColor="text1"/>
            <w:sz w:val="30"/>
            <w:szCs w:val="30"/>
          </w:rPr>
          <w:t>中华人民共和国村民委员会组织</w:t>
        </w:r>
        <w:r>
          <w:rPr>
            <w:rFonts w:ascii="仿宋" w:eastAsia="仿宋" w:hAnsi="仿宋" w:cs="仿宋" w:hint="eastAsia"/>
            <w:color w:val="000000" w:themeColor="text1"/>
            <w:sz w:val="30"/>
            <w:szCs w:val="30"/>
          </w:rPr>
          <w:t>法</w:t>
        </w:r>
      </w:hyperlink>
      <w:r>
        <w:rPr>
          <w:rFonts w:ascii="仿宋" w:eastAsia="仿宋" w:hAnsi="仿宋" w:cs="仿宋" w:hint="eastAsia"/>
          <w:color w:val="000000" w:themeColor="text1"/>
          <w:sz w:val="30"/>
          <w:szCs w:val="30"/>
        </w:rPr>
        <w:t>》设立的村民委员会进行村民自治的管理范围，一</w:t>
      </w:r>
      <w:r>
        <w:rPr>
          <w:rFonts w:ascii="仿宋" w:eastAsia="仿宋" w:hAnsi="仿宋" w:cs="仿宋" w:hint="eastAsia"/>
          <w:color w:val="000000" w:themeColor="text1"/>
          <w:sz w:val="30"/>
          <w:szCs w:val="30"/>
        </w:rPr>
        <w:lastRenderedPageBreak/>
        <w:t>个行政村可能包括一个或多个</w:t>
      </w:r>
      <w:hyperlink r:id="rId8" w:tgtFrame="_blank" w:history="1">
        <w:r>
          <w:rPr>
            <w:rFonts w:ascii="仿宋" w:eastAsia="仿宋" w:hAnsi="仿宋" w:cs="仿宋" w:hint="eastAsia"/>
            <w:color w:val="000000" w:themeColor="text1"/>
            <w:sz w:val="30"/>
            <w:szCs w:val="30"/>
          </w:rPr>
          <w:t>自然村</w:t>
        </w:r>
      </w:hyperlink>
      <w:r>
        <w:rPr>
          <w:rFonts w:ascii="仿宋" w:eastAsia="仿宋" w:hAnsi="仿宋" w:cs="仿宋" w:hint="eastAsia"/>
          <w:color w:val="000000" w:themeColor="text1"/>
          <w:sz w:val="30"/>
          <w:szCs w:val="30"/>
        </w:rPr>
        <w:t>，也可能一个</w:t>
      </w:r>
      <w:hyperlink r:id="rId9" w:tgtFrame="_blank" w:history="1">
        <w:r>
          <w:rPr>
            <w:rFonts w:ascii="仿宋" w:eastAsia="仿宋" w:hAnsi="仿宋" w:cs="仿宋" w:hint="eastAsia"/>
            <w:color w:val="000000" w:themeColor="text1"/>
            <w:sz w:val="30"/>
            <w:szCs w:val="30"/>
          </w:rPr>
          <w:t>大的自然村</w:t>
        </w:r>
      </w:hyperlink>
      <w:r>
        <w:rPr>
          <w:rFonts w:ascii="仿宋" w:eastAsia="仿宋" w:hAnsi="仿宋" w:cs="仿宋" w:hint="eastAsia"/>
          <w:color w:val="000000" w:themeColor="text1"/>
          <w:sz w:val="30"/>
          <w:szCs w:val="30"/>
        </w:rPr>
        <w:t>分为若干个行政村。</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第三十</w:t>
      </w:r>
      <w:r>
        <w:rPr>
          <w:rFonts w:ascii="仿宋" w:eastAsia="仿宋" w:hAnsi="仿宋" w:cs="仿宋" w:hint="eastAsia"/>
          <w:b/>
          <w:bCs/>
          <w:color w:val="000000" w:themeColor="text1"/>
          <w:sz w:val="30"/>
          <w:szCs w:val="30"/>
        </w:rPr>
        <w:t>一</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本规划所称“交通枢纽内部候乘场所”是指旅客需要采取检票、安检等过关手段进入的交通枢纽建筑内部公共候乘区域，不包括开放的临街区域、工作人员办公区域等。</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第三十</w:t>
      </w:r>
      <w:r>
        <w:rPr>
          <w:rFonts w:ascii="仿宋" w:eastAsia="仿宋" w:hAnsi="仿宋" w:cs="仿宋" w:hint="eastAsia"/>
          <w:b/>
          <w:bCs/>
          <w:color w:val="000000" w:themeColor="text1"/>
          <w:sz w:val="30"/>
          <w:szCs w:val="30"/>
        </w:rPr>
        <w:t>二</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本规划所称“城镇新区”是指在城镇周边或内部，目前处于开发阶段，产业配套还未完善的区域。</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第三十</w:t>
      </w:r>
      <w:r>
        <w:rPr>
          <w:rFonts w:ascii="仿宋" w:eastAsia="仿宋" w:hAnsi="仿宋" w:cs="仿宋" w:hint="eastAsia"/>
          <w:b/>
          <w:bCs/>
          <w:color w:val="000000" w:themeColor="text1"/>
          <w:sz w:val="30"/>
          <w:szCs w:val="30"/>
        </w:rPr>
        <w:t>三</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本规划所称“特色城镇”是指具有明确产业定位、文化内涵、旅游特征和一定社区功能的新型综合发展空间。</w:t>
      </w:r>
    </w:p>
    <w:p w:rsidR="00BC3C48" w:rsidRDefault="004C5B59">
      <w:pPr>
        <w:overflowPunct w:val="0"/>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三十四</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本规划所称“烈士家属”是指经规定机关批准，取得中华人民共和国民政部制发的《革命烈士证明书》的家属；“因公牺牲军人家属”是指经规定机关批准，取得《革命军人因公牺牲证明书》的家属。</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三十五</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本规划所称“中小学、幼儿园”是指经教育主管部门批准取得办学资质，实施中等、初等、学前教育的</w:t>
      </w:r>
      <w:r>
        <w:rPr>
          <w:rFonts w:ascii="仿宋" w:eastAsia="仿宋" w:hAnsi="仿宋" w:cs="仿宋" w:hint="eastAsia"/>
          <w:color w:val="000000" w:themeColor="text1"/>
          <w:sz w:val="30"/>
          <w:szCs w:val="30"/>
        </w:rPr>
        <w:t>学校</w:t>
      </w:r>
      <w:r>
        <w:rPr>
          <w:rFonts w:ascii="仿宋" w:eastAsia="仿宋" w:hAnsi="仿宋" w:cs="仿宋" w:hint="eastAsia"/>
          <w:color w:val="000000" w:themeColor="text1"/>
          <w:sz w:val="30"/>
          <w:szCs w:val="30"/>
        </w:rPr>
        <w:t>，包括公立或民办普通中小学、幼儿园、特殊教育学校、中等职业学校以及专门学校。</w:t>
      </w:r>
    </w:p>
    <w:p w:rsidR="00BC3C48" w:rsidRDefault="004C5B59">
      <w:pPr>
        <w:overflowPunct w:val="0"/>
        <w:ind w:firstLineChars="200" w:firstLine="602"/>
        <w:rPr>
          <w:rFonts w:ascii="仿宋" w:eastAsia="仿宋" w:hAnsi="仿宋" w:cs="仿宋"/>
          <w:color w:val="000000" w:themeColor="text1"/>
          <w:sz w:val="30"/>
          <w:szCs w:val="30"/>
        </w:rPr>
      </w:pPr>
      <w:r>
        <w:rPr>
          <w:rStyle w:val="a9"/>
          <w:rFonts w:ascii="仿宋" w:eastAsia="仿宋" w:hAnsi="仿宋" w:cs="仿宋" w:hint="eastAsia"/>
          <w:color w:val="000000" w:themeColor="text1"/>
          <w:sz w:val="30"/>
          <w:szCs w:val="30"/>
        </w:rPr>
        <w:t>第</w:t>
      </w:r>
      <w:r>
        <w:rPr>
          <w:rStyle w:val="a9"/>
          <w:rFonts w:ascii="仿宋" w:eastAsia="仿宋" w:hAnsi="仿宋" w:cs="仿宋" w:hint="eastAsia"/>
          <w:color w:val="000000" w:themeColor="text1"/>
          <w:sz w:val="30"/>
          <w:szCs w:val="30"/>
        </w:rPr>
        <w:t>三十六</w:t>
      </w:r>
      <w:r>
        <w:rPr>
          <w:rStyle w:val="a9"/>
          <w:rFonts w:ascii="仿宋" w:eastAsia="仿宋" w:hAnsi="仿宋" w:cs="仿宋" w:hint="eastAsia"/>
          <w:color w:val="000000" w:themeColor="text1"/>
          <w:sz w:val="30"/>
          <w:szCs w:val="30"/>
        </w:rPr>
        <w:t>条</w:t>
      </w:r>
      <w:r>
        <w:rPr>
          <w:rFonts w:ascii="仿宋" w:eastAsia="仿宋" w:hAnsi="仿宋" w:cs="仿宋" w:hint="eastAsia"/>
          <w:color w:val="000000" w:themeColor="text1"/>
          <w:sz w:val="30"/>
          <w:szCs w:val="30"/>
        </w:rPr>
        <w:t> </w:t>
      </w:r>
      <w:r>
        <w:rPr>
          <w:rFonts w:ascii="仿宋" w:eastAsia="仿宋" w:hAnsi="仿宋" w:cs="仿宋" w:hint="eastAsia"/>
          <w:color w:val="000000" w:themeColor="text1"/>
          <w:sz w:val="30"/>
          <w:szCs w:val="30"/>
        </w:rPr>
        <w:t>中小学、幼儿园周边零售点的“距离”</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是指以“幼儿园、中小学校”的主要进出通道口中心点为标准，与拟新办零售点入口中心点之间可通行的最短距离。</w:t>
      </w:r>
      <w:r>
        <w:rPr>
          <w:rFonts w:ascii="仿宋" w:eastAsia="仿宋" w:hAnsi="仿宋" w:cs="仿宋" w:hint="eastAsia"/>
          <w:color w:val="000000" w:themeColor="text1"/>
          <w:sz w:val="30"/>
          <w:szCs w:val="30"/>
        </w:rPr>
        <w:t>间距测量工作标准详见附件</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w:t>
      </w:r>
    </w:p>
    <w:p w:rsidR="00BC3C48" w:rsidRDefault="004C5B59">
      <w:pPr>
        <w:ind w:firstLineChars="198" w:firstLine="596"/>
        <w:rPr>
          <w:rStyle w:val="a9"/>
          <w:rFonts w:ascii="仿宋" w:eastAsia="仿宋" w:hAnsi="仿宋" w:cs="仿宋"/>
          <w:b w:val="0"/>
          <w:color w:val="000000" w:themeColor="text1"/>
          <w:kern w:val="0"/>
          <w:sz w:val="30"/>
          <w:szCs w:val="30"/>
        </w:rPr>
      </w:pPr>
      <w:r>
        <w:rPr>
          <w:rStyle w:val="a9"/>
          <w:rFonts w:ascii="仿宋" w:eastAsia="仿宋" w:hAnsi="仿宋" w:cs="仿宋" w:hint="eastAsia"/>
          <w:color w:val="000000" w:themeColor="text1"/>
          <w:kern w:val="0"/>
          <w:sz w:val="30"/>
          <w:szCs w:val="30"/>
        </w:rPr>
        <w:t>第</w:t>
      </w:r>
      <w:r>
        <w:rPr>
          <w:rStyle w:val="a9"/>
          <w:rFonts w:ascii="仿宋" w:eastAsia="仿宋" w:hAnsi="仿宋" w:cs="仿宋" w:hint="eastAsia"/>
          <w:color w:val="000000" w:themeColor="text1"/>
          <w:kern w:val="0"/>
          <w:sz w:val="30"/>
          <w:szCs w:val="30"/>
        </w:rPr>
        <w:t>三十七</w:t>
      </w:r>
      <w:r>
        <w:rPr>
          <w:rStyle w:val="a9"/>
          <w:rFonts w:ascii="仿宋" w:eastAsia="仿宋" w:hAnsi="仿宋" w:cs="仿宋" w:hint="eastAsia"/>
          <w:color w:val="000000" w:themeColor="text1"/>
          <w:kern w:val="0"/>
          <w:sz w:val="30"/>
          <w:szCs w:val="30"/>
        </w:rPr>
        <w:t>条</w:t>
      </w:r>
      <w:r>
        <w:rPr>
          <w:rStyle w:val="a9"/>
          <w:rFonts w:ascii="仿宋" w:eastAsia="仿宋" w:hAnsi="仿宋" w:cs="仿宋" w:hint="eastAsia"/>
          <w:color w:val="000000" w:themeColor="text1"/>
          <w:kern w:val="0"/>
          <w:sz w:val="30"/>
          <w:szCs w:val="30"/>
        </w:rPr>
        <w:t xml:space="preserve"> </w:t>
      </w:r>
      <w:r>
        <w:rPr>
          <w:rStyle w:val="a9"/>
          <w:rFonts w:ascii="仿宋" w:eastAsia="仿宋" w:hAnsi="仿宋" w:cs="仿宋" w:hint="eastAsia"/>
          <w:b w:val="0"/>
          <w:color w:val="000000" w:themeColor="text1"/>
          <w:kern w:val="0"/>
          <w:sz w:val="30"/>
          <w:szCs w:val="30"/>
        </w:rPr>
        <w:t>经营面积的测量，以实际测量的面积为准，申请地址相关产权凭证所登记的建筑面积为参照，公摊面积不计算在内，包括申请地址连续空间内的商品摆卖区域和其他用于仓储或商用等经营用途的区域；若店内存在隔层，隔层层高达到</w:t>
      </w:r>
      <w:r>
        <w:rPr>
          <w:rStyle w:val="a9"/>
          <w:rFonts w:ascii="仿宋" w:eastAsia="仿宋" w:hAnsi="仿宋" w:cs="仿宋" w:hint="eastAsia"/>
          <w:b w:val="0"/>
          <w:color w:val="000000" w:themeColor="text1"/>
          <w:kern w:val="0"/>
          <w:sz w:val="30"/>
          <w:szCs w:val="30"/>
        </w:rPr>
        <w:t>2.5</w:t>
      </w:r>
      <w:r>
        <w:rPr>
          <w:rStyle w:val="a9"/>
          <w:rFonts w:ascii="仿宋" w:eastAsia="仿宋" w:hAnsi="仿宋" w:cs="仿宋" w:hint="eastAsia"/>
          <w:b w:val="0"/>
          <w:color w:val="000000" w:themeColor="text1"/>
          <w:kern w:val="0"/>
          <w:sz w:val="30"/>
          <w:szCs w:val="30"/>
        </w:rPr>
        <w:t>米（含）以上且用于上述经营用途的区</w:t>
      </w:r>
      <w:r>
        <w:rPr>
          <w:rStyle w:val="a9"/>
          <w:rFonts w:ascii="仿宋" w:eastAsia="仿宋" w:hAnsi="仿宋" w:cs="仿宋" w:hint="eastAsia"/>
          <w:b w:val="0"/>
          <w:color w:val="000000" w:themeColor="text1"/>
          <w:kern w:val="0"/>
          <w:sz w:val="30"/>
          <w:szCs w:val="30"/>
        </w:rPr>
        <w:lastRenderedPageBreak/>
        <w:t>域计入经营面积。</w:t>
      </w:r>
    </w:p>
    <w:p w:rsidR="00BC3C48" w:rsidRDefault="004C5B59">
      <w:pPr>
        <w:ind w:firstLineChars="198" w:firstLine="596"/>
        <w:rPr>
          <w:rStyle w:val="a9"/>
          <w:rFonts w:ascii="仿宋" w:eastAsia="仿宋" w:hAnsi="仿宋" w:cs="仿宋"/>
          <w:b w:val="0"/>
          <w:bCs w:val="0"/>
          <w:color w:val="000000" w:themeColor="text1"/>
          <w:kern w:val="0"/>
          <w:sz w:val="30"/>
          <w:szCs w:val="30"/>
        </w:rPr>
      </w:pPr>
      <w:r>
        <w:rPr>
          <w:rStyle w:val="a9"/>
          <w:rFonts w:ascii="仿宋" w:eastAsia="仿宋" w:hAnsi="仿宋" w:cs="仿宋" w:hint="eastAsia"/>
          <w:color w:val="000000" w:themeColor="text1"/>
          <w:kern w:val="0"/>
          <w:sz w:val="30"/>
          <w:szCs w:val="30"/>
        </w:rPr>
        <w:t>第</w:t>
      </w:r>
      <w:r>
        <w:rPr>
          <w:rStyle w:val="a9"/>
          <w:rFonts w:ascii="仿宋" w:eastAsia="仿宋" w:hAnsi="仿宋" w:cs="仿宋" w:hint="eastAsia"/>
          <w:color w:val="000000" w:themeColor="text1"/>
          <w:kern w:val="0"/>
          <w:sz w:val="30"/>
          <w:szCs w:val="30"/>
        </w:rPr>
        <w:t>三十八</w:t>
      </w:r>
      <w:r>
        <w:rPr>
          <w:rStyle w:val="a9"/>
          <w:rFonts w:ascii="仿宋" w:eastAsia="仿宋" w:hAnsi="仿宋" w:cs="仿宋" w:hint="eastAsia"/>
          <w:color w:val="000000" w:themeColor="text1"/>
          <w:kern w:val="0"/>
          <w:sz w:val="30"/>
          <w:szCs w:val="30"/>
        </w:rPr>
        <w:t>条</w:t>
      </w:r>
      <w:r>
        <w:rPr>
          <w:rStyle w:val="a9"/>
          <w:rFonts w:ascii="仿宋" w:eastAsia="仿宋" w:hAnsi="仿宋" w:cs="仿宋" w:hint="eastAsia"/>
          <w:color w:val="000000" w:themeColor="text1"/>
          <w:kern w:val="0"/>
          <w:sz w:val="30"/>
          <w:szCs w:val="30"/>
        </w:rPr>
        <w:t xml:space="preserve"> </w:t>
      </w:r>
      <w:r>
        <w:rPr>
          <w:rStyle w:val="a9"/>
          <w:rFonts w:ascii="仿宋" w:eastAsia="仿宋" w:hAnsi="仿宋" w:cs="仿宋" w:hint="eastAsia"/>
          <w:b w:val="0"/>
          <w:bCs w:val="0"/>
          <w:color w:val="000000" w:themeColor="text1"/>
          <w:kern w:val="0"/>
          <w:sz w:val="30"/>
          <w:szCs w:val="30"/>
        </w:rPr>
        <w:t>烟草专卖许可证的有效期限最长为五年，具体有效期限由乐山市五通桥区烟草专卖局根据实际情况另行规定。</w:t>
      </w:r>
    </w:p>
    <w:p w:rsidR="00BC3C48" w:rsidRDefault="004C5B59">
      <w:pPr>
        <w:ind w:firstLineChars="198" w:firstLine="596"/>
        <w:rPr>
          <w:rStyle w:val="aa"/>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三十九</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Style w:val="a9"/>
          <w:rFonts w:ascii="仿宋" w:eastAsia="仿宋" w:hAnsi="仿宋" w:cs="仿宋" w:hint="eastAsia"/>
          <w:b w:val="0"/>
          <w:color w:val="000000" w:themeColor="text1"/>
          <w:kern w:val="0"/>
          <w:sz w:val="30"/>
          <w:szCs w:val="30"/>
        </w:rPr>
        <w:t>本规划中的“以上”“以内”“不低于”“不超过”“不少于”等均包括本数，“超过”“不足”不包含本数。</w:t>
      </w:r>
    </w:p>
    <w:p w:rsidR="00BC3C48" w:rsidRDefault="004C5B59">
      <w:pPr>
        <w:spacing w:line="6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第四十条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本规划由</w:t>
      </w:r>
      <w:r>
        <w:rPr>
          <w:rFonts w:ascii="仿宋" w:eastAsia="仿宋" w:hAnsi="仿宋" w:cs="仿宋" w:hint="eastAsia"/>
          <w:color w:val="000000" w:themeColor="text1"/>
          <w:sz w:val="30"/>
          <w:szCs w:val="30"/>
        </w:rPr>
        <w:t>乐山市五通桥区</w:t>
      </w:r>
      <w:r>
        <w:rPr>
          <w:rFonts w:ascii="仿宋" w:eastAsia="仿宋" w:hAnsi="仿宋" w:cs="仿宋" w:hint="eastAsia"/>
          <w:color w:val="000000" w:themeColor="text1"/>
          <w:sz w:val="30"/>
          <w:szCs w:val="30"/>
        </w:rPr>
        <w:t>烟草专卖局负责解释并组织实施。</w:t>
      </w:r>
    </w:p>
    <w:p w:rsidR="00BC3C48" w:rsidRDefault="004C5B59">
      <w:pPr>
        <w:spacing w:line="6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第四十</w:t>
      </w:r>
      <w:r>
        <w:rPr>
          <w:rFonts w:ascii="仿宋" w:eastAsia="仿宋" w:hAnsi="仿宋" w:cs="仿宋" w:hint="eastAsia"/>
          <w:b/>
          <w:bCs/>
          <w:color w:val="000000" w:themeColor="text1"/>
          <w:sz w:val="30"/>
          <w:szCs w:val="30"/>
        </w:rPr>
        <w:t>一</w:t>
      </w:r>
      <w:r>
        <w:rPr>
          <w:rFonts w:ascii="仿宋" w:eastAsia="仿宋" w:hAnsi="仿宋" w:cs="仿宋" w:hint="eastAsia"/>
          <w:b/>
          <w:bCs/>
          <w:color w:val="000000" w:themeColor="text1"/>
          <w:sz w:val="30"/>
          <w:szCs w:val="30"/>
        </w:rPr>
        <w:t>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法律、法规、规章或者上级主管部门有新的规定，从其规定。</w:t>
      </w:r>
    </w:p>
    <w:p w:rsidR="00BC3C48" w:rsidRDefault="004C5B59">
      <w:pPr>
        <w:spacing w:line="600" w:lineRule="exact"/>
        <w:ind w:firstLineChars="200" w:firstLine="602"/>
        <w:rPr>
          <w:rFonts w:ascii="仿宋" w:eastAsia="仿宋" w:hAnsi="仿宋" w:cs="仿宋"/>
          <w:color w:val="000000" w:themeColor="text1"/>
          <w:sz w:val="30"/>
          <w:szCs w:val="30"/>
        </w:rPr>
      </w:pPr>
      <w:r>
        <w:rPr>
          <w:rFonts w:ascii="仿宋" w:eastAsia="仿宋" w:hAnsi="仿宋" w:cs="仿宋" w:hint="eastAsia"/>
          <w:b/>
          <w:bCs/>
          <w:color w:val="000000" w:themeColor="text1"/>
          <w:sz w:val="30"/>
          <w:szCs w:val="30"/>
        </w:rPr>
        <w:t>第</w:t>
      </w:r>
      <w:r>
        <w:rPr>
          <w:rFonts w:ascii="仿宋" w:eastAsia="仿宋" w:hAnsi="仿宋" w:cs="仿宋" w:hint="eastAsia"/>
          <w:b/>
          <w:bCs/>
          <w:color w:val="000000" w:themeColor="text1"/>
          <w:sz w:val="30"/>
          <w:szCs w:val="30"/>
        </w:rPr>
        <w:t>四十二条</w:t>
      </w:r>
      <w:r>
        <w:rPr>
          <w:rFonts w:ascii="仿宋" w:eastAsia="仿宋" w:hAnsi="仿宋" w:cs="仿宋" w:hint="eastAsia"/>
          <w:b/>
          <w:bCs/>
          <w:color w:val="000000" w:themeColor="text1"/>
          <w:sz w:val="30"/>
          <w:szCs w:val="30"/>
        </w:rPr>
        <w:t xml:space="preserve"> </w:t>
      </w:r>
      <w:r>
        <w:rPr>
          <w:rFonts w:ascii="仿宋" w:eastAsia="仿宋" w:hAnsi="仿宋" w:cs="仿宋" w:hint="eastAsia"/>
          <w:color w:val="000000" w:themeColor="text1"/>
          <w:sz w:val="30"/>
          <w:szCs w:val="30"/>
        </w:rPr>
        <w:t>本规划自公布之日起</w:t>
      </w:r>
      <w:r>
        <w:rPr>
          <w:rFonts w:ascii="仿宋" w:eastAsia="仿宋" w:hAnsi="仿宋" w:cs="仿宋" w:hint="eastAsia"/>
          <w:color w:val="000000" w:themeColor="text1"/>
          <w:sz w:val="30"/>
          <w:szCs w:val="30"/>
        </w:rPr>
        <w:t>30</w:t>
      </w:r>
      <w:r>
        <w:rPr>
          <w:rFonts w:ascii="仿宋" w:eastAsia="仿宋" w:hAnsi="仿宋" w:cs="仿宋" w:hint="eastAsia"/>
          <w:color w:val="000000" w:themeColor="text1"/>
          <w:sz w:val="30"/>
          <w:szCs w:val="30"/>
        </w:rPr>
        <w:t>日以后施行，有效期为五年，原《</w:t>
      </w:r>
      <w:r>
        <w:rPr>
          <w:rFonts w:ascii="仿宋" w:eastAsia="仿宋" w:hAnsi="仿宋" w:cs="仿宋" w:hint="eastAsia"/>
          <w:color w:val="000000" w:themeColor="text1"/>
          <w:sz w:val="30"/>
          <w:szCs w:val="30"/>
        </w:rPr>
        <w:t>乐山市五通桥区</w:t>
      </w:r>
      <w:r>
        <w:rPr>
          <w:rFonts w:ascii="仿宋" w:eastAsia="仿宋" w:hAnsi="仿宋" w:cs="仿宋" w:hint="eastAsia"/>
          <w:color w:val="000000" w:themeColor="text1"/>
          <w:sz w:val="30"/>
          <w:szCs w:val="30"/>
        </w:rPr>
        <w:t>烟草制品零售点合理布局规划（</w:t>
      </w:r>
      <w:r>
        <w:rPr>
          <w:rFonts w:ascii="仿宋" w:eastAsia="仿宋" w:hAnsi="仿宋" w:cs="仿宋" w:hint="eastAsia"/>
          <w:color w:val="000000" w:themeColor="text1"/>
          <w:sz w:val="30"/>
          <w:szCs w:val="30"/>
        </w:rPr>
        <w:t>2021</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2025</w:t>
      </w:r>
      <w:r>
        <w:rPr>
          <w:rFonts w:ascii="仿宋" w:eastAsia="仿宋" w:hAnsi="仿宋" w:cs="仿宋" w:hint="eastAsia"/>
          <w:color w:val="000000" w:themeColor="text1"/>
          <w:sz w:val="30"/>
          <w:szCs w:val="30"/>
        </w:rPr>
        <w:t>年）》（</w:t>
      </w:r>
      <w:bookmarkStart w:id="1" w:name="wenhao"/>
      <w:r>
        <w:rPr>
          <w:rFonts w:ascii="仿宋" w:eastAsia="仿宋" w:hAnsi="仿宋" w:cs="仿宋" w:hint="eastAsia"/>
          <w:color w:val="000000" w:themeColor="text1"/>
          <w:sz w:val="30"/>
          <w:szCs w:val="30"/>
        </w:rPr>
        <w:t>五通烟</w:t>
      </w:r>
      <w:r>
        <w:rPr>
          <w:rFonts w:ascii="仿宋" w:eastAsia="仿宋" w:hAnsi="仿宋" w:cs="仿宋" w:hint="eastAsia"/>
          <w:color w:val="000000" w:themeColor="text1"/>
          <w:sz w:val="30"/>
          <w:szCs w:val="30"/>
        </w:rPr>
        <w:t>专〔</w:t>
      </w:r>
      <w:r>
        <w:rPr>
          <w:rFonts w:ascii="仿宋" w:eastAsia="仿宋" w:hAnsi="仿宋" w:cs="仿宋" w:hint="eastAsia"/>
          <w:color w:val="000000" w:themeColor="text1"/>
          <w:sz w:val="30"/>
          <w:szCs w:val="30"/>
        </w:rPr>
        <w:t>2021</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16</w:t>
      </w:r>
      <w:r>
        <w:rPr>
          <w:rFonts w:ascii="仿宋" w:eastAsia="仿宋" w:hAnsi="仿宋" w:cs="仿宋" w:hint="eastAsia"/>
          <w:color w:val="000000" w:themeColor="text1"/>
          <w:sz w:val="30"/>
          <w:szCs w:val="30"/>
        </w:rPr>
        <w:t>号</w:t>
      </w:r>
      <w:bookmarkEnd w:id="1"/>
      <w:r>
        <w:rPr>
          <w:rFonts w:ascii="仿宋" w:eastAsia="仿宋" w:hAnsi="仿宋" w:cs="仿宋" w:hint="eastAsia"/>
          <w:color w:val="000000" w:themeColor="text1"/>
          <w:sz w:val="30"/>
          <w:szCs w:val="30"/>
        </w:rPr>
        <w:t>）同时废止。</w:t>
      </w:r>
    </w:p>
    <w:p w:rsidR="00BC3C48" w:rsidRDefault="00BC3C48">
      <w:pPr>
        <w:overflowPunct w:val="0"/>
        <w:ind w:firstLineChars="200" w:firstLine="640"/>
        <w:rPr>
          <w:rFonts w:ascii="Times New Roman" w:eastAsia="仿宋" w:hAnsi="Times New Roman" w:cs="Times New Roman"/>
          <w:color w:val="000000" w:themeColor="text1"/>
          <w:sz w:val="32"/>
          <w:szCs w:val="32"/>
        </w:rPr>
      </w:pPr>
    </w:p>
    <w:p w:rsidR="00BC3C48" w:rsidRDefault="00BC3C48" w:rsidP="00BC3C48">
      <w:pPr>
        <w:ind w:firstLineChars="198" w:firstLine="416"/>
        <w:rPr>
          <w:rStyle w:val="aa"/>
          <w:color w:val="000000" w:themeColor="text1"/>
        </w:rPr>
      </w:pPr>
    </w:p>
    <w:sectPr w:rsidR="00BC3C48" w:rsidSect="00BC3C48">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B59" w:rsidRDefault="004C5B59" w:rsidP="00BC3C48">
      <w:r>
        <w:separator/>
      </w:r>
    </w:p>
  </w:endnote>
  <w:endnote w:type="continuationSeparator" w:id="1">
    <w:p w:rsidR="004C5B59" w:rsidRDefault="004C5B59" w:rsidP="00BC3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04954"/>
    </w:sdtPr>
    <w:sdtContent>
      <w:p w:rsidR="00BC3C48" w:rsidRDefault="00BC3C48">
        <w:pPr>
          <w:pStyle w:val="a5"/>
          <w:jc w:val="center"/>
        </w:pPr>
        <w:r w:rsidRPr="00BC3C48">
          <w:fldChar w:fldCharType="begin"/>
        </w:r>
        <w:r w:rsidR="004C5B59">
          <w:instrText xml:space="preserve"> PAGE   \* MERGEFORMAT </w:instrText>
        </w:r>
        <w:r w:rsidRPr="00BC3C48">
          <w:fldChar w:fldCharType="separate"/>
        </w:r>
        <w:r w:rsidR="00B9018F" w:rsidRPr="00B9018F">
          <w:rPr>
            <w:noProof/>
            <w:lang w:val="zh-CN"/>
          </w:rPr>
          <w:t>4</w:t>
        </w:r>
        <w:r>
          <w:rPr>
            <w:lang w:val="zh-CN"/>
          </w:rPr>
          <w:fldChar w:fldCharType="end"/>
        </w:r>
      </w:p>
    </w:sdtContent>
  </w:sdt>
  <w:p w:rsidR="00BC3C48" w:rsidRDefault="00BC3C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B59" w:rsidRDefault="004C5B59" w:rsidP="00BC3C48">
      <w:r>
        <w:separator/>
      </w:r>
    </w:p>
  </w:footnote>
  <w:footnote w:type="continuationSeparator" w:id="1">
    <w:p w:rsidR="004C5B59" w:rsidRDefault="004C5B59" w:rsidP="00BC3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DE6E73"/>
    <w:multiLevelType w:val="singleLevel"/>
    <w:tmpl w:val="96DE6E73"/>
    <w:lvl w:ilvl="0">
      <w:start w:val="1"/>
      <w:numFmt w:val="chineseCounting"/>
      <w:suff w:val="nothing"/>
      <w:lvlText w:val="（%1）"/>
      <w:lvlJc w:val="left"/>
      <w:rPr>
        <w:rFonts w:hint="eastAsia"/>
      </w:rPr>
    </w:lvl>
  </w:abstractNum>
  <w:abstractNum w:abstractNumId="1">
    <w:nsid w:val="DFAA34B2"/>
    <w:multiLevelType w:val="singleLevel"/>
    <w:tmpl w:val="DFAA34B2"/>
    <w:lvl w:ilvl="0">
      <w:start w:val="1"/>
      <w:numFmt w:val="chineseCounting"/>
      <w:suff w:val="nothing"/>
      <w:lvlText w:val="（%1）"/>
      <w:lvlJc w:val="left"/>
      <w:rPr>
        <w:rFonts w:hint="eastAsia"/>
      </w:rPr>
    </w:lvl>
  </w:abstractNum>
  <w:abstractNum w:abstractNumId="2">
    <w:nsid w:val="209CDF08"/>
    <w:multiLevelType w:val="singleLevel"/>
    <w:tmpl w:val="209CDF08"/>
    <w:lvl w:ilvl="0">
      <w:start w:val="1"/>
      <w:numFmt w:val="chineseCounting"/>
      <w:suff w:val="nothing"/>
      <w:lvlText w:val="（%1）"/>
      <w:lvlJc w:val="left"/>
      <w:pPr>
        <w:ind w:left="30"/>
      </w:pPr>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914421"/>
    <w:rsid w:val="000637B6"/>
    <w:rsid w:val="00064D78"/>
    <w:rsid w:val="000B4CBE"/>
    <w:rsid w:val="00152DBE"/>
    <w:rsid w:val="001D434F"/>
    <w:rsid w:val="002A5042"/>
    <w:rsid w:val="002B7783"/>
    <w:rsid w:val="002C0E9A"/>
    <w:rsid w:val="00300081"/>
    <w:rsid w:val="00321B17"/>
    <w:rsid w:val="00332BAF"/>
    <w:rsid w:val="00393C29"/>
    <w:rsid w:val="003A7C98"/>
    <w:rsid w:val="003B58B8"/>
    <w:rsid w:val="003C2FBC"/>
    <w:rsid w:val="003E11F5"/>
    <w:rsid w:val="004249C5"/>
    <w:rsid w:val="00437BD3"/>
    <w:rsid w:val="00454D65"/>
    <w:rsid w:val="00467019"/>
    <w:rsid w:val="00467FBE"/>
    <w:rsid w:val="004948A1"/>
    <w:rsid w:val="004C5B59"/>
    <w:rsid w:val="004D3FED"/>
    <w:rsid w:val="00547BD6"/>
    <w:rsid w:val="0061562F"/>
    <w:rsid w:val="00662AB0"/>
    <w:rsid w:val="00671C7D"/>
    <w:rsid w:val="006F6E6A"/>
    <w:rsid w:val="00701C5E"/>
    <w:rsid w:val="0072681B"/>
    <w:rsid w:val="007330B8"/>
    <w:rsid w:val="007908BD"/>
    <w:rsid w:val="0079157D"/>
    <w:rsid w:val="008053A5"/>
    <w:rsid w:val="00837830"/>
    <w:rsid w:val="00894F2E"/>
    <w:rsid w:val="008C42D6"/>
    <w:rsid w:val="00905D01"/>
    <w:rsid w:val="009079AD"/>
    <w:rsid w:val="00914421"/>
    <w:rsid w:val="00975962"/>
    <w:rsid w:val="009B3DF8"/>
    <w:rsid w:val="009C368F"/>
    <w:rsid w:val="00A505E5"/>
    <w:rsid w:val="00AA0D1F"/>
    <w:rsid w:val="00AD07E1"/>
    <w:rsid w:val="00B309EB"/>
    <w:rsid w:val="00B40BB8"/>
    <w:rsid w:val="00B53501"/>
    <w:rsid w:val="00B63396"/>
    <w:rsid w:val="00B64659"/>
    <w:rsid w:val="00B9018F"/>
    <w:rsid w:val="00BB3234"/>
    <w:rsid w:val="00BC3C48"/>
    <w:rsid w:val="00C9003E"/>
    <w:rsid w:val="00C91E8B"/>
    <w:rsid w:val="00CB01A5"/>
    <w:rsid w:val="00CD4FE0"/>
    <w:rsid w:val="00CF2865"/>
    <w:rsid w:val="00D373CD"/>
    <w:rsid w:val="00D61906"/>
    <w:rsid w:val="00D73A00"/>
    <w:rsid w:val="00DB0E53"/>
    <w:rsid w:val="00DE6010"/>
    <w:rsid w:val="00E04A18"/>
    <w:rsid w:val="00E939AC"/>
    <w:rsid w:val="00EB1CAB"/>
    <w:rsid w:val="00EB59A6"/>
    <w:rsid w:val="00EE3318"/>
    <w:rsid w:val="00F167B6"/>
    <w:rsid w:val="00F21D2F"/>
    <w:rsid w:val="00F27BFA"/>
    <w:rsid w:val="00F27E49"/>
    <w:rsid w:val="00F35836"/>
    <w:rsid w:val="00F7274B"/>
    <w:rsid w:val="00F9219E"/>
    <w:rsid w:val="00FA203E"/>
    <w:rsid w:val="037A5D37"/>
    <w:rsid w:val="04A60F90"/>
    <w:rsid w:val="04C82992"/>
    <w:rsid w:val="07BA233A"/>
    <w:rsid w:val="08C47915"/>
    <w:rsid w:val="0BA62149"/>
    <w:rsid w:val="0C906C54"/>
    <w:rsid w:val="0D9E32D7"/>
    <w:rsid w:val="0E0355C5"/>
    <w:rsid w:val="0E5400D2"/>
    <w:rsid w:val="0FE67AC8"/>
    <w:rsid w:val="112320F6"/>
    <w:rsid w:val="18500EE4"/>
    <w:rsid w:val="1A1520CF"/>
    <w:rsid w:val="1B0B3181"/>
    <w:rsid w:val="1D7F1092"/>
    <w:rsid w:val="1E4C1044"/>
    <w:rsid w:val="22C24A6D"/>
    <w:rsid w:val="247D50F0"/>
    <w:rsid w:val="26B82D04"/>
    <w:rsid w:val="275F51AD"/>
    <w:rsid w:val="29C32ACB"/>
    <w:rsid w:val="29CF7A79"/>
    <w:rsid w:val="2A83591B"/>
    <w:rsid w:val="2DD26158"/>
    <w:rsid w:val="2FF26187"/>
    <w:rsid w:val="32522D1A"/>
    <w:rsid w:val="386E2FB9"/>
    <w:rsid w:val="39EA2A1A"/>
    <w:rsid w:val="3B9A7EDD"/>
    <w:rsid w:val="3C4806D2"/>
    <w:rsid w:val="40D77B84"/>
    <w:rsid w:val="40E02475"/>
    <w:rsid w:val="41DF2AEE"/>
    <w:rsid w:val="42064BB9"/>
    <w:rsid w:val="42C052ED"/>
    <w:rsid w:val="42DA493A"/>
    <w:rsid w:val="445E534C"/>
    <w:rsid w:val="457D6941"/>
    <w:rsid w:val="471D19C3"/>
    <w:rsid w:val="496C2BF1"/>
    <w:rsid w:val="4BE23A90"/>
    <w:rsid w:val="4DDF3E76"/>
    <w:rsid w:val="4F760757"/>
    <w:rsid w:val="51AB4277"/>
    <w:rsid w:val="574216FD"/>
    <w:rsid w:val="57D83E10"/>
    <w:rsid w:val="59787CF8"/>
    <w:rsid w:val="5ABD104F"/>
    <w:rsid w:val="5C121D1A"/>
    <w:rsid w:val="5C1E218F"/>
    <w:rsid w:val="5F6731DF"/>
    <w:rsid w:val="60AE3960"/>
    <w:rsid w:val="64D97247"/>
    <w:rsid w:val="654D6C87"/>
    <w:rsid w:val="66D103A8"/>
    <w:rsid w:val="6A687369"/>
    <w:rsid w:val="6AE46A29"/>
    <w:rsid w:val="6CB06150"/>
    <w:rsid w:val="6E166FE8"/>
    <w:rsid w:val="70274CCB"/>
    <w:rsid w:val="70E25CD3"/>
    <w:rsid w:val="72366FE6"/>
    <w:rsid w:val="754603CB"/>
    <w:rsid w:val="75E875BF"/>
    <w:rsid w:val="781C51FB"/>
    <w:rsid w:val="783E412D"/>
    <w:rsid w:val="78C93B94"/>
    <w:rsid w:val="78CC5969"/>
    <w:rsid w:val="7A187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C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C3C48"/>
    <w:pPr>
      <w:jc w:val="left"/>
    </w:pPr>
  </w:style>
  <w:style w:type="paragraph" w:styleId="a4">
    <w:name w:val="Balloon Text"/>
    <w:basedOn w:val="a"/>
    <w:link w:val="Char0"/>
    <w:uiPriority w:val="99"/>
    <w:semiHidden/>
    <w:unhideWhenUsed/>
    <w:qFormat/>
    <w:rsid w:val="00BC3C48"/>
    <w:rPr>
      <w:sz w:val="18"/>
      <w:szCs w:val="18"/>
    </w:rPr>
  </w:style>
  <w:style w:type="paragraph" w:styleId="a5">
    <w:name w:val="footer"/>
    <w:basedOn w:val="a"/>
    <w:link w:val="Char1"/>
    <w:uiPriority w:val="99"/>
    <w:unhideWhenUsed/>
    <w:qFormat/>
    <w:rsid w:val="00BC3C4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C3C4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C3C48"/>
    <w:rPr>
      <w:b/>
      <w:bCs/>
    </w:rPr>
  </w:style>
  <w:style w:type="table" w:styleId="a8">
    <w:name w:val="Table Grid"/>
    <w:basedOn w:val="a1"/>
    <w:uiPriority w:val="59"/>
    <w:qFormat/>
    <w:rsid w:val="00BC3C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BC3C48"/>
    <w:rPr>
      <w:b/>
      <w:bCs/>
    </w:rPr>
  </w:style>
  <w:style w:type="character" w:styleId="aa">
    <w:name w:val="annotation reference"/>
    <w:basedOn w:val="a0"/>
    <w:uiPriority w:val="99"/>
    <w:semiHidden/>
    <w:unhideWhenUsed/>
    <w:qFormat/>
    <w:rsid w:val="00BC3C48"/>
    <w:rPr>
      <w:sz w:val="21"/>
      <w:szCs w:val="21"/>
    </w:rPr>
  </w:style>
  <w:style w:type="character" w:customStyle="1" w:styleId="Char2">
    <w:name w:val="页眉 Char"/>
    <w:basedOn w:val="a0"/>
    <w:link w:val="a6"/>
    <w:uiPriority w:val="99"/>
    <w:qFormat/>
    <w:rsid w:val="00BC3C48"/>
    <w:rPr>
      <w:sz w:val="18"/>
      <w:szCs w:val="18"/>
    </w:rPr>
  </w:style>
  <w:style w:type="character" w:customStyle="1" w:styleId="Char1">
    <w:name w:val="页脚 Char"/>
    <w:basedOn w:val="a0"/>
    <w:link w:val="a5"/>
    <w:uiPriority w:val="99"/>
    <w:qFormat/>
    <w:rsid w:val="00BC3C48"/>
    <w:rPr>
      <w:sz w:val="18"/>
      <w:szCs w:val="18"/>
    </w:rPr>
  </w:style>
  <w:style w:type="paragraph" w:customStyle="1" w:styleId="ds-markdown-paragraph">
    <w:name w:val="ds-markdown-paragraph"/>
    <w:basedOn w:val="a"/>
    <w:qFormat/>
    <w:rsid w:val="00BC3C48"/>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批注框文本 Char"/>
    <w:basedOn w:val="a0"/>
    <w:link w:val="a4"/>
    <w:uiPriority w:val="99"/>
    <w:semiHidden/>
    <w:qFormat/>
    <w:rsid w:val="00BC3C48"/>
    <w:rPr>
      <w:kern w:val="2"/>
      <w:sz w:val="18"/>
      <w:szCs w:val="18"/>
    </w:rPr>
  </w:style>
  <w:style w:type="character" w:customStyle="1" w:styleId="Char">
    <w:name w:val="批注文字 Char"/>
    <w:basedOn w:val="a0"/>
    <w:link w:val="a3"/>
    <w:uiPriority w:val="99"/>
    <w:semiHidden/>
    <w:qFormat/>
    <w:rsid w:val="00BC3C48"/>
    <w:rPr>
      <w:kern w:val="2"/>
      <w:sz w:val="21"/>
      <w:szCs w:val="22"/>
    </w:rPr>
  </w:style>
  <w:style w:type="character" w:customStyle="1" w:styleId="Char3">
    <w:name w:val="批注主题 Char"/>
    <w:basedOn w:val="Char"/>
    <w:link w:val="a7"/>
    <w:uiPriority w:val="99"/>
    <w:semiHidden/>
    <w:qFormat/>
    <w:rsid w:val="00BC3C48"/>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8%87%AA%E7%84%B6%E6%9D%91/6795622?fromModule=lemma_inlink" TargetMode="External"/><Relationship Id="rId3" Type="http://schemas.openxmlformats.org/officeDocument/2006/relationships/settings" Target="settings.xml"/><Relationship Id="rId7" Type="http://schemas.openxmlformats.org/officeDocument/2006/relationships/hyperlink" Target="https://baike.baidu.com/item/%E4%B8%AD%E5%8D%8E%E4%BA%BA%E6%B0%91%E5%85%B1%E5%92%8C%E5%9B%BD%E6%9D%91%E6%B0%91%E5%A7%94%E5%91%98%E4%BC%9A%E7%BB%84%E7%BB%87%E6%B3%95/526399?fromModule=lemma_inli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aike.baidu.com/item/%E5%A4%A7%E7%9A%84%E8%87%AA%E7%84%B6%E6%9D%91/8735633?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2025-11-11T06:12:00Z</cp:lastPrinted>
  <dcterms:created xsi:type="dcterms:W3CDTF">2026-02-11T09:01:00Z</dcterms:created>
  <dcterms:modified xsi:type="dcterms:W3CDTF">2026-02-11T09:01:00Z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eyJoZGlkIjoiZDdlZWM4ZGY4ZTY5ZWUyNWJiM2MzNWRmMjEzYTlhODYiLCJ1c2VySWQiOiIxMjMzMjAxMDc0In0=</vt:lpwstr>
  </property>
  <property fmtid="{D5CDD505-2E9C-101B-9397-08002B2CF9AE}" pid="3" name="KSOProductBuildVer">
    <vt:lpwstr>2052-12.1.0.24657</vt:lpwstr>
  </property>
  <property fmtid="{D5CDD505-2E9C-101B-9397-08002B2CF9AE}" pid="4" name="ICV">
    <vt:lpwstr>60F5AC50424149CF996722350484201C_13</vt:lpwstr>
  </property>
</Properties>
</file>