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autoSpaceDE w:val="0"/>
        <w:spacing w:line="600" w:lineRule="exact"/>
        <w:rPr>
          <w:rFonts w:hint="eastAsia" w:ascii="黑体" w:hAnsi="黑体" w:eastAsia="黑体" w:cs="黑体"/>
          <w:color w:val="000000"/>
          <w:sz w:val="32"/>
          <w:szCs w:val="32"/>
          <w:lang w:bidi="ar"/>
        </w:rPr>
      </w:pPr>
      <w:r>
        <w:rPr>
          <w:rFonts w:hint="eastAsia" w:ascii="黑体" w:hAnsi="黑体" w:eastAsia="黑体" w:cs="黑体"/>
          <w:color w:val="000000"/>
          <w:sz w:val="32"/>
          <w:szCs w:val="32"/>
          <w:lang w:bidi="ar"/>
        </w:rPr>
        <w:t>【申兑指南】</w:t>
      </w:r>
    </w:p>
    <w:p>
      <w:pPr>
        <w:pStyle w:val="8"/>
        <w:autoSpaceDE w:val="0"/>
        <w:spacing w:line="600" w:lineRule="exact"/>
        <w:rPr>
          <w:rFonts w:hint="eastAsia" w:ascii="黑体" w:hAnsi="黑体" w:eastAsia="黑体" w:cs="黑体"/>
          <w:color w:val="000000"/>
          <w:sz w:val="32"/>
          <w:szCs w:val="32"/>
          <w:lang w:bidi="ar"/>
        </w:rPr>
      </w:pPr>
    </w:p>
    <w:p>
      <w:pPr>
        <w:spacing w:line="600" w:lineRule="exact"/>
        <w:ind w:firstLine="900" w:firstLineChars="200"/>
        <w:jc w:val="center"/>
        <w:rPr>
          <w:rFonts w:hint="eastAsia" w:ascii="方正小标宋_GBK" w:hAnsi="方正小标宋简体" w:eastAsia="方正小标宋_GBK" w:cs="方正小标宋简体"/>
          <w:color w:val="000000"/>
          <w:spacing w:val="5"/>
          <w:kern w:val="2"/>
          <w:sz w:val="44"/>
          <w:szCs w:val="44"/>
          <w:lang w:val="en-US" w:eastAsia="zh-CN" w:bidi="ar-SA"/>
        </w:rPr>
      </w:pPr>
      <w:r>
        <w:rPr>
          <w:rFonts w:hint="eastAsia" w:ascii="方正小标宋_GBK" w:hAnsi="方正小标宋简体" w:eastAsia="方正小标宋_GBK" w:cs="方正小标宋简体"/>
          <w:color w:val="000000"/>
          <w:spacing w:val="5"/>
          <w:kern w:val="2"/>
          <w:sz w:val="44"/>
          <w:szCs w:val="44"/>
          <w:lang w:val="en-US" w:eastAsia="zh-CN" w:bidi="ar-SA"/>
        </w:rPr>
        <w:t>1.推动开展农业社会化全过程服务</w:t>
      </w:r>
    </w:p>
    <w:p>
      <w:pPr>
        <w:spacing w:line="600" w:lineRule="exact"/>
        <w:ind w:firstLine="660" w:firstLineChars="200"/>
        <w:rPr>
          <w:rFonts w:hint="eastAsia" w:ascii="方正小标宋_GBK" w:hAnsi="方正小标宋简体" w:eastAsia="方正小标宋_GBK" w:cs="方正小标宋简体"/>
          <w:color w:val="000000"/>
          <w:sz w:val="32"/>
          <w:szCs w:val="32"/>
          <w:lang w:eastAsia="zh-CN" w:bidi="ar"/>
        </w:rPr>
      </w:pPr>
      <w:r>
        <w:rPr>
          <w:rFonts w:hint="eastAsia" w:ascii="方正小标宋_GBK" w:hAnsi="方正小标宋简体" w:eastAsia="方正小标宋_GBK" w:cs="方正小标宋简体"/>
          <w:color w:val="000000"/>
          <w:spacing w:val="5"/>
          <w:kern w:val="2"/>
          <w:sz w:val="32"/>
          <w:szCs w:val="32"/>
          <w:lang w:val="en-US" w:eastAsia="zh-CN" w:bidi="ar-SA"/>
        </w:rPr>
        <w:t>1.1鼓励服务主体从“耕种防收”为主向农资供应、工厂化育秧（苗）、秸秆处理、烘干仓储、冷链物流、农产品初加工、销售服务及技术协作等领域拓展。对认定为农业社会化服务链主的组织，一次性奖励10万元；对年内在本区范围内开展耕、种、防、收等任一环节服务面积达2000亩（折算后）以上的服务组织，或年内在本区范围内销售农产品金额达到1000万元以上的服务组织，区本级一次性奖励财政3万元。链主组织奖励和单环节服务组织奖励同年度不重复享受。</w:t>
      </w:r>
    </w:p>
    <w:p>
      <w:pPr>
        <w:pStyle w:val="8"/>
        <w:autoSpaceDE w:val="0"/>
        <w:spacing w:line="600" w:lineRule="exact"/>
        <w:rPr>
          <w:color w:val="000000"/>
          <w:sz w:val="32"/>
          <w:szCs w:val="32"/>
        </w:rPr>
      </w:pPr>
      <w:r>
        <w:rPr>
          <w:color w:val="000000"/>
          <w:sz w:val="32"/>
          <w:szCs w:val="32"/>
        </w:rPr>
        <w:t xml:space="preserve"> </w:t>
      </w:r>
    </w:p>
    <w:p>
      <w:pPr>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lang w:bidi="ar"/>
        </w:rPr>
        <w:t>一、事项基本信息</w:t>
      </w:r>
    </w:p>
    <w:p>
      <w:pPr>
        <w:spacing w:line="600" w:lineRule="exact"/>
        <w:ind w:firstLine="68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（一）政策类别：</w:t>
      </w:r>
      <w:r>
        <w:rPr>
          <w:rFonts w:hint="eastAsia" w:ascii="仿宋" w:hAnsi="仿宋" w:eastAsia="仿宋" w:cs="仿宋"/>
          <w:color w:val="000000"/>
          <w:spacing w:val="5"/>
          <w:sz w:val="32"/>
          <w:szCs w:val="32"/>
          <w:lang w:bidi="ar"/>
        </w:rPr>
        <w:t>奖补类</w:t>
      </w:r>
    </w:p>
    <w:p>
      <w:pPr>
        <w:spacing w:line="600" w:lineRule="exact"/>
        <w:ind w:firstLine="68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（二）政策类型：</w:t>
      </w:r>
      <w:r>
        <w:rPr>
          <w:rFonts w:hint="eastAsia" w:ascii="仿宋" w:hAnsi="仿宋" w:eastAsia="仿宋" w:cs="仿宋"/>
          <w:color w:val="000000"/>
          <w:spacing w:val="5"/>
          <w:sz w:val="32"/>
          <w:szCs w:val="32"/>
          <w:lang w:bidi="ar"/>
        </w:rPr>
        <w:t>财政支持</w:t>
      </w:r>
    </w:p>
    <w:p>
      <w:pPr>
        <w:spacing w:line="600" w:lineRule="exact"/>
        <w:ind w:firstLine="68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（三）执行层级：</w:t>
      </w:r>
      <w:r>
        <w:rPr>
          <w:rFonts w:hint="eastAsia" w:ascii="仿宋" w:hAnsi="仿宋" w:eastAsia="仿宋" w:cs="仿宋"/>
          <w:color w:val="000000"/>
          <w:spacing w:val="5"/>
          <w:sz w:val="32"/>
          <w:szCs w:val="32"/>
          <w:lang w:bidi="ar"/>
        </w:rPr>
        <w:t>乐山市</w:t>
      </w:r>
      <w:r>
        <w:rPr>
          <w:rFonts w:hint="eastAsia" w:ascii="仿宋" w:hAnsi="仿宋" w:eastAsia="仿宋" w:cs="仿宋"/>
          <w:color w:val="000000"/>
          <w:spacing w:val="5"/>
          <w:sz w:val="32"/>
          <w:szCs w:val="32"/>
          <w:lang w:eastAsia="zh-CN" w:bidi="ar"/>
        </w:rPr>
        <w:t>五通桥</w:t>
      </w:r>
      <w:r>
        <w:rPr>
          <w:rFonts w:hint="eastAsia" w:ascii="仿宋" w:hAnsi="仿宋" w:eastAsia="仿宋" w:cs="仿宋"/>
          <w:color w:val="000000"/>
          <w:spacing w:val="5"/>
          <w:sz w:val="32"/>
          <w:szCs w:val="32"/>
          <w:lang w:bidi="ar"/>
        </w:rPr>
        <w:t>区</w:t>
      </w:r>
    </w:p>
    <w:p>
      <w:pPr>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（四）适用地区：</w:t>
      </w:r>
      <w:r>
        <w:rPr>
          <w:rFonts w:hint="eastAsia" w:ascii="仿宋" w:hAnsi="仿宋" w:eastAsia="仿宋" w:cs="仿宋"/>
          <w:color w:val="000000"/>
          <w:spacing w:val="5"/>
          <w:sz w:val="32"/>
          <w:szCs w:val="32"/>
          <w:lang w:bidi="ar"/>
        </w:rPr>
        <w:t>乐山市</w:t>
      </w:r>
      <w:r>
        <w:rPr>
          <w:rFonts w:hint="eastAsia" w:ascii="仿宋" w:hAnsi="仿宋" w:eastAsia="仿宋" w:cs="仿宋"/>
          <w:color w:val="000000"/>
          <w:spacing w:val="5"/>
          <w:sz w:val="32"/>
          <w:szCs w:val="32"/>
          <w:lang w:eastAsia="zh-CN" w:bidi="ar"/>
        </w:rPr>
        <w:t>五通桥</w:t>
      </w:r>
      <w:r>
        <w:rPr>
          <w:rFonts w:hint="eastAsia" w:ascii="仿宋" w:hAnsi="仿宋" w:eastAsia="仿宋" w:cs="仿宋"/>
          <w:color w:val="000000"/>
          <w:spacing w:val="5"/>
          <w:sz w:val="32"/>
          <w:szCs w:val="32"/>
          <w:lang w:bidi="ar"/>
        </w:rPr>
        <w:t>区</w:t>
      </w:r>
    </w:p>
    <w:p>
      <w:pPr>
        <w:spacing w:line="600" w:lineRule="exact"/>
        <w:ind w:firstLine="660" w:firstLineChars="200"/>
        <w:rPr>
          <w:rFonts w:hint="eastAsia" w:ascii="楷体_GB2312" w:hAnsi="方正楷体_GBK" w:eastAsia="楷体_GB2312" w:cs="方正楷体_GBK"/>
          <w:color w:val="000000"/>
          <w:spacing w:val="5"/>
          <w:sz w:val="32"/>
          <w:szCs w:val="32"/>
          <w:lang w:eastAsia="zh-CN" w:bidi="ar"/>
        </w:rPr>
      </w:pPr>
      <w:r>
        <w:rPr>
          <w:rFonts w:hint="eastAsia" w:ascii="楷体_GB2312" w:hAnsi="方正楷体_GBK" w:eastAsia="楷体_GB2312" w:cs="方正楷体_GBK"/>
          <w:color w:val="000000"/>
          <w:spacing w:val="5"/>
          <w:sz w:val="32"/>
          <w:szCs w:val="32"/>
          <w:lang w:bidi="ar"/>
        </w:rPr>
        <w:t>（五）有效期：</w:t>
      </w:r>
      <w:r>
        <w:rPr>
          <w:rFonts w:hint="eastAsia" w:ascii="仿宋" w:hAnsi="仿宋" w:eastAsia="仿宋" w:cs="仿宋"/>
          <w:color w:val="000000"/>
          <w:spacing w:val="5"/>
          <w:sz w:val="32"/>
          <w:szCs w:val="32"/>
          <w:lang w:val="en-US" w:eastAsia="zh-CN" w:bidi="ar"/>
        </w:rPr>
        <w:t>2024年起实行</w:t>
      </w:r>
    </w:p>
    <w:p>
      <w:pPr>
        <w:spacing w:line="600" w:lineRule="exact"/>
        <w:ind w:firstLine="660" w:firstLineChars="200"/>
        <w:rPr>
          <w:rFonts w:hint="eastAsia" w:ascii="仿宋" w:hAnsi="仿宋" w:eastAsia="仿宋" w:cs="仿宋"/>
          <w:color w:val="000000"/>
          <w:spacing w:val="5"/>
          <w:sz w:val="32"/>
          <w:szCs w:val="32"/>
          <w:lang w:eastAsia="zh-CN" w:bidi="ar"/>
        </w:rPr>
      </w:pPr>
      <w:r>
        <w:rPr>
          <w:rFonts w:hint="eastAsia" w:ascii="楷体_GB2312" w:hAnsi="方正楷体_GBK" w:eastAsia="楷体_GB2312" w:cs="方正楷体_GBK"/>
          <w:color w:val="000000"/>
          <w:spacing w:val="5"/>
          <w:sz w:val="32"/>
          <w:szCs w:val="32"/>
          <w:lang w:bidi="ar"/>
        </w:rPr>
        <w:t>（六）申请对象：</w:t>
      </w:r>
      <w:r>
        <w:rPr>
          <w:rFonts w:hint="eastAsia" w:ascii="仿宋" w:hAnsi="仿宋" w:eastAsia="仿宋" w:cs="仿宋"/>
          <w:color w:val="000000"/>
          <w:spacing w:val="5"/>
          <w:sz w:val="32"/>
          <w:szCs w:val="32"/>
          <w:lang w:eastAsia="zh-CN" w:bidi="ar"/>
        </w:rPr>
        <w:t>农业社会化服务链主的组织。</w:t>
      </w:r>
    </w:p>
    <w:p>
      <w:pPr>
        <w:spacing w:line="600" w:lineRule="exact"/>
        <w:ind w:firstLine="660" w:firstLineChars="200"/>
        <w:rPr>
          <w:rFonts w:hint="eastAsia" w:ascii="仿宋" w:hAnsi="仿宋" w:eastAsia="仿宋" w:cs="仿宋"/>
          <w:color w:val="000000"/>
          <w:spacing w:val="5"/>
          <w:sz w:val="32"/>
          <w:szCs w:val="32"/>
          <w:lang w:eastAsia="zh-CN" w:bidi="ar"/>
        </w:rPr>
      </w:pPr>
      <w:r>
        <w:rPr>
          <w:rFonts w:hint="eastAsia" w:ascii="楷体_GB2312" w:hAnsi="方正楷体_GBK" w:eastAsia="楷体_GB2312" w:cs="方正楷体_GBK"/>
          <w:color w:val="000000"/>
          <w:spacing w:val="5"/>
          <w:sz w:val="32"/>
          <w:szCs w:val="32"/>
          <w:lang w:bidi="ar"/>
        </w:rPr>
        <w:t>（七）申报条件：</w:t>
      </w:r>
      <w:r>
        <w:rPr>
          <w:rFonts w:hint="eastAsia" w:ascii="仿宋" w:hAnsi="仿宋" w:eastAsia="仿宋" w:cs="仿宋"/>
          <w:color w:val="000000"/>
          <w:spacing w:val="5"/>
          <w:sz w:val="32"/>
          <w:szCs w:val="32"/>
          <w:lang w:eastAsia="zh-CN" w:bidi="ar"/>
        </w:rPr>
        <w:t>以“耕种防收”为主向农资供应、工厂化育秧（苗）、秸秆处理、烘干仓储、冷链物流、农产品初加工、销售服务及技术协作等领域拓展的农业社会化服务链主的组织；对年内在本区范围内开展耕、种、防、收等任一环节服务面积达2000亩（折算后）以上的服务组织，或年内在本区范围内销售农产品金额达到1000万元以上的服务组织。</w:t>
      </w:r>
    </w:p>
    <w:p>
      <w:pPr>
        <w:keepNext w:val="0"/>
        <w:keepLines w:val="0"/>
        <w:pageBreakBefore w:val="0"/>
        <w:widowControl w:val="0"/>
        <w:wordWrap/>
        <w:topLinePunct w:val="0"/>
        <w:bidi w:val="0"/>
        <w:adjustRightInd/>
        <w:spacing w:line="600" w:lineRule="exact"/>
        <w:ind w:firstLine="660" w:firstLineChars="200"/>
        <w:jc w:val="left"/>
        <w:textAlignment w:val="auto"/>
        <w:rPr>
          <w:rFonts w:hint="eastAsia" w:ascii="仿宋" w:hAnsi="仿宋" w:eastAsia="仿宋" w:cs="仿宋"/>
          <w:color w:val="000000"/>
          <w:spacing w:val="-11"/>
          <w:sz w:val="32"/>
          <w:szCs w:val="32"/>
          <w:lang w:val="en-US" w:eastAsia="zh-CN" w:bidi="ar"/>
        </w:rPr>
      </w:pPr>
      <w:r>
        <w:rPr>
          <w:rFonts w:hint="eastAsia" w:ascii="楷体_GB2312" w:hAnsi="方正楷体_GBK" w:eastAsia="楷体_GB2312" w:cs="方正楷体_GBK"/>
          <w:color w:val="000000"/>
          <w:spacing w:val="5"/>
          <w:sz w:val="32"/>
          <w:szCs w:val="32"/>
          <w:lang w:bidi="ar"/>
        </w:rPr>
        <w:t>（八）申报时限：</w:t>
      </w:r>
      <w:r>
        <w:rPr>
          <w:rFonts w:hint="eastAsia" w:ascii="仿宋" w:hAnsi="仿宋" w:eastAsia="仿宋" w:cs="仿宋"/>
          <w:color w:val="000000"/>
          <w:spacing w:val="-11"/>
          <w:sz w:val="32"/>
          <w:szCs w:val="32"/>
          <w:lang w:bidi="ar"/>
        </w:rPr>
        <w:t>20</w:t>
      </w:r>
      <w:r>
        <w:rPr>
          <w:rFonts w:hint="eastAsia" w:ascii="仿宋" w:hAnsi="仿宋" w:eastAsia="仿宋" w:cs="仿宋"/>
          <w:color w:val="000000"/>
          <w:spacing w:val="-11"/>
          <w:sz w:val="32"/>
          <w:szCs w:val="32"/>
          <w:lang w:val="en-US" w:eastAsia="zh-CN" w:bidi="ar"/>
        </w:rPr>
        <w:t>24</w:t>
      </w:r>
      <w:r>
        <w:rPr>
          <w:rFonts w:hint="eastAsia" w:ascii="仿宋" w:hAnsi="仿宋" w:eastAsia="仿宋" w:cs="仿宋"/>
          <w:color w:val="000000"/>
          <w:spacing w:val="-11"/>
          <w:sz w:val="32"/>
          <w:szCs w:val="32"/>
          <w:lang w:bidi="ar"/>
        </w:rPr>
        <w:t>年</w:t>
      </w:r>
      <w:r>
        <w:rPr>
          <w:rFonts w:hint="eastAsia" w:ascii="仿宋" w:hAnsi="仿宋" w:eastAsia="仿宋" w:cs="仿宋"/>
          <w:color w:val="000000"/>
          <w:spacing w:val="-11"/>
          <w:sz w:val="32"/>
          <w:szCs w:val="32"/>
          <w:lang w:val="en-US" w:eastAsia="zh-CN" w:bidi="ar"/>
        </w:rPr>
        <w:t>1</w:t>
      </w:r>
      <w:r>
        <w:rPr>
          <w:rFonts w:hint="eastAsia" w:ascii="仿宋" w:hAnsi="仿宋" w:eastAsia="仿宋" w:cs="仿宋"/>
          <w:color w:val="000000"/>
          <w:spacing w:val="-11"/>
          <w:sz w:val="32"/>
          <w:szCs w:val="32"/>
          <w:lang w:bidi="ar"/>
        </w:rPr>
        <w:t>月</w:t>
      </w:r>
      <w:r>
        <w:rPr>
          <w:rFonts w:hint="eastAsia" w:ascii="仿宋" w:hAnsi="仿宋" w:eastAsia="仿宋" w:cs="仿宋"/>
          <w:color w:val="000000"/>
          <w:spacing w:val="-11"/>
          <w:sz w:val="32"/>
          <w:szCs w:val="32"/>
          <w:lang w:val="en-US" w:eastAsia="zh-CN" w:bidi="ar"/>
        </w:rPr>
        <w:t>1</w:t>
      </w:r>
      <w:r>
        <w:rPr>
          <w:rFonts w:hint="eastAsia" w:ascii="仿宋" w:hAnsi="仿宋" w:eastAsia="仿宋" w:cs="仿宋"/>
          <w:color w:val="000000"/>
          <w:spacing w:val="-11"/>
          <w:sz w:val="32"/>
          <w:szCs w:val="32"/>
          <w:lang w:bidi="ar"/>
        </w:rPr>
        <w:t>日至20</w:t>
      </w:r>
      <w:r>
        <w:rPr>
          <w:rFonts w:hint="eastAsia" w:ascii="仿宋" w:hAnsi="仿宋" w:eastAsia="仿宋" w:cs="仿宋"/>
          <w:color w:val="000000"/>
          <w:spacing w:val="-11"/>
          <w:sz w:val="32"/>
          <w:szCs w:val="32"/>
          <w:lang w:val="en-US" w:eastAsia="zh-CN" w:bidi="ar"/>
        </w:rPr>
        <w:t>24</w:t>
      </w:r>
      <w:r>
        <w:rPr>
          <w:rFonts w:hint="eastAsia" w:ascii="仿宋" w:hAnsi="仿宋" w:eastAsia="仿宋" w:cs="仿宋"/>
          <w:color w:val="000000"/>
          <w:spacing w:val="-11"/>
          <w:sz w:val="32"/>
          <w:szCs w:val="32"/>
          <w:lang w:bidi="ar"/>
        </w:rPr>
        <w:t>年</w:t>
      </w:r>
      <w:r>
        <w:rPr>
          <w:rFonts w:hint="eastAsia" w:ascii="仿宋" w:hAnsi="仿宋" w:eastAsia="仿宋" w:cs="仿宋"/>
          <w:color w:val="000000"/>
          <w:spacing w:val="-11"/>
          <w:sz w:val="32"/>
          <w:szCs w:val="32"/>
          <w:lang w:val="en-US" w:eastAsia="zh-CN" w:bidi="ar"/>
        </w:rPr>
        <w:t>12</w:t>
      </w:r>
      <w:r>
        <w:rPr>
          <w:rFonts w:hint="eastAsia" w:ascii="仿宋" w:hAnsi="仿宋" w:eastAsia="仿宋" w:cs="仿宋"/>
          <w:color w:val="000000"/>
          <w:spacing w:val="-11"/>
          <w:sz w:val="32"/>
          <w:szCs w:val="32"/>
          <w:lang w:bidi="ar"/>
        </w:rPr>
        <w:t>月</w:t>
      </w:r>
      <w:r>
        <w:rPr>
          <w:rFonts w:hint="eastAsia" w:ascii="仿宋" w:hAnsi="仿宋" w:eastAsia="仿宋" w:cs="仿宋"/>
          <w:color w:val="000000"/>
          <w:spacing w:val="-11"/>
          <w:sz w:val="32"/>
          <w:szCs w:val="32"/>
          <w:lang w:val="en-US" w:eastAsia="zh-CN" w:bidi="ar"/>
        </w:rPr>
        <w:t>31</w:t>
      </w:r>
      <w:r>
        <w:rPr>
          <w:rFonts w:hint="eastAsia" w:ascii="仿宋" w:hAnsi="仿宋" w:eastAsia="仿宋" w:cs="仿宋"/>
          <w:color w:val="000000"/>
          <w:spacing w:val="-11"/>
          <w:sz w:val="32"/>
          <w:szCs w:val="32"/>
          <w:lang w:bidi="ar"/>
        </w:rPr>
        <w:t>日</w:t>
      </w:r>
    </w:p>
    <w:p>
      <w:pPr>
        <w:spacing w:line="600" w:lineRule="exact"/>
        <w:ind w:firstLine="660" w:firstLineChars="200"/>
        <w:rPr>
          <w:rFonts w:hint="eastAsia" w:ascii="仿宋" w:hAnsi="仿宋" w:eastAsia="仿宋" w:cs="仿宋"/>
          <w:color w:val="000000"/>
          <w:spacing w:val="5"/>
          <w:sz w:val="32"/>
          <w:szCs w:val="32"/>
          <w:lang w:val="en-US" w:eastAsia="zh-CN" w:bidi="ar"/>
        </w:rPr>
      </w:pPr>
      <w:r>
        <w:rPr>
          <w:rFonts w:hint="eastAsia" w:ascii="楷体_GB2312" w:hAnsi="方正楷体_GBK" w:eastAsia="楷体_GB2312" w:cs="方正楷体_GBK"/>
          <w:color w:val="000000"/>
          <w:spacing w:val="5"/>
          <w:sz w:val="32"/>
          <w:szCs w:val="32"/>
          <w:lang w:bidi="ar"/>
        </w:rPr>
        <w:t>（九）兑现标准：</w:t>
      </w:r>
      <w:r>
        <w:rPr>
          <w:rFonts w:hint="eastAsia" w:ascii="仿宋" w:hAnsi="仿宋" w:eastAsia="仿宋" w:cs="仿宋"/>
          <w:color w:val="000000"/>
          <w:spacing w:val="5"/>
          <w:sz w:val="32"/>
          <w:szCs w:val="32"/>
          <w:lang w:eastAsia="zh-CN" w:bidi="ar"/>
        </w:rPr>
        <w:t>从“耕种防收”为主向农资供应、工厂化育秧（苗）、秸秆处理、烘干仓储、冷链物流、农产品初加工、销售服务及技术协作等领域拓展被认定为农业社会化服务链主的组织，一次性奖励10万元；对年内在本区范围内开展耕、种、防、收等任一环节服务面积达2000亩（折算后）以上的服务组织，或年内在本区范围内销售农产品金额达到1000万元以上的服务组织，区本级一次性奖励财政3万元。</w:t>
      </w:r>
    </w:p>
    <w:p>
      <w:pPr>
        <w:spacing w:line="600" w:lineRule="exact"/>
        <w:ind w:firstLine="660" w:firstLineChars="200"/>
        <w:rPr>
          <w:rFonts w:hint="eastAsia" w:ascii="仿宋" w:hAnsi="仿宋" w:eastAsia="仿宋" w:cs="仿宋"/>
          <w:color w:val="000000"/>
          <w:spacing w:val="5"/>
          <w:sz w:val="32"/>
          <w:szCs w:val="32"/>
          <w:lang w:eastAsia="zh-CN" w:bidi="ar"/>
        </w:rPr>
      </w:pPr>
      <w:r>
        <w:rPr>
          <w:rFonts w:hint="eastAsia" w:ascii="楷体_GB2312" w:hAnsi="方正楷体_GBK" w:eastAsia="楷体_GB2312" w:cs="方正楷体_GBK"/>
          <w:color w:val="000000"/>
          <w:spacing w:val="5"/>
          <w:sz w:val="32"/>
          <w:szCs w:val="32"/>
          <w:lang w:bidi="ar"/>
        </w:rPr>
        <w:t>（十）兑现方式：</w:t>
      </w:r>
      <w:r>
        <w:rPr>
          <w:rFonts w:hint="eastAsia" w:ascii="仿宋" w:hAnsi="仿宋" w:eastAsia="仿宋" w:cs="仿宋"/>
          <w:color w:val="000000"/>
          <w:spacing w:val="5"/>
          <w:sz w:val="32"/>
          <w:szCs w:val="32"/>
          <w:lang w:eastAsia="zh-CN" w:bidi="ar"/>
        </w:rPr>
        <w:t>其他</w:t>
      </w:r>
    </w:p>
    <w:p>
      <w:pPr>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（十一）兑现时限：</w:t>
      </w:r>
      <w:r>
        <w:rPr>
          <w:rFonts w:hint="eastAsia" w:ascii="仿宋" w:hAnsi="仿宋" w:eastAsia="仿宋" w:cs="仿宋"/>
          <w:color w:val="000000"/>
          <w:spacing w:val="5"/>
          <w:sz w:val="32"/>
          <w:szCs w:val="32"/>
          <w:lang w:val="en-US" w:eastAsia="zh-CN" w:bidi="ar"/>
        </w:rPr>
        <w:t>90</w:t>
      </w:r>
      <w:r>
        <w:rPr>
          <w:rFonts w:hint="eastAsia" w:ascii="仿宋" w:hAnsi="仿宋" w:eastAsia="仿宋" w:cs="仿宋"/>
          <w:color w:val="000000"/>
          <w:spacing w:val="5"/>
          <w:sz w:val="32"/>
          <w:szCs w:val="32"/>
          <w:lang w:bidi="ar"/>
        </w:rPr>
        <w:t>工作日</w:t>
      </w:r>
    </w:p>
    <w:p>
      <w:pPr>
        <w:spacing w:line="600" w:lineRule="exact"/>
        <w:ind w:firstLine="660" w:firstLineChars="200"/>
        <w:rPr>
          <w:rFonts w:hint="eastAsia"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（十二）惠企政策服务专窗咨询电话：</w:t>
      </w:r>
      <w:r>
        <w:rPr>
          <w:rFonts w:hint="eastAsia" w:ascii="楷体_GB2312" w:hAnsi="方正楷体_GBK" w:eastAsia="楷体_GB2312" w:cs="方正楷体_GBK"/>
          <w:color w:val="000000"/>
          <w:spacing w:val="5"/>
          <w:sz w:val="32"/>
          <w:szCs w:val="32"/>
          <w:lang w:val="en-US" w:eastAsia="zh-CN" w:bidi="ar"/>
        </w:rPr>
        <w:t>0833-3306266</w:t>
      </w:r>
    </w:p>
    <w:p>
      <w:pPr>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（十三）监督投诉电话：</w:t>
      </w:r>
      <w:r>
        <w:rPr>
          <w:rFonts w:hint="eastAsia" w:ascii="仿宋" w:hAnsi="仿宋" w:eastAsia="仿宋" w:cs="仿宋"/>
          <w:color w:val="000000"/>
          <w:spacing w:val="5"/>
          <w:sz w:val="32"/>
          <w:szCs w:val="32"/>
          <w:lang w:bidi="ar"/>
        </w:rPr>
        <w:t>12345</w:t>
      </w:r>
    </w:p>
    <w:p>
      <w:pPr>
        <w:pStyle w:val="8"/>
        <w:autoSpaceDE w:val="0"/>
        <w:spacing w:line="600" w:lineRule="exact"/>
        <w:ind w:firstLine="660" w:firstLineChars="200"/>
        <w:rPr>
          <w:rFonts w:ascii="仿宋" w:hAnsi="仿宋" w:eastAsia="仿宋" w:cs="仿宋"/>
          <w:color w:val="000000"/>
          <w:spacing w:val="5"/>
          <w:sz w:val="32"/>
          <w:szCs w:val="32"/>
        </w:rPr>
      </w:pPr>
      <w:r>
        <w:rPr>
          <w:rFonts w:hint="eastAsia" w:ascii="楷体_GB2312" w:hAnsi="方正楷体_GBK" w:eastAsia="楷体_GB2312" w:cs="方正楷体_GBK"/>
          <w:color w:val="000000"/>
          <w:spacing w:val="5"/>
          <w:sz w:val="32"/>
          <w:szCs w:val="32"/>
          <w:lang w:bidi="ar"/>
        </w:rPr>
        <w:t>（十四）受理地址：</w:t>
      </w:r>
      <w:r>
        <w:rPr>
          <w:rFonts w:hint="eastAsia" w:ascii="仿宋" w:hAnsi="仿宋" w:eastAsia="仿宋" w:cs="仿宋"/>
          <w:color w:val="000000"/>
          <w:spacing w:val="5"/>
          <w:sz w:val="32"/>
          <w:szCs w:val="32"/>
          <w:lang w:eastAsia="zh-CN"/>
        </w:rPr>
        <w:t>五通桥区</w:t>
      </w:r>
      <w:r>
        <w:rPr>
          <w:rFonts w:hint="eastAsia" w:ascii="仿宋" w:hAnsi="仿宋" w:eastAsia="仿宋" w:cs="仿宋"/>
          <w:color w:val="000000"/>
          <w:spacing w:val="5"/>
          <w:sz w:val="32"/>
          <w:szCs w:val="32"/>
        </w:rPr>
        <w:t>政务服务中心惠企政策服务专窗</w:t>
      </w:r>
    </w:p>
    <w:p>
      <w:pPr>
        <w:spacing w:line="600" w:lineRule="exact"/>
        <w:ind w:firstLine="660" w:firstLineChars="200"/>
        <w:rPr>
          <w:rFonts w:ascii="楷体_GB2312" w:hAnsi="方正楷体_GBK" w:eastAsia="楷体_GB2312" w:cs="方正楷体_GBK"/>
          <w:color w:val="000000"/>
          <w:spacing w:val="5"/>
          <w:sz w:val="32"/>
          <w:szCs w:val="32"/>
          <w:lang w:bidi="ar"/>
        </w:rPr>
      </w:pPr>
      <w:r>
        <w:rPr>
          <w:rFonts w:hint="eastAsia" w:ascii="楷体_GB2312" w:hAnsi="方正楷体_GBK" w:eastAsia="楷体_GB2312" w:cs="方正楷体_GBK"/>
          <w:color w:val="000000"/>
          <w:spacing w:val="5"/>
          <w:sz w:val="32"/>
          <w:szCs w:val="32"/>
          <w:lang w:bidi="ar"/>
        </w:rPr>
        <w:t>（十五）工作时间：</w:t>
      </w:r>
      <w:r>
        <w:rPr>
          <w:rFonts w:hint="eastAsia" w:ascii="楷体_GB2312" w:hAnsi="方正楷体_GBK" w:eastAsia="楷体_GB2312" w:cs="方正楷体_GBK"/>
          <w:color w:val="000000"/>
          <w:spacing w:val="5"/>
          <w:sz w:val="32"/>
          <w:szCs w:val="32"/>
          <w:highlight w:val="none"/>
          <w:lang w:eastAsia="zh-CN" w:bidi="ar"/>
        </w:rPr>
        <w:t>周一至周五</w:t>
      </w:r>
      <w:r>
        <w:rPr>
          <w:rFonts w:hint="eastAsia" w:ascii="楷体_GB2312" w:hAnsi="方正楷体_GBK" w:eastAsia="楷体_GB2312" w:cs="方正楷体_GBK"/>
          <w:color w:val="000000"/>
          <w:spacing w:val="5"/>
          <w:sz w:val="32"/>
          <w:szCs w:val="32"/>
          <w:highlight w:val="none"/>
          <w:lang w:val="en-US" w:eastAsia="zh-CN" w:bidi="ar"/>
        </w:rPr>
        <w:t>(上午</w:t>
      </w:r>
      <w:r>
        <w:rPr>
          <w:rFonts w:hint="default" w:ascii="楷体_GB2312" w:hAnsi="方正楷体_GBK" w:eastAsia="楷体_GB2312" w:cs="方正楷体_GBK"/>
          <w:color w:val="000000"/>
          <w:spacing w:val="5"/>
          <w:sz w:val="32"/>
          <w:szCs w:val="32"/>
          <w:highlight w:val="none"/>
          <w:lang w:val="en-US" w:eastAsia="zh-CN" w:bidi="ar"/>
        </w:rPr>
        <w:t>9</w:t>
      </w:r>
      <w:r>
        <w:rPr>
          <w:rFonts w:hint="eastAsia" w:ascii="楷体_GB2312" w:hAnsi="方正楷体_GBK" w:eastAsia="楷体_GB2312" w:cs="方正楷体_GBK"/>
          <w:color w:val="000000"/>
          <w:spacing w:val="5"/>
          <w:sz w:val="32"/>
          <w:szCs w:val="32"/>
          <w:highlight w:val="none"/>
          <w:lang w:val="en-US" w:eastAsia="zh-CN" w:bidi="ar"/>
        </w:rPr>
        <w:t>点</w:t>
      </w:r>
      <w:r>
        <w:rPr>
          <w:rFonts w:hint="default" w:ascii="楷体_GB2312" w:hAnsi="方正楷体_GBK" w:eastAsia="楷体_GB2312" w:cs="方正楷体_GBK"/>
          <w:color w:val="000000"/>
          <w:spacing w:val="5"/>
          <w:sz w:val="32"/>
          <w:szCs w:val="32"/>
          <w:highlight w:val="none"/>
          <w:lang w:val="en-US" w:eastAsia="zh-CN" w:bidi="ar"/>
        </w:rPr>
        <w:t>-12</w:t>
      </w:r>
      <w:r>
        <w:rPr>
          <w:rFonts w:hint="eastAsia" w:ascii="楷体_GB2312" w:hAnsi="方正楷体_GBK" w:eastAsia="楷体_GB2312" w:cs="方正楷体_GBK"/>
          <w:color w:val="000000"/>
          <w:spacing w:val="5"/>
          <w:sz w:val="32"/>
          <w:szCs w:val="32"/>
          <w:highlight w:val="none"/>
          <w:lang w:val="en-US" w:eastAsia="zh-CN" w:bidi="ar"/>
        </w:rPr>
        <w:t>点</w:t>
      </w:r>
      <w:r>
        <w:rPr>
          <w:rFonts w:hint="default" w:ascii="楷体_GB2312" w:hAnsi="方正楷体_GBK" w:eastAsia="楷体_GB2312" w:cs="方正楷体_GBK"/>
          <w:color w:val="000000"/>
          <w:spacing w:val="5"/>
          <w:sz w:val="32"/>
          <w:szCs w:val="32"/>
          <w:highlight w:val="none"/>
          <w:lang w:val="en-US" w:eastAsia="zh-CN" w:bidi="ar"/>
        </w:rPr>
        <w:t xml:space="preserve"> </w:t>
      </w:r>
      <w:r>
        <w:rPr>
          <w:rFonts w:hint="eastAsia" w:ascii="楷体_GB2312" w:hAnsi="方正楷体_GBK" w:eastAsia="楷体_GB2312" w:cs="方正楷体_GBK"/>
          <w:color w:val="000000"/>
          <w:spacing w:val="5"/>
          <w:sz w:val="32"/>
          <w:szCs w:val="32"/>
          <w:highlight w:val="none"/>
          <w:lang w:val="en-US" w:eastAsia="zh-CN" w:bidi="ar"/>
        </w:rPr>
        <w:t>下午13点</w:t>
      </w:r>
      <w:r>
        <w:rPr>
          <w:rFonts w:hint="default" w:ascii="楷体_GB2312" w:hAnsi="方正楷体_GBK" w:eastAsia="楷体_GB2312" w:cs="方正楷体_GBK"/>
          <w:color w:val="000000"/>
          <w:spacing w:val="5"/>
          <w:sz w:val="32"/>
          <w:szCs w:val="32"/>
          <w:highlight w:val="none"/>
          <w:lang w:val="en-US" w:eastAsia="zh-CN" w:bidi="ar"/>
        </w:rPr>
        <w:t>-</w:t>
      </w:r>
      <w:r>
        <w:rPr>
          <w:rFonts w:hint="eastAsia" w:ascii="楷体_GB2312" w:hAnsi="方正楷体_GBK" w:eastAsia="楷体_GB2312" w:cs="方正楷体_GBK"/>
          <w:color w:val="000000"/>
          <w:spacing w:val="5"/>
          <w:sz w:val="32"/>
          <w:szCs w:val="32"/>
          <w:highlight w:val="none"/>
          <w:lang w:val="en-US" w:eastAsia="zh-CN" w:bidi="ar"/>
        </w:rPr>
        <w:t>17点,节假日休息)</w:t>
      </w:r>
    </w:p>
    <w:p>
      <w:pPr>
        <w:kinsoku w:val="0"/>
        <w:autoSpaceDE w:val="0"/>
        <w:autoSpaceDN w:val="0"/>
        <w:snapToGrid w:val="0"/>
        <w:spacing w:line="600" w:lineRule="exact"/>
        <w:ind w:firstLine="640" w:firstLineChars="200"/>
        <w:rPr>
          <w:rFonts w:ascii="黑体" w:hAnsi="黑体" w:eastAsia="黑体" w:cs="黑体"/>
          <w:color w:val="000000"/>
          <w:kern w:val="0"/>
          <w:sz w:val="32"/>
          <w:szCs w:val="32"/>
        </w:rPr>
      </w:pPr>
      <w:r>
        <w:rPr>
          <w:rFonts w:hint="eastAsia" w:ascii="黑体" w:hAnsi="黑体" w:eastAsia="黑体" w:cs="黑体"/>
          <w:color w:val="000000"/>
          <w:kern w:val="0"/>
          <w:sz w:val="32"/>
          <w:szCs w:val="32"/>
          <w:lang w:bidi="ar"/>
        </w:rPr>
        <w:t>二、申请材料</w:t>
      </w:r>
    </w:p>
    <w:p>
      <w:pPr>
        <w:spacing w:line="600" w:lineRule="exact"/>
        <w:ind w:firstLine="663" w:firstLineChars="200"/>
        <w:rPr>
          <w:rFonts w:hint="eastAsia" w:ascii="仿宋" w:hAnsi="仿宋" w:eastAsia="仿宋" w:cs="仿宋"/>
          <w:color w:val="000000"/>
          <w:spacing w:val="5"/>
          <w:sz w:val="32"/>
          <w:szCs w:val="32"/>
          <w:lang w:val="en-US" w:eastAsia="zh-CN"/>
        </w:rPr>
      </w:pPr>
      <w:r>
        <w:rPr>
          <w:rFonts w:hint="eastAsia" w:ascii="仿宋" w:hAnsi="仿宋" w:eastAsia="仿宋" w:cs="仿宋"/>
          <w:b/>
          <w:color w:val="000000"/>
          <w:spacing w:val="5"/>
          <w:kern w:val="2"/>
          <w:sz w:val="32"/>
          <w:szCs w:val="32"/>
          <w:lang w:val="en-US" w:eastAsia="zh-CN" w:bidi="ar"/>
        </w:rPr>
        <w:t>材料要求：</w:t>
      </w:r>
      <w:r>
        <w:rPr>
          <w:rFonts w:hint="eastAsia" w:ascii="仿宋" w:hAnsi="仿宋" w:eastAsia="仿宋" w:cs="仿宋"/>
          <w:color w:val="000000"/>
          <w:spacing w:val="5"/>
          <w:sz w:val="32"/>
          <w:szCs w:val="32"/>
          <w:lang w:val="en-US" w:eastAsia="zh-CN" w:bidi="ar"/>
        </w:rPr>
        <w:t>1、</w:t>
      </w:r>
      <w:r>
        <w:rPr>
          <w:rFonts w:hint="eastAsia" w:ascii="仿宋" w:hAnsi="仿宋" w:eastAsia="仿宋" w:cs="仿宋"/>
          <w:color w:val="000000"/>
          <w:spacing w:val="5"/>
          <w:sz w:val="32"/>
          <w:szCs w:val="32"/>
          <w:lang w:eastAsia="zh-CN" w:bidi="ar"/>
        </w:rPr>
        <w:t>农业社会化服务组织信息的</w:t>
      </w:r>
      <w:r>
        <w:rPr>
          <w:rFonts w:hint="eastAsia" w:ascii="仿宋" w:hAnsi="仿宋" w:eastAsia="仿宋" w:cs="仿宋"/>
          <w:color w:val="000000"/>
          <w:spacing w:val="5"/>
          <w:sz w:val="32"/>
          <w:szCs w:val="32"/>
          <w:lang w:val="en-US" w:eastAsia="zh-CN" w:bidi="ar"/>
        </w:rPr>
        <w:t>复印件。</w:t>
      </w:r>
    </w:p>
    <w:p>
      <w:pPr>
        <w:pStyle w:val="8"/>
        <w:spacing w:line="600" w:lineRule="exact"/>
        <w:ind w:firstLine="660" w:firstLineChars="200"/>
        <w:rPr>
          <w:rFonts w:hint="eastAsia" w:ascii="仿宋" w:hAnsi="仿宋" w:eastAsia="仿宋" w:cs="仿宋"/>
          <w:color w:val="000000"/>
          <w:spacing w:val="5"/>
          <w:sz w:val="32"/>
          <w:szCs w:val="32"/>
          <w:lang w:val="en-US" w:eastAsia="zh-CN"/>
        </w:rPr>
      </w:pPr>
      <w:r>
        <w:rPr>
          <w:rFonts w:hint="eastAsia" w:ascii="仿宋" w:hAnsi="仿宋" w:eastAsia="仿宋" w:cs="仿宋"/>
          <w:color w:val="000000"/>
          <w:spacing w:val="5"/>
          <w:sz w:val="32"/>
          <w:szCs w:val="32"/>
          <w:lang w:val="en-US" w:eastAsia="zh-CN"/>
        </w:rPr>
        <w:t xml:space="preserve">          2、申报表2份，加盖单位公章。</w:t>
      </w:r>
    </w:p>
    <w:p>
      <w:pPr>
        <w:pStyle w:val="8"/>
        <w:spacing w:line="600" w:lineRule="exact"/>
        <w:ind w:firstLine="660" w:firstLineChars="200"/>
        <w:rPr>
          <w:rFonts w:hint="default" w:ascii="仿宋" w:hAnsi="仿宋" w:eastAsia="仿宋" w:cs="仿宋"/>
          <w:color w:val="000000"/>
          <w:spacing w:val="5"/>
          <w:sz w:val="32"/>
          <w:szCs w:val="32"/>
          <w:lang w:val="en-US" w:eastAsia="zh-CN"/>
        </w:rPr>
      </w:pPr>
      <w:r>
        <w:rPr>
          <w:rFonts w:hint="eastAsia" w:ascii="仿宋" w:hAnsi="仿宋" w:eastAsia="仿宋" w:cs="仿宋"/>
          <w:color w:val="000000"/>
          <w:spacing w:val="5"/>
          <w:sz w:val="32"/>
          <w:szCs w:val="32"/>
          <w:lang w:val="en-US" w:eastAsia="zh-CN"/>
        </w:rPr>
        <w:t xml:space="preserve">          3、提供对公账户信息。</w:t>
      </w:r>
    </w:p>
    <w:p>
      <w:pPr>
        <w:rPr>
          <w:rFonts w:hint="default" w:ascii="仿宋_GB2312" w:hAnsi="仿宋_GB2312" w:eastAsia="仿宋_GB2312" w:cs="仿宋_GB2312"/>
          <w:sz w:val="32"/>
          <w:szCs w:val="32"/>
          <w:lang w:val="en-US" w:eastAsia="zh-CN"/>
        </w:rPr>
      </w:pPr>
      <w:bookmarkStart w:id="0" w:name="_GoBack"/>
      <w:bookmarkEnd w:id="0"/>
    </w:p>
    <w:p>
      <w:pPr>
        <w:pStyle w:val="8"/>
        <w:spacing w:line="600" w:lineRule="exact"/>
        <w:ind w:firstLine="640" w:firstLineChars="200"/>
        <w:jc w:val="left"/>
        <w:rPr>
          <w:rStyle w:val="7"/>
          <w:rFonts w:hint="eastAsia" w:ascii="仿宋_GB2312" w:hAnsi="仿宋_GB2312" w:eastAsia="仿宋_GB2312" w:cs="仿宋_GB2312"/>
          <w:sz w:val="32"/>
          <w:szCs w:val="32"/>
          <w:lang w:val="en-US" w:eastAsia="zh-CN" w:bidi="ar"/>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ascii="宋体" w:hAnsi="宋体"/>
        <w:sz w:val="28"/>
        <w:szCs w:val="28"/>
      </w:rPr>
    </w:pPr>
    <w:r>
      <w:rPr>
        <w:rFonts w:hint="eastAsia" w:ascii="宋体" w:hAnsi="宋体"/>
        <w:sz w:val="28"/>
        <w:szCs w:val="28"/>
      </w:rPr>
      <w:t>—</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YTEyYmI3NzY1OGNmYzUzZjQyYTdiMDMzOTA2NGUifQ=="/>
  </w:docVars>
  <w:rsids>
    <w:rsidRoot w:val="00000000"/>
    <w:rsid w:val="047167B5"/>
    <w:rsid w:val="088C4C27"/>
    <w:rsid w:val="09D31091"/>
    <w:rsid w:val="0C7E3F74"/>
    <w:rsid w:val="13D43BA0"/>
    <w:rsid w:val="22113F14"/>
    <w:rsid w:val="2FEF55D0"/>
    <w:rsid w:val="40A03359"/>
    <w:rsid w:val="4A4F3B2E"/>
    <w:rsid w:val="53B35C1B"/>
    <w:rsid w:val="59B16428"/>
    <w:rsid w:val="5B772D5A"/>
    <w:rsid w:val="6C391987"/>
    <w:rsid w:val="713009F1"/>
    <w:rsid w:val="7786674E"/>
    <w:rsid w:val="7E8D5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next w:val="1"/>
    <w:qFormat/>
    <w:uiPriority w:val="0"/>
    <w:pPr>
      <w:tabs>
        <w:tab w:val="center" w:pos="4153"/>
        <w:tab w:val="right" w:pos="8306"/>
      </w:tabs>
      <w:snapToGrid w:val="0"/>
      <w:jc w:val="left"/>
    </w:pPr>
    <w:rPr>
      <w:sz w:val="18"/>
    </w:rPr>
  </w:style>
  <w:style w:type="character" w:customStyle="1" w:styleId="7">
    <w:name w:val="font71"/>
    <w:qFormat/>
    <w:uiPriority w:val="0"/>
    <w:rPr>
      <w:rFonts w:hint="eastAsia" w:ascii="仿宋_GB2312" w:eastAsia="仿宋_GB2312" w:cs="仿宋_GB2312"/>
      <w:color w:val="000000"/>
      <w:sz w:val="22"/>
      <w:szCs w:val="22"/>
      <w:u w:val="none"/>
    </w:rPr>
  </w:style>
  <w:style w:type="paragraph" w:customStyle="1" w:styleId="8">
    <w:name w:val="称呼1"/>
    <w:basedOn w:val="1"/>
    <w:qFormat/>
    <w:uiPriority w:val="0"/>
    <w:rPr>
      <w:sz w:val="32"/>
      <w:szCs w:val="32"/>
    </w:rPr>
  </w:style>
  <w:style w:type="character" w:customStyle="1" w:styleId="9">
    <w:name w:val="NormalCharacter"/>
    <w:qFormat/>
    <w:uiPriority w:val="0"/>
  </w:style>
  <w:style w:type="character" w:customStyle="1" w:styleId="10">
    <w:name w:val="font61"/>
    <w:qFormat/>
    <w:uiPriority w:val="0"/>
    <w:rPr>
      <w:rFonts w:ascii="黑体" w:hAnsi="宋体" w:eastAsia="黑体" w:cs="黑体"/>
      <w:color w:val="000000"/>
      <w:sz w:val="28"/>
      <w:szCs w:val="28"/>
      <w:u w:val="none"/>
    </w:rPr>
  </w:style>
  <w:style w:type="paragraph" w:customStyle="1" w:styleId="11">
    <w:name w:val="普通(网站)1"/>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12">
    <w:name w:val="15"/>
    <w:qFormat/>
    <w:uiPriority w:val="0"/>
    <w:rPr>
      <w:rFonts w:hint="default" w:ascii="Calibri" w:hAnsi="Calibri" w:eastAsia="仿宋" w:cs="Calibri"/>
      <w:kern w:val="2"/>
      <w:sz w:val="32"/>
      <w:szCs w:val="32"/>
    </w:rPr>
  </w:style>
  <w:style w:type="paragraph" w:customStyle="1" w:styleId="13">
    <w:name w:val="正文文本11"/>
    <w:basedOn w:val="1"/>
    <w:qFormat/>
    <w:uiPriority w:val="0"/>
    <w:pPr>
      <w:spacing w:after="120"/>
    </w:pPr>
    <w:rPr>
      <w:rFonts w:ascii="Calibri" w:hAnsi="Calibri" w:eastAsia="仿宋"/>
      <w:sz w:val="32"/>
      <w:szCs w:val="32"/>
    </w:rPr>
  </w:style>
  <w:style w:type="paragraph" w:customStyle="1" w:styleId="14">
    <w:name w:val="称呼11"/>
    <w:basedOn w:val="1"/>
    <w:qFormat/>
    <w:uiPriority w:val="0"/>
    <w:rPr>
      <w:rFonts w:ascii="Calibri" w:hAnsi="Calibri" w:eastAsia="仿宋"/>
      <w:sz w:val="32"/>
      <w:szCs w:val="32"/>
    </w:rPr>
  </w:style>
  <w:style w:type="paragraph" w:customStyle="1" w:styleId="15">
    <w:name w:val="正文文本缩进 21"/>
    <w:basedOn w:val="1"/>
    <w:qFormat/>
    <w:uiPriority w:val="0"/>
    <w:pPr>
      <w:spacing w:after="120" w:line="480" w:lineRule="auto"/>
      <w:ind w:left="420" w:leftChars="200"/>
    </w:pPr>
    <w:rPr>
      <w:rFonts w:ascii="Calibri" w:hAnsi="Calibri"/>
      <w:sz w:val="32"/>
      <w:szCs w:val="32"/>
    </w:rPr>
  </w:style>
  <w:style w:type="paragraph" w:customStyle="1" w:styleId="16">
    <w:name w:val="正文文本1"/>
    <w:basedOn w:val="1"/>
    <w:qFormat/>
    <w:uiPriority w:val="0"/>
    <w:pPr>
      <w:spacing w:after="120"/>
    </w:pPr>
    <w:rPr>
      <w:rFonts w:ascii="Calibri" w:hAnsi="Calibri" w:eastAsia="仿宋"/>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1821</Words>
  <Characters>1914</Characters>
  <Lines>0</Lines>
  <Paragraphs>0</Paragraphs>
  <TotalTime>0</TotalTime>
  <ScaleCrop>false</ScaleCrop>
  <LinksUpToDate>false</LinksUpToDate>
  <CharactersWithSpaces>1958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2024-04-22T03:03:00Z</dcterms:created>
  <dc:creator>Administrator</dc:creator>
  <cp:lastModifiedBy>百里屠苏</cp:lastModifiedBy>
  <cp:lastPrinted>2024-04-22T06:25:00Z</cp:lastPrinted>
  <dcterms:modified xsi:type="dcterms:W3CDTF">2024-06-03T05:52:33Z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F60CDCDC6D164CC286E6DCD03079B2E9_13</vt:lpwstr>
  </property>
</Properties>
</file>