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F1" w:rsidRDefault="00C14AF1" w:rsidP="00C14AF1">
      <w:pPr>
        <w:spacing w:line="600" w:lineRule="exact"/>
        <w:jc w:val="left"/>
        <w:outlineLvl w:val="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C14AF1" w:rsidRDefault="00C14AF1" w:rsidP="00C14AF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14AF1" w:rsidRDefault="00C14AF1" w:rsidP="00C14AF1">
      <w:pPr>
        <w:spacing w:line="600" w:lineRule="exact"/>
        <w:jc w:val="center"/>
        <w:rPr>
          <w:rFonts w:ascii="方正小标宋简体" w:eastAsia="方正小标宋简体" w:hAnsi="宋体" w:hint="eastAsia"/>
          <w:color w:val="000000"/>
          <w:kern w:val="0"/>
          <w:sz w:val="40"/>
          <w:szCs w:val="44"/>
        </w:rPr>
      </w:pPr>
      <w:r>
        <w:rPr>
          <w:rFonts w:ascii="方正小标宋简体" w:eastAsia="方正小标宋简体" w:hAnsi="宋体" w:hint="eastAsia"/>
          <w:color w:val="000000"/>
          <w:kern w:val="0"/>
          <w:sz w:val="40"/>
          <w:szCs w:val="44"/>
        </w:rPr>
        <w:t>五通桥区人民法院</w:t>
      </w:r>
    </w:p>
    <w:p w:rsidR="00C14AF1" w:rsidRDefault="00C14AF1" w:rsidP="00C14AF1">
      <w:pPr>
        <w:spacing w:line="600" w:lineRule="exact"/>
        <w:jc w:val="center"/>
        <w:rPr>
          <w:rFonts w:ascii="方正小标宋简体" w:eastAsia="方正小标宋简体" w:hAnsi="宋体"/>
          <w:color w:val="000000"/>
          <w:kern w:val="0"/>
          <w:sz w:val="40"/>
          <w:szCs w:val="44"/>
          <w:lang w:val="zh-CN"/>
        </w:rPr>
      </w:pPr>
      <w:r>
        <w:rPr>
          <w:rFonts w:ascii="方正小标宋简体" w:eastAsia="方正小标宋简体" w:hAnsi="宋体"/>
          <w:color w:val="000000"/>
          <w:kern w:val="0"/>
          <w:sz w:val="40"/>
          <w:szCs w:val="44"/>
        </w:rPr>
        <w:t>2020</w:t>
      </w:r>
      <w:r>
        <w:rPr>
          <w:rFonts w:ascii="方正小标宋简体" w:eastAsia="方正小标宋简体" w:hAnsi="宋体" w:hint="eastAsia"/>
          <w:color w:val="000000"/>
          <w:kern w:val="0"/>
          <w:sz w:val="40"/>
          <w:szCs w:val="44"/>
        </w:rPr>
        <w:t>年部门</w:t>
      </w:r>
      <w:r>
        <w:rPr>
          <w:rFonts w:ascii="方正小标宋简体" w:eastAsia="方正小标宋简体" w:hAnsi="宋体" w:hint="eastAsia"/>
          <w:color w:val="000000"/>
          <w:kern w:val="0"/>
          <w:sz w:val="40"/>
          <w:szCs w:val="44"/>
          <w:lang w:val="zh-CN"/>
        </w:rPr>
        <w:t>整体支出绩效评价报告</w:t>
      </w:r>
    </w:p>
    <w:p w:rsidR="00C14AF1" w:rsidRDefault="00C14AF1" w:rsidP="00C14AF1">
      <w:pPr>
        <w:widowControl/>
        <w:adjustRightInd w:val="0"/>
        <w:snapToGrid w:val="0"/>
        <w:spacing w:line="580" w:lineRule="exact"/>
        <w:ind w:firstLineChars="200" w:firstLine="480"/>
        <w:contextualSpacing/>
        <w:jc w:val="left"/>
        <w:rPr>
          <w:rFonts w:ascii="黑体" w:eastAsia="黑体" w:hAnsi="宋体" w:cs="宋体"/>
          <w:color w:val="000000"/>
          <w:kern w:val="0"/>
          <w:sz w:val="24"/>
          <w:szCs w:val="32"/>
          <w:shd w:val="clear" w:color="auto" w:fill="FFFFFF"/>
        </w:rPr>
      </w:pP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一、</w:t>
      </w: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部门（单位）概况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（一）机构组成。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仿宋_GB2312" w:hint="eastAsia"/>
          <w:sz w:val="32"/>
          <w:szCs w:val="32"/>
        </w:rPr>
        <w:t>区法院只有一个一级预算单位。院机关分设机关党委、组织部、综合办公室、立案庭、民事审判庭、刑事审判庭、行政审判庭、审判管理中心、法警队、金山法院11个部门和1个派出法庭冠英法庭。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（二）机构职能。</w:t>
      </w:r>
    </w:p>
    <w:p w:rsidR="00C14AF1" w:rsidRPr="00C14AF1" w:rsidRDefault="00C14AF1" w:rsidP="00C14AF1">
      <w:pPr>
        <w:pStyle w:val="2"/>
        <w:spacing w:line="360" w:lineRule="auto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C14AF1">
        <w:rPr>
          <w:rFonts w:ascii="仿宋" w:eastAsia="仿宋" w:hAnsi="仿宋" w:cs="仿宋_GB2312" w:hint="eastAsia"/>
          <w:sz w:val="32"/>
          <w:szCs w:val="32"/>
        </w:rPr>
        <w:t>1、依法审理法院规定由基层人民法院管辖、中级人民法院指定管辖或者认为应当由本法院审理的刑事、民事一审案件。</w:t>
      </w:r>
    </w:p>
    <w:p w:rsidR="00C14AF1" w:rsidRPr="00C14AF1" w:rsidRDefault="00C14AF1" w:rsidP="00C14AF1">
      <w:pPr>
        <w:pStyle w:val="2"/>
        <w:spacing w:line="360" w:lineRule="auto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C14AF1">
        <w:rPr>
          <w:rFonts w:ascii="仿宋" w:eastAsia="仿宋" w:hAnsi="仿宋" w:cs="仿宋_GB2312" w:hint="eastAsia"/>
          <w:sz w:val="32"/>
          <w:szCs w:val="32"/>
        </w:rPr>
        <w:t>2、依法审理中级人民法院指定再审的案件和市人民检察院抗诉的案件。受理当事人不服本法院发生法律效力的判决、裁定并提起申诉的刑事、行政诉讼案件。</w:t>
      </w:r>
    </w:p>
    <w:p w:rsidR="00C14AF1" w:rsidRPr="00C14AF1" w:rsidRDefault="00C14AF1" w:rsidP="00C14AF1">
      <w:pPr>
        <w:pStyle w:val="2"/>
        <w:spacing w:line="360" w:lineRule="auto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C14AF1">
        <w:rPr>
          <w:rFonts w:ascii="仿宋" w:eastAsia="仿宋" w:hAnsi="仿宋" w:cs="仿宋_GB2312" w:hint="eastAsia"/>
          <w:sz w:val="32"/>
          <w:szCs w:val="32"/>
        </w:rPr>
        <w:t>3、依法行使执行权和司法决定权。</w:t>
      </w:r>
    </w:p>
    <w:p w:rsidR="00C14AF1" w:rsidRPr="00C14AF1" w:rsidRDefault="00C14AF1" w:rsidP="00C14AF1">
      <w:pPr>
        <w:pStyle w:val="2"/>
        <w:spacing w:line="360" w:lineRule="auto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C14AF1">
        <w:rPr>
          <w:rFonts w:ascii="仿宋" w:eastAsia="仿宋" w:hAnsi="仿宋" w:cs="仿宋_GB2312" w:hint="eastAsia"/>
          <w:sz w:val="32"/>
          <w:szCs w:val="32"/>
        </w:rPr>
        <w:t>4、对法律规定、规章等草案提出意见，对案件审理中发现的问题提出司法建议。</w:t>
      </w:r>
    </w:p>
    <w:p w:rsidR="00C14AF1" w:rsidRPr="00C14AF1" w:rsidRDefault="00C14AF1" w:rsidP="00C14AF1">
      <w:pPr>
        <w:pStyle w:val="2"/>
        <w:spacing w:line="360" w:lineRule="auto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C14AF1">
        <w:rPr>
          <w:rFonts w:ascii="仿宋" w:eastAsia="仿宋" w:hAnsi="仿宋" w:cs="仿宋_GB2312" w:hint="eastAsia"/>
          <w:sz w:val="32"/>
          <w:szCs w:val="32"/>
        </w:rPr>
        <w:t>5、指导基层法庭工作。</w:t>
      </w:r>
    </w:p>
    <w:p w:rsidR="00C14AF1" w:rsidRPr="00C14AF1" w:rsidRDefault="00C14AF1" w:rsidP="00C14AF1">
      <w:pPr>
        <w:pStyle w:val="2"/>
        <w:spacing w:line="360" w:lineRule="auto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C14AF1">
        <w:rPr>
          <w:rFonts w:ascii="仿宋" w:eastAsia="仿宋" w:hAnsi="仿宋" w:cs="仿宋_GB2312" w:hint="eastAsia"/>
          <w:sz w:val="32"/>
          <w:szCs w:val="32"/>
        </w:rPr>
        <w:t>6、负责全院的思想政治、教育培训工作和干部管理工</w:t>
      </w:r>
      <w:r w:rsidRPr="00C14AF1">
        <w:rPr>
          <w:rFonts w:ascii="仿宋" w:eastAsia="仿宋" w:hAnsi="仿宋" w:cs="仿宋_GB2312" w:hint="eastAsia"/>
          <w:sz w:val="32"/>
          <w:szCs w:val="32"/>
        </w:rPr>
        <w:lastRenderedPageBreak/>
        <w:t>作。</w:t>
      </w:r>
    </w:p>
    <w:p w:rsidR="00C14AF1" w:rsidRPr="00C14AF1" w:rsidRDefault="00C14AF1" w:rsidP="00C14AF1">
      <w:pPr>
        <w:pStyle w:val="2"/>
        <w:spacing w:line="360" w:lineRule="auto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C14AF1">
        <w:rPr>
          <w:rFonts w:ascii="仿宋" w:eastAsia="仿宋" w:hAnsi="仿宋" w:cs="仿宋_GB2312" w:hint="eastAsia"/>
          <w:sz w:val="32"/>
          <w:szCs w:val="32"/>
        </w:rPr>
        <w:t>7、负责全院财务、专项投资的计划管理及分配。</w:t>
      </w:r>
    </w:p>
    <w:p w:rsidR="00C14AF1" w:rsidRPr="00C14AF1" w:rsidRDefault="00C14AF1" w:rsidP="00C14AF1">
      <w:pPr>
        <w:pStyle w:val="2"/>
        <w:spacing w:line="360" w:lineRule="auto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C14AF1">
        <w:rPr>
          <w:rFonts w:ascii="仿宋" w:eastAsia="仿宋" w:hAnsi="仿宋" w:cs="仿宋_GB2312" w:hint="eastAsia"/>
          <w:sz w:val="32"/>
          <w:szCs w:val="32"/>
        </w:rPr>
        <w:t>8、负责全院的检察工作。</w:t>
      </w:r>
    </w:p>
    <w:p w:rsidR="00C14AF1" w:rsidRPr="00C14AF1" w:rsidRDefault="00C14AF1" w:rsidP="00C14AF1">
      <w:pPr>
        <w:pStyle w:val="2"/>
        <w:spacing w:line="360" w:lineRule="auto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C14AF1">
        <w:rPr>
          <w:rFonts w:ascii="仿宋" w:eastAsia="仿宋" w:hAnsi="仿宋" w:cs="仿宋_GB2312" w:hint="eastAsia"/>
          <w:sz w:val="32"/>
          <w:szCs w:val="32"/>
        </w:rPr>
        <w:t>9、管理人民法院司法警察工作。</w:t>
      </w:r>
    </w:p>
    <w:p w:rsidR="00C14AF1" w:rsidRPr="00C14AF1" w:rsidRDefault="00C14AF1" w:rsidP="00C14AF1">
      <w:pPr>
        <w:pStyle w:val="2"/>
        <w:spacing w:line="360" w:lineRule="auto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C14AF1">
        <w:rPr>
          <w:rFonts w:ascii="仿宋" w:eastAsia="仿宋" w:hAnsi="仿宋" w:cs="仿宋_GB2312" w:hint="eastAsia"/>
          <w:sz w:val="32"/>
          <w:szCs w:val="32"/>
        </w:rPr>
        <w:t>10、做好本院行政、后勤事业管理和服务工作。</w:t>
      </w:r>
    </w:p>
    <w:p w:rsidR="00C14AF1" w:rsidRPr="00C14AF1" w:rsidRDefault="00C14AF1" w:rsidP="00C14AF1">
      <w:pPr>
        <w:pStyle w:val="2"/>
        <w:spacing w:line="360" w:lineRule="auto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C14AF1">
        <w:rPr>
          <w:rFonts w:ascii="仿宋" w:eastAsia="仿宋" w:hAnsi="仿宋" w:cs="仿宋_GB2312" w:hint="eastAsia"/>
          <w:sz w:val="32"/>
          <w:szCs w:val="32"/>
        </w:rPr>
        <w:t>11、宣传法制，教育公民忠于社会主义祖国、自觉遵守宪法、法律和社会公德。</w:t>
      </w:r>
    </w:p>
    <w:p w:rsidR="00C14AF1" w:rsidRPr="00C14AF1" w:rsidRDefault="00C14AF1" w:rsidP="00C14AF1">
      <w:pPr>
        <w:pStyle w:val="2"/>
        <w:spacing w:line="360" w:lineRule="auto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C14AF1">
        <w:rPr>
          <w:rFonts w:ascii="仿宋" w:eastAsia="仿宋" w:hAnsi="仿宋" w:cs="仿宋_GB2312" w:hint="eastAsia"/>
          <w:sz w:val="32"/>
          <w:szCs w:val="32"/>
        </w:rPr>
        <w:t>12、积极参与社会治安综合治理。</w:t>
      </w:r>
    </w:p>
    <w:p w:rsidR="00C14AF1" w:rsidRPr="00C14AF1" w:rsidRDefault="00C14AF1" w:rsidP="00C14AF1">
      <w:pPr>
        <w:pStyle w:val="2"/>
        <w:spacing w:line="360" w:lineRule="auto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C14AF1">
        <w:rPr>
          <w:rFonts w:ascii="仿宋" w:eastAsia="仿宋" w:hAnsi="仿宋" w:cs="仿宋_GB2312" w:hint="eastAsia"/>
          <w:sz w:val="32"/>
          <w:szCs w:val="32"/>
        </w:rPr>
        <w:t>13、承办其他应由基层人民法院负责的工作。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（三）人员概况。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仿宋_GB2312" w:hint="eastAsia"/>
          <w:sz w:val="32"/>
          <w:szCs w:val="32"/>
        </w:rPr>
        <w:t>截止</w:t>
      </w:r>
      <w:r w:rsidRPr="00C14AF1">
        <w:rPr>
          <w:rFonts w:ascii="仿宋" w:eastAsia="仿宋" w:hAnsi="仿宋" w:cs="仿宋_GB2312"/>
          <w:sz w:val="32"/>
          <w:szCs w:val="32"/>
        </w:rPr>
        <w:t>2020年12月31日，</w:t>
      </w:r>
      <w:r w:rsidRPr="00C14AF1">
        <w:rPr>
          <w:rFonts w:ascii="仿宋" w:eastAsia="仿宋" w:hAnsi="仿宋" w:cs="仿宋_GB2312" w:hint="eastAsia"/>
          <w:sz w:val="32"/>
          <w:szCs w:val="32"/>
        </w:rPr>
        <w:t>区法院中央</w:t>
      </w:r>
      <w:proofErr w:type="gramStart"/>
      <w:r w:rsidRPr="00C14AF1">
        <w:rPr>
          <w:rFonts w:ascii="仿宋" w:eastAsia="仿宋" w:hAnsi="仿宋" w:cs="仿宋_GB2312" w:hint="eastAsia"/>
          <w:sz w:val="32"/>
          <w:szCs w:val="32"/>
        </w:rPr>
        <w:t>政法专项</w:t>
      </w:r>
      <w:proofErr w:type="gramEnd"/>
      <w:r w:rsidRPr="00C14AF1">
        <w:rPr>
          <w:rFonts w:ascii="仿宋" w:eastAsia="仿宋" w:hAnsi="仿宋" w:cs="仿宋_GB2312" w:hint="eastAsia"/>
          <w:sz w:val="32"/>
          <w:szCs w:val="32"/>
        </w:rPr>
        <w:t>编制数77人，实有74人；工勤编制数2人。财政定额定编聘用人员31人。单位自行聘用人员10人。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二、部门财政资金收支情况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（一）部门财政资金收入情况。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/>
          <w:color w:val="000000"/>
          <w:sz w:val="32"/>
          <w:szCs w:val="32"/>
        </w:rPr>
        <w:t>2020</w:t>
      </w:r>
      <w:r w:rsidRPr="00C14AF1">
        <w:rPr>
          <w:rFonts w:ascii="仿宋" w:eastAsia="仿宋" w:hAnsi="仿宋" w:hint="eastAsia"/>
          <w:color w:val="000000"/>
          <w:sz w:val="32"/>
          <w:szCs w:val="32"/>
        </w:rPr>
        <w:t>年本年收入合计1729.09万元，其中：一般公共预算财政拨款收入1729.09万元，占100</w:t>
      </w:r>
      <w:r w:rsidRPr="00C14AF1">
        <w:rPr>
          <w:rFonts w:ascii="仿宋" w:eastAsia="仿宋" w:hAnsi="仿宋"/>
          <w:color w:val="000000"/>
          <w:sz w:val="32"/>
          <w:szCs w:val="32"/>
        </w:rPr>
        <w:t>%</w:t>
      </w:r>
      <w:r w:rsidRPr="00C14AF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（二）部门财政资金支出情况。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/>
          <w:color w:val="000000"/>
          <w:sz w:val="32"/>
          <w:szCs w:val="32"/>
        </w:rPr>
        <w:t>2020</w:t>
      </w:r>
      <w:r w:rsidRPr="00C14AF1">
        <w:rPr>
          <w:rFonts w:ascii="仿宋" w:eastAsia="仿宋" w:hAnsi="仿宋" w:hint="eastAsia"/>
          <w:color w:val="000000"/>
          <w:sz w:val="32"/>
          <w:szCs w:val="32"/>
        </w:rPr>
        <w:t>年本年支出合计1566万元，其中：基本支出1463.05万元（人员经费1313.43万元，日常公用经费149.62万元）；项目支出102.95万元，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三、部门整体预算绩效管理情况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（一）部门预算管理。</w:t>
      </w:r>
    </w:p>
    <w:p w:rsidR="00C14AF1" w:rsidRPr="00C14AF1" w:rsidRDefault="00C14AF1" w:rsidP="00C14AF1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lastRenderedPageBreak/>
        <w:t>1.部门绩效目标制定</w:t>
      </w:r>
    </w:p>
    <w:p w:rsidR="00C14AF1" w:rsidRPr="00C14AF1" w:rsidRDefault="00C14AF1" w:rsidP="00C14AF1">
      <w:pPr>
        <w:spacing w:line="360" w:lineRule="auto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C14AF1">
        <w:rPr>
          <w:rFonts w:ascii="仿宋" w:eastAsia="仿宋" w:hAnsi="仿宋" w:cs="仿宋" w:hint="eastAsia"/>
          <w:kern w:val="0"/>
          <w:sz w:val="32"/>
          <w:szCs w:val="32"/>
          <w:lang/>
        </w:rPr>
        <w:t>区法院</w:t>
      </w:r>
      <w:r w:rsidRPr="00C14AF1">
        <w:rPr>
          <w:rFonts w:ascii="仿宋" w:eastAsia="仿宋" w:hAnsi="仿宋" w:cs="仿宋" w:hint="eastAsia"/>
          <w:kern w:val="0"/>
          <w:sz w:val="32"/>
          <w:szCs w:val="32"/>
        </w:rPr>
        <w:t>2020</w:t>
      </w:r>
      <w:r w:rsidRPr="00C14AF1">
        <w:rPr>
          <w:rFonts w:ascii="仿宋" w:eastAsia="仿宋" w:hAnsi="仿宋" w:cs="仿宋" w:hint="eastAsia"/>
          <w:kern w:val="0"/>
          <w:sz w:val="32"/>
          <w:szCs w:val="32"/>
          <w:lang/>
        </w:rPr>
        <w:t>年主要目标是：（1）</w:t>
      </w:r>
      <w:r w:rsidRPr="00C14AF1">
        <w:rPr>
          <w:rFonts w:ascii="仿宋" w:eastAsia="仿宋" w:hAnsi="仿宋" w:cs="仿宋" w:hint="eastAsia"/>
          <w:kern w:val="0"/>
          <w:sz w:val="32"/>
          <w:szCs w:val="32"/>
        </w:rPr>
        <w:t>以一流业绩为标准，抓案件质效;（2</w:t>
      </w:r>
      <w:r w:rsidRPr="00C14AF1">
        <w:rPr>
          <w:rFonts w:ascii="仿宋" w:eastAsia="仿宋" w:hAnsi="仿宋" w:cs="仿宋"/>
          <w:kern w:val="0"/>
          <w:sz w:val="32"/>
          <w:szCs w:val="32"/>
        </w:rPr>
        <w:t>）</w:t>
      </w:r>
      <w:r w:rsidRPr="00C14AF1">
        <w:rPr>
          <w:rFonts w:ascii="仿宋" w:eastAsia="仿宋" w:hAnsi="仿宋" w:cs="仿宋" w:hint="eastAsia"/>
          <w:kern w:val="0"/>
          <w:sz w:val="32"/>
          <w:szCs w:val="32"/>
        </w:rPr>
        <w:t>以素质提升为基础，抓审判管理；（3）以司法改革为导向，抓队伍建设；（4）以司法为民为目标，抓司法服务；（5）以干净担当为己任，抓廉政建设</w:t>
      </w:r>
      <w:r w:rsidRPr="00C14AF1">
        <w:rPr>
          <w:rFonts w:ascii="仿宋" w:eastAsia="仿宋" w:hAnsi="仿宋" w:cs="仿宋" w:hint="eastAsia"/>
          <w:kern w:val="0"/>
          <w:sz w:val="32"/>
          <w:szCs w:val="32"/>
          <w:lang/>
        </w:rPr>
        <w:t>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2.部门绩效目标实现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C14AF1">
        <w:rPr>
          <w:rFonts w:ascii="仿宋" w:eastAsia="仿宋" w:hAnsi="仿宋" w:hint="eastAsia"/>
          <w:color w:val="000000"/>
          <w:sz w:val="32"/>
          <w:szCs w:val="32"/>
        </w:rPr>
        <w:t>全年受理案件</w:t>
      </w:r>
      <w:r w:rsidRPr="00C14AF1">
        <w:rPr>
          <w:rFonts w:ascii="仿宋" w:eastAsia="仿宋" w:hAnsi="仿宋"/>
          <w:color w:val="000000"/>
          <w:sz w:val="32"/>
          <w:szCs w:val="32"/>
        </w:rPr>
        <w:t>1796</w:t>
      </w:r>
      <w:r w:rsidRPr="00C14AF1">
        <w:rPr>
          <w:rFonts w:ascii="仿宋" w:eastAsia="仿宋" w:hAnsi="仿宋" w:hint="eastAsia"/>
          <w:color w:val="000000"/>
          <w:sz w:val="32"/>
          <w:szCs w:val="32"/>
        </w:rPr>
        <w:t>件，结案</w:t>
      </w:r>
      <w:r w:rsidRPr="00C14AF1">
        <w:rPr>
          <w:rFonts w:ascii="仿宋" w:eastAsia="仿宋" w:hAnsi="仿宋"/>
          <w:color w:val="000000"/>
          <w:sz w:val="32"/>
          <w:szCs w:val="32"/>
        </w:rPr>
        <w:t>1753</w:t>
      </w:r>
      <w:r w:rsidRPr="00C14AF1">
        <w:rPr>
          <w:rFonts w:ascii="仿宋" w:eastAsia="仿宋" w:hAnsi="仿宋" w:hint="eastAsia"/>
          <w:color w:val="000000"/>
          <w:sz w:val="32"/>
          <w:szCs w:val="32"/>
        </w:rPr>
        <w:t>件，结案率</w:t>
      </w:r>
      <w:r w:rsidRPr="00C14AF1">
        <w:rPr>
          <w:rFonts w:ascii="仿宋" w:eastAsia="仿宋" w:hAnsi="仿宋"/>
          <w:color w:val="000000"/>
          <w:sz w:val="32"/>
          <w:szCs w:val="32"/>
        </w:rPr>
        <w:t>97.61%</w:t>
      </w:r>
      <w:r w:rsidRPr="00C14AF1">
        <w:rPr>
          <w:rFonts w:ascii="仿宋" w:eastAsia="仿宋" w:hAnsi="仿宋" w:hint="eastAsia"/>
          <w:color w:val="000000"/>
          <w:sz w:val="32"/>
          <w:szCs w:val="32"/>
        </w:rPr>
        <w:t>。受理刑事案件</w:t>
      </w:r>
      <w:r w:rsidRPr="00C14AF1">
        <w:rPr>
          <w:rFonts w:ascii="仿宋" w:eastAsia="仿宋" w:hAnsi="仿宋"/>
          <w:color w:val="000000"/>
          <w:sz w:val="32"/>
          <w:szCs w:val="32"/>
        </w:rPr>
        <w:t>111</w:t>
      </w:r>
      <w:r w:rsidRPr="00C14AF1">
        <w:rPr>
          <w:rFonts w:ascii="仿宋" w:eastAsia="仿宋" w:hAnsi="仿宋" w:hint="eastAsia"/>
          <w:color w:val="000000"/>
          <w:sz w:val="32"/>
          <w:szCs w:val="32"/>
        </w:rPr>
        <w:t>件，审结</w:t>
      </w:r>
      <w:r w:rsidRPr="00C14AF1">
        <w:rPr>
          <w:rFonts w:ascii="仿宋" w:eastAsia="仿宋" w:hAnsi="仿宋"/>
          <w:color w:val="000000"/>
          <w:sz w:val="32"/>
          <w:szCs w:val="32"/>
        </w:rPr>
        <w:t>110</w:t>
      </w:r>
      <w:r w:rsidRPr="00C14AF1">
        <w:rPr>
          <w:rFonts w:ascii="仿宋" w:eastAsia="仿宋" w:hAnsi="仿宋" w:hint="eastAsia"/>
          <w:color w:val="000000"/>
          <w:sz w:val="32"/>
          <w:szCs w:val="32"/>
        </w:rPr>
        <w:t>件，结案率</w:t>
      </w:r>
      <w:r w:rsidRPr="00C14AF1">
        <w:rPr>
          <w:rFonts w:ascii="仿宋" w:eastAsia="仿宋" w:hAnsi="仿宋"/>
          <w:color w:val="000000"/>
          <w:sz w:val="32"/>
          <w:szCs w:val="32"/>
        </w:rPr>
        <w:t>99.09%</w:t>
      </w:r>
      <w:r w:rsidRPr="00C14AF1">
        <w:rPr>
          <w:rFonts w:ascii="仿宋" w:eastAsia="仿宋" w:hAnsi="仿宋" w:hint="eastAsia"/>
          <w:color w:val="000000"/>
          <w:sz w:val="32"/>
          <w:szCs w:val="32"/>
        </w:rPr>
        <w:t>。受理民商事案件</w:t>
      </w:r>
      <w:r w:rsidRPr="00C14AF1">
        <w:rPr>
          <w:rFonts w:ascii="仿宋" w:eastAsia="仿宋" w:hAnsi="仿宋"/>
          <w:color w:val="000000"/>
          <w:sz w:val="32"/>
          <w:szCs w:val="32"/>
        </w:rPr>
        <w:t>1142</w:t>
      </w:r>
      <w:r w:rsidRPr="00C14AF1">
        <w:rPr>
          <w:rFonts w:ascii="仿宋" w:eastAsia="仿宋" w:hAnsi="仿宋" w:hint="eastAsia"/>
          <w:color w:val="000000"/>
          <w:sz w:val="32"/>
          <w:szCs w:val="32"/>
        </w:rPr>
        <w:t>件，审结</w:t>
      </w:r>
      <w:r w:rsidRPr="00C14AF1">
        <w:rPr>
          <w:rFonts w:ascii="仿宋" w:eastAsia="仿宋" w:hAnsi="仿宋"/>
          <w:color w:val="000000"/>
          <w:sz w:val="32"/>
          <w:szCs w:val="32"/>
        </w:rPr>
        <w:t>1112</w:t>
      </w:r>
      <w:r w:rsidRPr="00C14AF1">
        <w:rPr>
          <w:rFonts w:ascii="仿宋" w:eastAsia="仿宋" w:hAnsi="仿宋" w:hint="eastAsia"/>
          <w:color w:val="000000"/>
          <w:sz w:val="32"/>
          <w:szCs w:val="32"/>
        </w:rPr>
        <w:t>件，结案率</w:t>
      </w:r>
      <w:r w:rsidRPr="00C14AF1">
        <w:rPr>
          <w:rFonts w:ascii="仿宋" w:eastAsia="仿宋" w:hAnsi="仿宋"/>
          <w:color w:val="000000"/>
          <w:sz w:val="32"/>
          <w:szCs w:val="32"/>
        </w:rPr>
        <w:t>97.37%</w:t>
      </w:r>
      <w:r w:rsidRPr="00C14AF1">
        <w:rPr>
          <w:rFonts w:ascii="仿宋" w:eastAsia="仿宋" w:hAnsi="仿宋" w:hint="eastAsia"/>
          <w:color w:val="000000"/>
          <w:sz w:val="32"/>
          <w:szCs w:val="32"/>
        </w:rPr>
        <w:t>。受理执行案件</w:t>
      </w:r>
      <w:r w:rsidRPr="00C14AF1">
        <w:rPr>
          <w:rFonts w:ascii="仿宋" w:eastAsia="仿宋" w:hAnsi="仿宋"/>
          <w:color w:val="000000"/>
          <w:sz w:val="32"/>
          <w:szCs w:val="32"/>
        </w:rPr>
        <w:t>543</w:t>
      </w:r>
      <w:r w:rsidRPr="00C14AF1">
        <w:rPr>
          <w:rFonts w:ascii="仿宋" w:eastAsia="仿宋" w:hAnsi="仿宋" w:hint="eastAsia"/>
          <w:color w:val="000000"/>
          <w:sz w:val="32"/>
          <w:szCs w:val="32"/>
        </w:rPr>
        <w:t>件，执结</w:t>
      </w:r>
      <w:r w:rsidRPr="00C14AF1">
        <w:rPr>
          <w:rFonts w:ascii="仿宋" w:eastAsia="仿宋" w:hAnsi="仿宋"/>
          <w:color w:val="000000"/>
          <w:sz w:val="32"/>
          <w:szCs w:val="32"/>
        </w:rPr>
        <w:t>531</w:t>
      </w:r>
      <w:r w:rsidRPr="00C14AF1">
        <w:rPr>
          <w:rFonts w:ascii="仿宋" w:eastAsia="仿宋" w:hAnsi="仿宋" w:hint="eastAsia"/>
          <w:color w:val="000000"/>
          <w:sz w:val="32"/>
          <w:szCs w:val="32"/>
        </w:rPr>
        <w:t>件，执结率</w:t>
      </w:r>
      <w:r w:rsidRPr="00C14AF1">
        <w:rPr>
          <w:rFonts w:ascii="仿宋" w:eastAsia="仿宋" w:hAnsi="仿宋"/>
          <w:color w:val="000000"/>
          <w:sz w:val="32"/>
          <w:szCs w:val="32"/>
        </w:rPr>
        <w:t>97.80%</w:t>
      </w:r>
      <w:r w:rsidRPr="00C14AF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3.预算编制准确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仿宋_GB2312" w:hint="eastAsia"/>
          <w:sz w:val="32"/>
          <w:szCs w:val="32"/>
        </w:rPr>
      </w:pPr>
      <w:r w:rsidRPr="00C14AF1">
        <w:rPr>
          <w:rFonts w:ascii="仿宋" w:eastAsia="仿宋" w:hAnsi="仿宋" w:cs="仿宋_GB2312" w:hint="eastAsia"/>
          <w:sz w:val="32"/>
          <w:szCs w:val="32"/>
        </w:rPr>
        <w:t>区法院</w:t>
      </w:r>
      <w:r w:rsidRPr="00C14AF1">
        <w:rPr>
          <w:rFonts w:ascii="仿宋" w:eastAsia="仿宋" w:hAnsi="仿宋" w:cs="仿宋_GB2312"/>
          <w:sz w:val="32"/>
          <w:szCs w:val="32"/>
          <w:lang/>
        </w:rPr>
        <w:t>2020年初财政拨款预算收入</w:t>
      </w:r>
      <w:r w:rsidRPr="00C14AF1">
        <w:rPr>
          <w:rFonts w:ascii="仿宋" w:eastAsia="仿宋" w:hAnsi="仿宋" w:cs="仿宋_GB2312"/>
          <w:sz w:val="32"/>
          <w:szCs w:val="32"/>
        </w:rPr>
        <w:t>1550</w:t>
      </w:r>
      <w:r w:rsidRPr="00C14AF1">
        <w:rPr>
          <w:rFonts w:ascii="仿宋" w:eastAsia="仿宋" w:hAnsi="仿宋" w:cs="仿宋_GB2312" w:hint="eastAsia"/>
          <w:sz w:val="32"/>
          <w:szCs w:val="32"/>
        </w:rPr>
        <w:t>.</w:t>
      </w:r>
      <w:r w:rsidRPr="00C14AF1">
        <w:rPr>
          <w:rFonts w:ascii="仿宋" w:eastAsia="仿宋" w:hAnsi="仿宋" w:cs="仿宋_GB2312"/>
          <w:sz w:val="32"/>
          <w:szCs w:val="32"/>
        </w:rPr>
        <w:t>20</w:t>
      </w:r>
      <w:r w:rsidRPr="00C14AF1">
        <w:rPr>
          <w:rFonts w:ascii="仿宋" w:eastAsia="仿宋" w:hAnsi="仿宋" w:cs="仿宋_GB2312" w:hint="eastAsia"/>
          <w:sz w:val="32"/>
          <w:szCs w:val="32"/>
        </w:rPr>
        <w:t>万</w:t>
      </w:r>
      <w:r w:rsidRPr="00C14AF1">
        <w:rPr>
          <w:rFonts w:ascii="仿宋" w:eastAsia="仿宋" w:hAnsi="仿宋" w:cs="仿宋_GB2312"/>
          <w:sz w:val="32"/>
          <w:szCs w:val="32"/>
        </w:rPr>
        <w:t>元</w:t>
      </w:r>
      <w:r w:rsidRPr="00C14AF1">
        <w:rPr>
          <w:rFonts w:ascii="仿宋" w:eastAsia="仿宋" w:hAnsi="仿宋" w:cs="仿宋_GB2312"/>
          <w:sz w:val="32"/>
          <w:szCs w:val="32"/>
          <w:lang/>
        </w:rPr>
        <w:t>，年中</w:t>
      </w:r>
      <w:r w:rsidRPr="00C14AF1">
        <w:rPr>
          <w:rFonts w:ascii="仿宋" w:eastAsia="仿宋" w:hAnsi="仿宋" w:cs="仿宋_GB2312" w:hint="eastAsia"/>
          <w:sz w:val="32"/>
          <w:szCs w:val="32"/>
        </w:rPr>
        <w:t>调整</w:t>
      </w:r>
      <w:r w:rsidRPr="00C14AF1">
        <w:rPr>
          <w:rFonts w:ascii="仿宋" w:eastAsia="仿宋" w:hAnsi="仿宋" w:cs="仿宋_GB2312"/>
          <w:sz w:val="32"/>
          <w:szCs w:val="32"/>
          <w:lang/>
        </w:rPr>
        <w:t>预算</w:t>
      </w:r>
      <w:r w:rsidRPr="00C14AF1">
        <w:rPr>
          <w:rFonts w:ascii="仿宋" w:eastAsia="仿宋" w:hAnsi="仿宋" w:cs="仿宋_GB2312" w:hint="eastAsia"/>
          <w:sz w:val="32"/>
          <w:szCs w:val="32"/>
        </w:rPr>
        <w:t>为</w:t>
      </w:r>
      <w:r w:rsidRPr="00C14AF1">
        <w:rPr>
          <w:rFonts w:ascii="仿宋" w:eastAsia="仿宋" w:hAnsi="仿宋" w:cs="仿宋_GB2312"/>
          <w:sz w:val="32"/>
          <w:szCs w:val="32"/>
        </w:rPr>
        <w:t>1729</w:t>
      </w:r>
      <w:r w:rsidRPr="00C14AF1">
        <w:rPr>
          <w:rFonts w:ascii="仿宋" w:eastAsia="仿宋" w:hAnsi="仿宋" w:cs="仿宋_GB2312" w:hint="eastAsia"/>
          <w:sz w:val="32"/>
          <w:szCs w:val="32"/>
        </w:rPr>
        <w:t>.</w:t>
      </w:r>
      <w:r w:rsidRPr="00C14AF1">
        <w:rPr>
          <w:rFonts w:ascii="仿宋" w:eastAsia="仿宋" w:hAnsi="仿宋" w:cs="仿宋_GB2312"/>
          <w:sz w:val="32"/>
          <w:szCs w:val="32"/>
        </w:rPr>
        <w:t>0</w:t>
      </w:r>
      <w:r w:rsidRPr="00C14AF1">
        <w:rPr>
          <w:rFonts w:ascii="仿宋" w:eastAsia="仿宋" w:hAnsi="仿宋" w:cs="仿宋_GB2312" w:hint="eastAsia"/>
          <w:sz w:val="32"/>
          <w:szCs w:val="32"/>
        </w:rPr>
        <w:t>9万</w:t>
      </w:r>
      <w:r w:rsidRPr="00C14AF1">
        <w:rPr>
          <w:rFonts w:ascii="仿宋" w:eastAsia="仿宋" w:hAnsi="仿宋" w:cs="仿宋_GB2312"/>
          <w:sz w:val="32"/>
          <w:szCs w:val="32"/>
        </w:rPr>
        <w:t>元</w:t>
      </w:r>
      <w:r w:rsidRPr="00C14AF1">
        <w:rPr>
          <w:rFonts w:ascii="仿宋" w:eastAsia="仿宋" w:hAnsi="仿宋" w:cs="仿宋_GB2312"/>
          <w:sz w:val="32"/>
          <w:szCs w:val="32"/>
          <w:lang/>
        </w:rPr>
        <w:t>，全年度预算总额为</w:t>
      </w:r>
      <w:r w:rsidRPr="00C14AF1">
        <w:rPr>
          <w:rFonts w:ascii="仿宋" w:eastAsia="仿宋" w:hAnsi="仿宋" w:cs="仿宋_GB2312"/>
          <w:sz w:val="32"/>
          <w:szCs w:val="32"/>
        </w:rPr>
        <w:t>1729</w:t>
      </w:r>
      <w:r w:rsidRPr="00C14AF1">
        <w:rPr>
          <w:rFonts w:ascii="仿宋" w:eastAsia="仿宋" w:hAnsi="仿宋" w:cs="仿宋_GB2312" w:hint="eastAsia"/>
          <w:sz w:val="32"/>
          <w:szCs w:val="32"/>
        </w:rPr>
        <w:t>.</w:t>
      </w:r>
      <w:r w:rsidRPr="00C14AF1">
        <w:rPr>
          <w:rFonts w:ascii="仿宋" w:eastAsia="仿宋" w:hAnsi="仿宋" w:cs="仿宋_GB2312"/>
          <w:sz w:val="32"/>
          <w:szCs w:val="32"/>
        </w:rPr>
        <w:t>0</w:t>
      </w:r>
      <w:r w:rsidRPr="00C14AF1">
        <w:rPr>
          <w:rFonts w:ascii="仿宋" w:eastAsia="仿宋" w:hAnsi="仿宋" w:cs="仿宋_GB2312" w:hint="eastAsia"/>
          <w:sz w:val="32"/>
          <w:szCs w:val="32"/>
        </w:rPr>
        <w:t>9万</w:t>
      </w:r>
      <w:r w:rsidRPr="00C14AF1">
        <w:rPr>
          <w:rFonts w:ascii="仿宋" w:eastAsia="仿宋" w:hAnsi="仿宋" w:cs="仿宋_GB2312"/>
          <w:sz w:val="32"/>
          <w:szCs w:val="32"/>
          <w:lang/>
        </w:rPr>
        <w:t>元</w:t>
      </w:r>
      <w:r w:rsidRPr="00C14AF1">
        <w:rPr>
          <w:rFonts w:ascii="仿宋" w:eastAsia="仿宋" w:hAnsi="仿宋" w:cs="仿宋_GB2312" w:hint="eastAsia"/>
          <w:sz w:val="32"/>
          <w:szCs w:val="32"/>
        </w:rPr>
        <w:t>,部门全年预算调整金额</w:t>
      </w:r>
      <w:r w:rsidRPr="00C14AF1">
        <w:rPr>
          <w:rFonts w:ascii="仿宋" w:eastAsia="仿宋" w:hAnsi="仿宋" w:cs="仿宋_GB2312"/>
          <w:sz w:val="32"/>
          <w:szCs w:val="32"/>
        </w:rPr>
        <w:t>/年初部门预算数为</w:t>
      </w:r>
      <w:r w:rsidRPr="00C14AF1">
        <w:rPr>
          <w:rFonts w:ascii="仿宋" w:eastAsia="仿宋" w:hAnsi="仿宋" w:cs="仿宋_GB2312" w:hint="eastAsia"/>
          <w:sz w:val="32"/>
          <w:szCs w:val="32"/>
        </w:rPr>
        <w:t>11.53%。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仿宋_GB2312" w:hint="eastAsia"/>
          <w:sz w:val="32"/>
          <w:szCs w:val="32"/>
        </w:rPr>
      </w:pPr>
      <w:r w:rsidRPr="00C14AF1">
        <w:rPr>
          <w:rFonts w:ascii="仿宋" w:eastAsia="仿宋" w:hAnsi="仿宋" w:cs="仿宋_GB2312" w:hint="eastAsia"/>
          <w:sz w:val="32"/>
          <w:szCs w:val="32"/>
        </w:rPr>
        <w:t>4.支出控制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C14AF1">
        <w:rPr>
          <w:rFonts w:ascii="仿宋" w:eastAsia="仿宋" w:hAnsi="仿宋" w:hint="eastAsia"/>
          <w:color w:val="000000"/>
          <w:sz w:val="32"/>
          <w:szCs w:val="32"/>
        </w:rPr>
        <w:t>节能降耗方面：</w:t>
      </w:r>
      <w:r w:rsidRPr="00C14AF1">
        <w:rPr>
          <w:rFonts w:ascii="仿宋" w:eastAsia="仿宋" w:hAnsi="仿宋" w:cs="仿宋_GB2312" w:hint="eastAsia"/>
          <w:sz w:val="32"/>
          <w:szCs w:val="32"/>
        </w:rPr>
        <w:t>区法院本年度水、电费实际耗用金额16.23万</w:t>
      </w:r>
      <w:r w:rsidRPr="00C14AF1">
        <w:rPr>
          <w:rFonts w:ascii="仿宋" w:eastAsia="仿宋" w:hAnsi="仿宋" w:cs="仿宋_GB2312"/>
          <w:sz w:val="32"/>
          <w:szCs w:val="32"/>
        </w:rPr>
        <w:t>元，与本年预算金额30</w:t>
      </w:r>
      <w:r w:rsidRPr="00C14AF1">
        <w:rPr>
          <w:rFonts w:ascii="仿宋" w:eastAsia="仿宋" w:hAnsi="仿宋" w:cs="仿宋_GB2312" w:hint="eastAsia"/>
          <w:sz w:val="32"/>
          <w:szCs w:val="32"/>
        </w:rPr>
        <w:t>万</w:t>
      </w:r>
      <w:r w:rsidRPr="00C14AF1">
        <w:rPr>
          <w:rFonts w:ascii="仿宋" w:eastAsia="仿宋" w:hAnsi="仿宋" w:cs="仿宋_GB2312"/>
          <w:sz w:val="32"/>
          <w:szCs w:val="32"/>
        </w:rPr>
        <w:t>元相比，节约金额13</w:t>
      </w:r>
      <w:r w:rsidRPr="00C14AF1">
        <w:rPr>
          <w:rFonts w:ascii="仿宋" w:eastAsia="仿宋" w:hAnsi="仿宋" w:cs="仿宋_GB2312" w:hint="eastAsia"/>
          <w:sz w:val="32"/>
          <w:szCs w:val="32"/>
        </w:rPr>
        <w:t>.</w:t>
      </w:r>
      <w:r w:rsidRPr="00C14AF1">
        <w:rPr>
          <w:rFonts w:ascii="仿宋" w:eastAsia="仿宋" w:hAnsi="仿宋" w:cs="仿宋_GB2312"/>
          <w:sz w:val="32"/>
          <w:szCs w:val="32"/>
        </w:rPr>
        <w:t>77</w:t>
      </w:r>
      <w:r w:rsidRPr="00C14AF1">
        <w:rPr>
          <w:rFonts w:ascii="仿宋" w:eastAsia="仿宋" w:hAnsi="仿宋" w:cs="仿宋_GB2312" w:hint="eastAsia"/>
          <w:sz w:val="32"/>
          <w:szCs w:val="32"/>
        </w:rPr>
        <w:t>万</w:t>
      </w:r>
      <w:r w:rsidRPr="00C14AF1">
        <w:rPr>
          <w:rFonts w:ascii="仿宋" w:eastAsia="仿宋" w:hAnsi="仿宋" w:cs="仿宋_GB2312"/>
          <w:sz w:val="32"/>
          <w:szCs w:val="32"/>
        </w:rPr>
        <w:t>元，预算节约比例</w:t>
      </w:r>
      <w:r w:rsidRPr="00C14AF1">
        <w:rPr>
          <w:rFonts w:ascii="仿宋" w:eastAsia="仿宋" w:hAnsi="仿宋" w:cs="仿宋_GB2312" w:hint="eastAsia"/>
          <w:sz w:val="32"/>
          <w:szCs w:val="32"/>
        </w:rPr>
        <w:t>46</w:t>
      </w:r>
      <w:r w:rsidRPr="00C14AF1">
        <w:rPr>
          <w:rFonts w:ascii="仿宋" w:eastAsia="仿宋" w:hAnsi="仿宋" w:cs="仿宋_GB2312"/>
          <w:sz w:val="32"/>
          <w:szCs w:val="32"/>
        </w:rPr>
        <w:t>%。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C14AF1">
        <w:rPr>
          <w:rFonts w:ascii="仿宋" w:eastAsia="仿宋" w:hAnsi="仿宋" w:hint="eastAsia"/>
          <w:color w:val="000000"/>
          <w:sz w:val="32"/>
          <w:szCs w:val="32"/>
        </w:rPr>
        <w:t>三</w:t>
      </w:r>
      <w:proofErr w:type="gramStart"/>
      <w:r w:rsidRPr="00C14AF1">
        <w:rPr>
          <w:rFonts w:ascii="仿宋" w:eastAsia="仿宋" w:hAnsi="仿宋" w:hint="eastAsia"/>
          <w:color w:val="000000"/>
          <w:sz w:val="32"/>
          <w:szCs w:val="32"/>
        </w:rPr>
        <w:t>公经费</w:t>
      </w:r>
      <w:proofErr w:type="gramEnd"/>
      <w:r w:rsidRPr="00C14AF1">
        <w:rPr>
          <w:rFonts w:ascii="仿宋" w:eastAsia="仿宋" w:hAnsi="仿宋" w:hint="eastAsia"/>
          <w:color w:val="000000"/>
          <w:sz w:val="32"/>
          <w:szCs w:val="32"/>
        </w:rPr>
        <w:t>方面：无因公出国（境）经费。公务用车购置及运行维护费支出29.32万元</w:t>
      </w:r>
      <w:r w:rsidRPr="00C14AF1">
        <w:rPr>
          <w:rFonts w:ascii="仿宋" w:eastAsia="仿宋" w:hAnsi="仿宋"/>
          <w:color w:val="000000"/>
          <w:sz w:val="32"/>
          <w:szCs w:val="32"/>
        </w:rPr>
        <w:t>,</w:t>
      </w:r>
      <w:r w:rsidRPr="00C14AF1">
        <w:rPr>
          <w:rStyle w:val="a5"/>
          <w:rFonts w:ascii="仿宋" w:eastAsia="仿宋" w:hAnsi="仿宋" w:hint="eastAsia"/>
          <w:b w:val="0"/>
          <w:bCs/>
          <w:color w:val="000000"/>
          <w:sz w:val="32"/>
          <w:szCs w:val="32"/>
        </w:rPr>
        <w:t>完成预算48.87</w:t>
      </w:r>
      <w:r w:rsidRPr="00C14AF1">
        <w:rPr>
          <w:rStyle w:val="a5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C14AF1">
        <w:rPr>
          <w:rStyle w:val="a5"/>
          <w:rFonts w:ascii="仿宋" w:eastAsia="仿宋" w:hAnsi="仿宋" w:hint="eastAsia"/>
          <w:b w:val="0"/>
          <w:bCs/>
          <w:color w:val="000000"/>
          <w:sz w:val="32"/>
          <w:szCs w:val="32"/>
        </w:rPr>
        <w:t>。</w:t>
      </w:r>
      <w:r w:rsidRPr="00C14AF1">
        <w:rPr>
          <w:rFonts w:ascii="仿宋" w:eastAsia="仿宋" w:hAnsi="仿宋" w:hint="eastAsia"/>
          <w:color w:val="000000"/>
          <w:sz w:val="32"/>
          <w:szCs w:val="32"/>
        </w:rPr>
        <w:t>公务用车购置及运行维护费支出决算比</w:t>
      </w:r>
      <w:r w:rsidRPr="00C14AF1">
        <w:rPr>
          <w:rFonts w:ascii="仿宋" w:eastAsia="仿宋" w:hAnsi="仿宋"/>
          <w:color w:val="000000"/>
          <w:sz w:val="32"/>
          <w:szCs w:val="32"/>
        </w:rPr>
        <w:t>2018</w:t>
      </w:r>
      <w:r w:rsidRPr="00C14AF1">
        <w:rPr>
          <w:rFonts w:ascii="仿宋" w:eastAsia="仿宋" w:hAnsi="仿宋" w:hint="eastAsia"/>
          <w:color w:val="000000"/>
          <w:sz w:val="32"/>
          <w:szCs w:val="32"/>
        </w:rPr>
        <w:t>年减少48.6万元，下降62.37</w:t>
      </w:r>
      <w:r w:rsidRPr="00C14AF1">
        <w:rPr>
          <w:rFonts w:ascii="仿宋" w:eastAsia="仿宋" w:hAnsi="仿宋"/>
          <w:color w:val="000000"/>
          <w:sz w:val="32"/>
          <w:szCs w:val="32"/>
        </w:rPr>
        <w:t>%</w:t>
      </w:r>
      <w:r w:rsidRPr="00C14AF1">
        <w:rPr>
          <w:rFonts w:ascii="仿宋" w:eastAsia="仿宋" w:hAnsi="仿宋" w:hint="eastAsia"/>
          <w:color w:val="000000"/>
          <w:sz w:val="32"/>
          <w:szCs w:val="32"/>
        </w:rPr>
        <w:t>。主要原因是预算购置公务用车2辆30万元未完成采购计划。公务接待费支出1.2万元，</w:t>
      </w:r>
      <w:r w:rsidRPr="00C14AF1">
        <w:rPr>
          <w:rStyle w:val="a5"/>
          <w:rFonts w:ascii="仿宋" w:eastAsia="仿宋" w:hAnsi="仿宋" w:hint="eastAsia"/>
          <w:b w:val="0"/>
          <w:bCs/>
          <w:color w:val="000000"/>
          <w:sz w:val="32"/>
          <w:szCs w:val="32"/>
        </w:rPr>
        <w:t>完成预算66.67</w:t>
      </w:r>
      <w:r w:rsidRPr="00C14AF1">
        <w:rPr>
          <w:rStyle w:val="a5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C14AF1">
        <w:rPr>
          <w:rStyle w:val="a5"/>
          <w:rFonts w:ascii="仿宋" w:eastAsia="仿宋" w:hAnsi="仿宋" w:hint="eastAsia"/>
          <w:b w:val="0"/>
          <w:bCs/>
          <w:color w:val="000000"/>
          <w:sz w:val="32"/>
          <w:szCs w:val="32"/>
        </w:rPr>
        <w:t>。</w:t>
      </w:r>
      <w:r w:rsidRPr="00C14AF1">
        <w:rPr>
          <w:rFonts w:ascii="仿宋" w:eastAsia="仿宋" w:hAnsi="仿宋" w:hint="eastAsia"/>
          <w:color w:val="000000"/>
          <w:sz w:val="32"/>
          <w:szCs w:val="32"/>
        </w:rPr>
        <w:t>公</w:t>
      </w:r>
      <w:r w:rsidRPr="00C14AF1">
        <w:rPr>
          <w:rFonts w:ascii="仿宋" w:eastAsia="仿宋" w:hAnsi="仿宋" w:hint="eastAsia"/>
          <w:color w:val="000000"/>
          <w:sz w:val="32"/>
          <w:szCs w:val="32"/>
        </w:rPr>
        <w:lastRenderedPageBreak/>
        <w:t>务接待费支出决算比</w:t>
      </w:r>
      <w:r w:rsidRPr="00C14AF1">
        <w:rPr>
          <w:rFonts w:ascii="仿宋" w:eastAsia="仿宋" w:hAnsi="仿宋"/>
          <w:color w:val="000000"/>
          <w:sz w:val="32"/>
          <w:szCs w:val="32"/>
        </w:rPr>
        <w:t>2019</w:t>
      </w:r>
      <w:r w:rsidRPr="00C14AF1">
        <w:rPr>
          <w:rFonts w:ascii="仿宋" w:eastAsia="仿宋" w:hAnsi="仿宋" w:hint="eastAsia"/>
          <w:color w:val="000000"/>
          <w:sz w:val="32"/>
          <w:szCs w:val="32"/>
        </w:rPr>
        <w:t>年减少0.51万元，下降29.82</w:t>
      </w:r>
      <w:r w:rsidRPr="00C14AF1">
        <w:rPr>
          <w:rFonts w:ascii="仿宋" w:eastAsia="仿宋" w:hAnsi="仿宋"/>
          <w:color w:val="000000"/>
          <w:sz w:val="32"/>
          <w:szCs w:val="32"/>
        </w:rPr>
        <w:t>%</w:t>
      </w:r>
      <w:r w:rsidRPr="00C14AF1">
        <w:rPr>
          <w:rFonts w:ascii="仿宋" w:eastAsia="仿宋" w:hAnsi="仿宋" w:hint="eastAsia"/>
          <w:color w:val="000000"/>
          <w:sz w:val="32"/>
          <w:szCs w:val="32"/>
        </w:rPr>
        <w:t>。主要原因是例行节约，严格安</w:t>
      </w:r>
      <w:proofErr w:type="gramStart"/>
      <w:r w:rsidRPr="00C14AF1">
        <w:rPr>
          <w:rFonts w:ascii="仿宋" w:eastAsia="仿宋" w:hAnsi="仿宋" w:hint="eastAsia"/>
          <w:color w:val="000000"/>
          <w:sz w:val="32"/>
          <w:szCs w:val="32"/>
        </w:rPr>
        <w:t>规</w:t>
      </w:r>
      <w:proofErr w:type="gramEnd"/>
      <w:r w:rsidRPr="00C14AF1">
        <w:rPr>
          <w:rFonts w:ascii="仿宋" w:eastAsia="仿宋" w:hAnsi="仿宋" w:hint="eastAsia"/>
          <w:color w:val="000000"/>
          <w:sz w:val="32"/>
          <w:szCs w:val="32"/>
        </w:rPr>
        <w:t>接待。</w:t>
      </w:r>
    </w:p>
    <w:p w:rsidR="00C14AF1" w:rsidRPr="00C14AF1" w:rsidRDefault="00C14AF1" w:rsidP="00C14AF1">
      <w:pPr>
        <w:spacing w:line="360" w:lineRule="auto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C14AF1">
        <w:rPr>
          <w:rFonts w:ascii="仿宋" w:eastAsia="仿宋" w:hAnsi="仿宋" w:hint="eastAsia"/>
          <w:color w:val="000000"/>
          <w:sz w:val="32"/>
          <w:szCs w:val="32"/>
        </w:rPr>
        <w:t>主要费用支出预决算比较：</w:t>
      </w:r>
      <w:r w:rsidRPr="00C14AF1">
        <w:rPr>
          <w:rFonts w:ascii="仿宋" w:eastAsia="仿宋" w:hAnsi="仿宋" w:cs="仿宋_GB2312" w:hint="eastAsia"/>
          <w:sz w:val="32"/>
          <w:szCs w:val="32"/>
        </w:rPr>
        <w:t>区法院</w:t>
      </w:r>
      <w:r w:rsidRPr="00C14AF1">
        <w:rPr>
          <w:rFonts w:ascii="仿宋" w:eastAsia="仿宋" w:hAnsi="仿宋" w:cs="仿宋_GB2312"/>
          <w:sz w:val="32"/>
          <w:szCs w:val="32"/>
        </w:rPr>
        <w:t>2020年日常公用经费中“办公费、印刷费、水费、电费</w:t>
      </w:r>
      <w:r w:rsidRPr="00C14AF1">
        <w:rPr>
          <w:rFonts w:ascii="仿宋" w:eastAsia="仿宋" w:hAnsi="仿宋" w:cs="仿宋_GB2312" w:hint="eastAsia"/>
          <w:sz w:val="32"/>
          <w:szCs w:val="32"/>
        </w:rPr>
        <w:t>、邮电费、差旅费</w:t>
      </w:r>
      <w:r w:rsidRPr="00C14AF1">
        <w:rPr>
          <w:rFonts w:ascii="仿宋" w:eastAsia="仿宋" w:hAnsi="仿宋" w:cs="仿宋_GB2312"/>
          <w:sz w:val="32"/>
          <w:szCs w:val="32"/>
        </w:rPr>
        <w:t>”等</w:t>
      </w:r>
      <w:r w:rsidRPr="00C14AF1">
        <w:rPr>
          <w:rFonts w:ascii="仿宋" w:eastAsia="仿宋" w:hAnsi="仿宋" w:cs="仿宋_GB2312" w:hint="eastAsia"/>
          <w:sz w:val="32"/>
          <w:szCs w:val="32"/>
        </w:rPr>
        <w:t>调整</w:t>
      </w:r>
      <w:r w:rsidRPr="00C14AF1">
        <w:rPr>
          <w:rFonts w:ascii="仿宋" w:eastAsia="仿宋" w:hAnsi="仿宋" w:cs="仿宋_GB2312"/>
          <w:sz w:val="32"/>
          <w:szCs w:val="32"/>
        </w:rPr>
        <w:t>预算</w:t>
      </w:r>
      <w:r w:rsidRPr="00C14AF1">
        <w:rPr>
          <w:rFonts w:ascii="仿宋" w:eastAsia="仿宋" w:hAnsi="仿宋" w:cs="仿宋_GB2312" w:hint="eastAsia"/>
          <w:sz w:val="32"/>
          <w:szCs w:val="32"/>
        </w:rPr>
        <w:t>数</w:t>
      </w:r>
      <w:r w:rsidRPr="00C14AF1">
        <w:rPr>
          <w:rFonts w:ascii="仿宋" w:eastAsia="仿宋" w:hAnsi="仿宋" w:cs="仿宋_GB2312"/>
          <w:sz w:val="32"/>
          <w:szCs w:val="32"/>
        </w:rPr>
        <w:t>共计</w:t>
      </w:r>
      <w:r w:rsidRPr="00C14AF1">
        <w:rPr>
          <w:rFonts w:ascii="仿宋" w:eastAsia="仿宋" w:hAnsi="仿宋" w:cs="仿宋_GB2312" w:hint="eastAsia"/>
          <w:sz w:val="32"/>
          <w:szCs w:val="32"/>
        </w:rPr>
        <w:t>149.7万</w:t>
      </w:r>
      <w:r w:rsidRPr="00C14AF1">
        <w:rPr>
          <w:rFonts w:ascii="仿宋" w:eastAsia="仿宋" w:hAnsi="仿宋" w:cs="仿宋_GB2312"/>
          <w:sz w:val="32"/>
          <w:szCs w:val="32"/>
        </w:rPr>
        <w:t>元，年终决算数为</w:t>
      </w:r>
      <w:r w:rsidRPr="00C14AF1">
        <w:rPr>
          <w:rFonts w:ascii="仿宋" w:eastAsia="仿宋" w:hAnsi="仿宋" w:cs="仿宋_GB2312" w:hint="eastAsia"/>
          <w:sz w:val="32"/>
          <w:szCs w:val="32"/>
        </w:rPr>
        <w:t>149.62万</w:t>
      </w:r>
      <w:r w:rsidRPr="00C14AF1">
        <w:rPr>
          <w:rFonts w:ascii="仿宋" w:eastAsia="仿宋" w:hAnsi="仿宋" w:cs="仿宋_GB2312"/>
          <w:sz w:val="32"/>
          <w:szCs w:val="32"/>
        </w:rPr>
        <w:t>元，决算数与预算数的偏差程度为</w:t>
      </w:r>
      <w:r w:rsidRPr="00C14AF1">
        <w:rPr>
          <w:rFonts w:ascii="仿宋" w:eastAsia="仿宋" w:hAnsi="仿宋" w:cs="仿宋_GB2312" w:hint="eastAsia"/>
          <w:sz w:val="32"/>
          <w:szCs w:val="32"/>
        </w:rPr>
        <w:t>0.05</w:t>
      </w:r>
      <w:r w:rsidRPr="00C14AF1">
        <w:rPr>
          <w:rFonts w:ascii="仿宋" w:eastAsia="仿宋" w:hAnsi="仿宋" w:cs="仿宋_GB2312"/>
          <w:sz w:val="32"/>
          <w:szCs w:val="32"/>
        </w:rPr>
        <w:t>%。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5.动态调整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仿宋_GB2312" w:hint="eastAsia"/>
          <w:kern w:val="0"/>
          <w:sz w:val="32"/>
          <w:szCs w:val="32"/>
          <w:lang/>
        </w:rPr>
      </w:pPr>
      <w:r w:rsidRPr="00C14AF1">
        <w:rPr>
          <w:rFonts w:ascii="仿宋" w:eastAsia="仿宋" w:hAnsi="仿宋" w:cs="仿宋_GB2312" w:hint="eastAsia"/>
          <w:sz w:val="32"/>
          <w:szCs w:val="32"/>
        </w:rPr>
        <w:t>区法院</w:t>
      </w:r>
      <w:r w:rsidRPr="00C14AF1">
        <w:rPr>
          <w:rFonts w:ascii="仿宋" w:eastAsia="仿宋" w:hAnsi="仿宋" w:cs="仿宋_GB2312" w:hint="eastAsia"/>
          <w:kern w:val="0"/>
          <w:sz w:val="32"/>
          <w:szCs w:val="32"/>
          <w:lang/>
        </w:rPr>
        <w:t>20</w:t>
      </w:r>
      <w:r w:rsidRPr="00C14AF1">
        <w:rPr>
          <w:rFonts w:ascii="仿宋" w:eastAsia="仿宋" w:hAnsi="仿宋" w:cs="仿宋_GB2312"/>
          <w:kern w:val="0"/>
          <w:sz w:val="32"/>
          <w:szCs w:val="32"/>
          <w:lang/>
        </w:rPr>
        <w:t>20</w:t>
      </w:r>
      <w:r w:rsidRPr="00C14AF1">
        <w:rPr>
          <w:rFonts w:ascii="仿宋" w:eastAsia="仿宋" w:hAnsi="仿宋" w:cs="仿宋_GB2312" w:hint="eastAsia"/>
          <w:kern w:val="0"/>
          <w:sz w:val="32"/>
          <w:szCs w:val="32"/>
          <w:lang/>
        </w:rPr>
        <w:t>年</w:t>
      </w:r>
      <w:r w:rsidRPr="00C14AF1">
        <w:rPr>
          <w:rFonts w:ascii="仿宋" w:eastAsia="仿宋" w:hAnsi="仿宋" w:cs="仿宋_GB2312" w:hint="eastAsia"/>
          <w:kern w:val="0"/>
          <w:sz w:val="32"/>
          <w:szCs w:val="32"/>
          <w:lang/>
        </w:rPr>
        <w:t>度无</w:t>
      </w:r>
      <w:r w:rsidRPr="00C14AF1">
        <w:rPr>
          <w:rFonts w:ascii="仿宋" w:eastAsia="仿宋" w:hAnsi="仿宋" w:cs="仿宋_GB2312" w:hint="eastAsia"/>
          <w:kern w:val="0"/>
          <w:sz w:val="32"/>
          <w:szCs w:val="32"/>
          <w:lang/>
        </w:rPr>
        <w:t>绩效监控调整额。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仿宋_GB2312" w:hint="eastAsia"/>
          <w:kern w:val="0"/>
          <w:sz w:val="32"/>
          <w:szCs w:val="32"/>
          <w:lang/>
        </w:rPr>
      </w:pPr>
      <w:r w:rsidRPr="00C14AF1">
        <w:rPr>
          <w:rFonts w:ascii="仿宋" w:eastAsia="仿宋" w:hAnsi="仿宋" w:cs="仿宋_GB2312" w:hint="eastAsia"/>
          <w:kern w:val="0"/>
          <w:sz w:val="32"/>
          <w:szCs w:val="32"/>
          <w:lang/>
        </w:rPr>
        <w:t>6.执行进度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区法院2020年财政拨款收入共计1729.09万元，支出1566万元，结转结余163.09万元。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7.预算完成情况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仿宋_GB2312" w:hint="eastAsia"/>
          <w:sz w:val="32"/>
          <w:szCs w:val="32"/>
        </w:rPr>
      </w:pPr>
      <w:r w:rsidRPr="00C14AF1">
        <w:rPr>
          <w:rFonts w:ascii="仿宋" w:eastAsia="仿宋" w:hAnsi="仿宋" w:cs="仿宋_GB2312" w:hint="eastAsia"/>
          <w:sz w:val="32"/>
          <w:szCs w:val="32"/>
        </w:rPr>
        <w:t>区法院2020年调整预算数</w:t>
      </w:r>
      <w:r w:rsidRPr="00C14AF1">
        <w:rPr>
          <w:rFonts w:ascii="仿宋" w:eastAsia="仿宋" w:hAnsi="仿宋" w:cs="仿宋_GB2312"/>
          <w:sz w:val="32"/>
          <w:szCs w:val="32"/>
        </w:rPr>
        <w:t>1729</w:t>
      </w:r>
      <w:r w:rsidRPr="00C14AF1">
        <w:rPr>
          <w:rFonts w:ascii="仿宋" w:eastAsia="仿宋" w:hAnsi="仿宋" w:cs="仿宋_GB2312" w:hint="eastAsia"/>
          <w:sz w:val="32"/>
          <w:szCs w:val="32"/>
        </w:rPr>
        <w:t>.09万</w:t>
      </w:r>
      <w:r w:rsidRPr="00C14AF1">
        <w:rPr>
          <w:rFonts w:ascii="仿宋" w:eastAsia="仿宋" w:hAnsi="仿宋" w:cs="仿宋_GB2312"/>
          <w:sz w:val="32"/>
          <w:szCs w:val="32"/>
        </w:rPr>
        <w:t>元</w:t>
      </w:r>
      <w:r w:rsidRPr="00C14AF1">
        <w:rPr>
          <w:rFonts w:ascii="仿宋" w:eastAsia="仿宋" w:hAnsi="仿宋" w:cs="仿宋_GB2312" w:hint="eastAsia"/>
          <w:sz w:val="32"/>
          <w:szCs w:val="32"/>
        </w:rPr>
        <w:t>，执行数1566万元，进度为90.57</w:t>
      </w:r>
      <w:r w:rsidRPr="00C14AF1">
        <w:rPr>
          <w:rFonts w:ascii="仿宋" w:eastAsia="仿宋" w:hAnsi="仿宋" w:cs="仿宋_GB2312"/>
          <w:sz w:val="32"/>
          <w:szCs w:val="32"/>
        </w:rPr>
        <w:t>%</w:t>
      </w:r>
      <w:r w:rsidRPr="00C14AF1">
        <w:rPr>
          <w:rFonts w:ascii="仿宋" w:eastAsia="仿宋" w:hAnsi="仿宋" w:cs="仿宋_GB2312" w:hint="eastAsia"/>
          <w:sz w:val="32"/>
          <w:szCs w:val="32"/>
        </w:rPr>
        <w:t>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仿宋_GB2312" w:hint="eastAsia"/>
          <w:sz w:val="32"/>
          <w:szCs w:val="32"/>
        </w:rPr>
      </w:pPr>
      <w:r w:rsidRPr="00C14AF1">
        <w:rPr>
          <w:rFonts w:ascii="仿宋" w:eastAsia="仿宋" w:hAnsi="仿宋" w:cs="仿宋_GB2312" w:hint="eastAsia"/>
          <w:sz w:val="32"/>
          <w:szCs w:val="32"/>
        </w:rPr>
        <w:t>8.违规记录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C14AF1">
        <w:rPr>
          <w:rFonts w:ascii="仿宋" w:eastAsia="仿宋" w:hAnsi="仿宋" w:cs="仿宋_GB2312" w:hint="eastAsia"/>
          <w:sz w:val="32"/>
          <w:szCs w:val="32"/>
        </w:rPr>
        <w:t>无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（二）结果应用情况。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1.绩效自评公开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仿宋_GB2312" w:hint="eastAsia"/>
          <w:sz w:val="32"/>
          <w:szCs w:val="32"/>
        </w:rPr>
        <w:t>区法院在乐山市五通桥区人民政府官网上对外公开了2020年度部门预算绩效自评表。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2.评价结果整改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仿宋_GB2312" w:hint="eastAsia"/>
          <w:sz w:val="32"/>
          <w:szCs w:val="32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区法院</w:t>
      </w:r>
      <w:r w:rsidRPr="00C14AF1">
        <w:rPr>
          <w:rFonts w:ascii="仿宋" w:eastAsia="仿宋" w:hAnsi="仿宋" w:cs="仿宋_GB2312" w:hint="eastAsia"/>
          <w:sz w:val="32"/>
          <w:szCs w:val="32"/>
        </w:rPr>
        <w:t>20</w:t>
      </w:r>
      <w:r w:rsidRPr="00C14AF1">
        <w:rPr>
          <w:rFonts w:ascii="仿宋" w:eastAsia="仿宋" w:hAnsi="仿宋" w:cs="仿宋_GB2312"/>
          <w:sz w:val="32"/>
          <w:szCs w:val="32"/>
        </w:rPr>
        <w:t>20</w:t>
      </w:r>
      <w:r w:rsidRPr="00C14AF1">
        <w:rPr>
          <w:rFonts w:ascii="仿宋" w:eastAsia="仿宋" w:hAnsi="仿宋" w:cs="仿宋_GB2312" w:hint="eastAsia"/>
          <w:sz w:val="32"/>
          <w:szCs w:val="32"/>
        </w:rPr>
        <w:t>年度未接受绩效评价检查。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3.应用结果反馈等情况。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lastRenderedPageBreak/>
        <w:t>无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四、评价结论及建议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（一）评价结论。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区法院2020年部门整体绩效自评得分85分。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（二）存在问题。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仿宋_GB2312" w:hint="eastAsia"/>
          <w:sz w:val="32"/>
          <w:szCs w:val="32"/>
        </w:rPr>
        <w:t>项目绩效设置不完整。绩效目标的完成指标、效益指标及满意度指标三大要素基本完整，但部分项目仍存在绩效目标设置量化、细化程度不够的问题。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（三）改进建议。</w:t>
      </w:r>
    </w:p>
    <w:p w:rsidR="00C14AF1" w:rsidRPr="00C14AF1" w:rsidRDefault="00C14AF1" w:rsidP="00C14AF1">
      <w:pPr>
        <w:widowControl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</w:pPr>
      <w:r w:rsidRPr="00C14AF1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1.提高预算</w:t>
      </w:r>
      <w:r w:rsidRPr="00C14AF1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编制</w:t>
      </w:r>
      <w:r w:rsidRPr="00C14AF1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管理水平</w:t>
      </w:r>
    </w:p>
    <w:p w:rsidR="00C14AF1" w:rsidRPr="00C14AF1" w:rsidRDefault="00C14AF1" w:rsidP="00C14AF1">
      <w:pPr>
        <w:widowControl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</w:pPr>
      <w:r w:rsidRPr="00C14AF1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充分了解预算需求，合理安排支出结构，提高预算编制的准确度。同时，积极应用绩效监控结果指导预算调整，提高预算编制与预算执行的一致性，强化预算精细化管理水平。</w:t>
      </w:r>
    </w:p>
    <w:p w:rsidR="00C14AF1" w:rsidRPr="00C14AF1" w:rsidRDefault="00C14AF1" w:rsidP="00C14AF1">
      <w:pPr>
        <w:widowControl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</w:pPr>
      <w:r w:rsidRPr="00C14AF1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2.加强绩效目标编制和审核</w:t>
      </w:r>
    </w:p>
    <w:p w:rsidR="00C14AF1" w:rsidRPr="00C14AF1" w:rsidRDefault="00C14AF1" w:rsidP="00C14AF1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C14AF1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目标的制定是预算绩效管理的基础，是编制部门预算、实施绩效监控、开展绩效评价的依据，科学合理的目标是衡量是否取得预期成效的前提。部门应强化绩效管理理念，强化绩效目标管理的主体责任意识，科学合理编制目标。部门整体支出绩效目标应根据部门职能职责、中长期规划和年度工作任务进行编制，目标应能反映部门履职所要达到的总体产出和效果。项目绩效目标应根据项目实际进行编制，全面反映项目投入、产出、效率和效益情况。编制的目标要细化</w:t>
      </w:r>
      <w:r w:rsidRPr="00C14AF1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lastRenderedPageBreak/>
        <w:t>量化、规范完整且可衡量，同时加强项目效果方面目标的制定。</w:t>
      </w:r>
    </w:p>
    <w:p w:rsidR="00000000" w:rsidRDefault="00C14AF1"/>
    <w:sectPr w:rsidR="0000000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AF1" w:rsidRDefault="00C14AF1" w:rsidP="00C14AF1">
      <w:r>
        <w:separator/>
      </w:r>
    </w:p>
  </w:endnote>
  <w:endnote w:type="continuationSeparator" w:id="1">
    <w:p w:rsidR="00C14AF1" w:rsidRDefault="00C14AF1" w:rsidP="00C14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92" w:rsidRDefault="00C14AF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C14AF1">
      <w:rPr>
        <w:noProof/>
        <w:lang w:val="zh-CN" w:eastAsia="zh-CN"/>
      </w:rPr>
      <w:t>2</w:t>
    </w:r>
    <w:r>
      <w:fldChar w:fldCharType="end"/>
    </w:r>
  </w:p>
  <w:p w:rsidR="00417192" w:rsidRDefault="00C14A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AF1" w:rsidRDefault="00C14AF1" w:rsidP="00C14AF1">
      <w:r>
        <w:separator/>
      </w:r>
    </w:p>
  </w:footnote>
  <w:footnote w:type="continuationSeparator" w:id="1">
    <w:p w:rsidR="00C14AF1" w:rsidRDefault="00C14AF1" w:rsidP="00C14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92" w:rsidRDefault="00C14AF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AF1"/>
    <w:rsid w:val="00C1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C14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C14A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14A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14AF1"/>
    <w:rPr>
      <w:sz w:val="18"/>
      <w:szCs w:val="18"/>
    </w:rPr>
  </w:style>
  <w:style w:type="character" w:styleId="a5">
    <w:name w:val="Strong"/>
    <w:basedOn w:val="a0"/>
    <w:uiPriority w:val="99"/>
    <w:qFormat/>
    <w:rsid w:val="00C14AF1"/>
    <w:rPr>
      <w:rFonts w:cs="Times New Roman"/>
      <w:b/>
    </w:rPr>
  </w:style>
  <w:style w:type="paragraph" w:customStyle="1" w:styleId="2">
    <w:name w:val="列出段落2"/>
    <w:basedOn w:val="a"/>
    <w:uiPriority w:val="99"/>
    <w:unhideWhenUsed/>
    <w:qFormat/>
    <w:rsid w:val="00C14AF1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332</Words>
  <Characters>1897</Characters>
  <Application>Microsoft Office Word</Application>
  <DocSecurity>0</DocSecurity>
  <Lines>15</Lines>
  <Paragraphs>4</Paragraphs>
  <ScaleCrop>false</ScaleCrop>
  <Company>china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刘芮良</dc:creator>
  <cp:keywords/>
  <dc:description/>
  <cp:lastModifiedBy>刘芮良</cp:lastModifiedBy>
  <cp:revision>2</cp:revision>
  <dcterms:created xsi:type="dcterms:W3CDTF">2021-09-27T08:23:00Z</dcterms:created>
  <dcterms:modified xsi:type="dcterms:W3CDTF">2021-09-27T08:27:00Z</dcterms:modified>
</cp:coreProperties>
</file>