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eastAsia" w:ascii="方正小标宋简体" w:hAnsi="宋体" w:eastAsia="方正小标宋简体"/>
          <w:color w:val="000000"/>
          <w:sz w:val="30"/>
          <w:szCs w:val="30"/>
          <w:lang w:eastAsia="zh-CN"/>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宋体" w:hAnsi="宋体" w:eastAsia="宋体" w:cs="宋体"/>
          <w:b/>
          <w:bCs/>
          <w:color w:val="000000"/>
          <w:sz w:val="52"/>
          <w:szCs w:val="52"/>
        </w:rPr>
      </w:pPr>
      <w:bookmarkStart w:id="1" w:name="_Toc15378441"/>
      <w:bookmarkStart w:id="2" w:name="_Toc17261"/>
      <w:bookmarkStart w:id="3" w:name="_Toc3735"/>
      <w:bookmarkStart w:id="4" w:name="_Toc15396597"/>
      <w:bookmarkStart w:id="5" w:name="_Toc24024"/>
      <w:bookmarkStart w:id="6" w:name="_Toc15377193"/>
      <w:bookmarkStart w:id="7" w:name="_Toc15377425"/>
      <w:bookmarkStart w:id="8" w:name="_Toc15396475"/>
      <w:r>
        <w:rPr>
          <w:rFonts w:hint="eastAsia" w:ascii="宋体" w:hAnsi="宋体" w:eastAsia="宋体" w:cs="宋体"/>
          <w:b/>
          <w:bCs/>
          <w:color w:val="000000"/>
          <w:sz w:val="52"/>
          <w:szCs w:val="52"/>
        </w:rPr>
        <w:t>2020年度</w:t>
      </w:r>
      <w:bookmarkEnd w:id="1"/>
      <w:bookmarkEnd w:id="2"/>
      <w:bookmarkEnd w:id="3"/>
      <w:bookmarkEnd w:id="4"/>
      <w:bookmarkEnd w:id="5"/>
      <w:bookmarkEnd w:id="6"/>
      <w:bookmarkEnd w:id="7"/>
      <w:bookmarkEnd w:id="8"/>
    </w:p>
    <w:p>
      <w:pPr>
        <w:jc w:val="center"/>
        <w:rPr>
          <w:rFonts w:hint="eastAsia" w:ascii="宋体" w:hAnsi="宋体" w:eastAsia="宋体" w:cs="宋体"/>
          <w:b/>
          <w:bCs/>
          <w:color w:val="000000"/>
          <w:sz w:val="52"/>
          <w:szCs w:val="52"/>
        </w:rPr>
      </w:pPr>
      <w:bookmarkStart w:id="9" w:name="_Toc15396598"/>
      <w:bookmarkStart w:id="10" w:name="_Toc15377194"/>
      <w:bookmarkStart w:id="11" w:name="_Toc15378442"/>
      <w:bookmarkStart w:id="12" w:name="_Toc15396476"/>
      <w:bookmarkStart w:id="13" w:name="_Toc23151"/>
      <w:bookmarkStart w:id="14" w:name="_Toc15377426"/>
      <w:r>
        <w:rPr>
          <w:rFonts w:hint="eastAsia" w:ascii="宋体" w:hAnsi="宋体" w:eastAsia="宋体" w:cs="宋体"/>
          <w:b/>
          <w:bCs/>
          <w:color w:val="000000"/>
          <w:sz w:val="52"/>
          <w:szCs w:val="52"/>
        </w:rPr>
        <w:t>四川省</w:t>
      </w:r>
      <w:bookmarkEnd w:id="0"/>
      <w:bookmarkStart w:id="15" w:name="_Toc15306268"/>
      <w:r>
        <w:rPr>
          <w:rFonts w:hint="eastAsia" w:ascii="宋体" w:hAnsi="宋体" w:eastAsia="宋体" w:cs="宋体"/>
          <w:b/>
          <w:bCs/>
          <w:color w:val="000000"/>
          <w:sz w:val="52"/>
          <w:szCs w:val="52"/>
        </w:rPr>
        <w:t>乐山市五通桥区</w:t>
      </w:r>
    </w:p>
    <w:p>
      <w:pPr>
        <w:jc w:val="center"/>
        <w:rPr>
          <w:rFonts w:hint="eastAsia" w:ascii="宋体" w:hAnsi="宋体" w:eastAsia="宋体" w:cs="宋体"/>
          <w:b/>
          <w:bCs/>
          <w:color w:val="000000"/>
          <w:sz w:val="52"/>
          <w:szCs w:val="52"/>
        </w:rPr>
      </w:pPr>
      <w:r>
        <w:rPr>
          <w:rFonts w:hint="eastAsia" w:ascii="宋体" w:hAnsi="宋体" w:eastAsia="宋体" w:cs="宋体"/>
          <w:b/>
          <w:sz w:val="52"/>
          <w:szCs w:val="52"/>
          <w:lang w:eastAsia="zh-CN"/>
        </w:rPr>
        <w:t>新云乡</w:t>
      </w:r>
      <w:r>
        <w:rPr>
          <w:rFonts w:hint="eastAsia" w:ascii="宋体" w:hAnsi="宋体" w:eastAsia="宋体" w:cs="宋体"/>
          <w:b/>
          <w:bCs/>
          <w:sz w:val="52"/>
          <w:szCs w:val="52"/>
          <w:lang w:eastAsia="zh-CN"/>
        </w:rPr>
        <w:t>初级中学</w:t>
      </w:r>
      <w:r>
        <w:rPr>
          <w:rFonts w:hint="eastAsia" w:ascii="宋体" w:hAnsi="宋体" w:eastAsia="宋体" w:cs="宋体"/>
          <w:b/>
          <w:bCs/>
          <w:color w:val="000000"/>
          <w:sz w:val="52"/>
          <w:szCs w:val="52"/>
        </w:rPr>
        <w:t>部门决算</w:t>
      </w:r>
      <w:bookmarkEnd w:id="9"/>
      <w:bookmarkEnd w:id="10"/>
      <w:bookmarkEnd w:id="11"/>
      <w:bookmarkEnd w:id="12"/>
      <w:bookmarkEnd w:id="13"/>
      <w:bookmarkEnd w:id="14"/>
      <w:bookmarkEnd w:id="15"/>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7"/>
      </w:pPr>
      <w:r>
        <w:rPr>
          <w:rFonts w:hint="eastAsia"/>
        </w:rPr>
        <w:t>公开时间：</w:t>
      </w:r>
      <w:r>
        <w:t>2021</w:t>
      </w:r>
      <w:r>
        <w:rPr>
          <w:rFonts w:hint="eastAsia"/>
        </w:rPr>
        <w:t>年</w:t>
      </w:r>
      <w:r>
        <w:rPr>
          <w:rFonts w:hint="eastAsia"/>
          <w:lang w:val="en-US" w:eastAsia="zh-CN"/>
        </w:rPr>
        <w:t>9</w:t>
      </w:r>
      <w:r>
        <w:rPr>
          <w:rFonts w:hint="eastAsia"/>
        </w:rPr>
        <w:t xml:space="preserve"> 月</w:t>
      </w:r>
      <w:r>
        <w:rPr>
          <w:rFonts w:hint="eastAsia"/>
          <w:lang w:val="en-US" w:eastAsia="zh-CN"/>
        </w:rPr>
        <w:t>28</w:t>
      </w:r>
      <w:r>
        <w:rPr>
          <w:rFonts w:hint="eastAsia"/>
        </w:rPr>
        <w:t>日</w:t>
      </w:r>
    </w:p>
    <w:p/>
    <w:sdt>
      <w:sdtPr>
        <w:rPr>
          <w:rFonts w:ascii="宋体" w:hAnsi="宋体" w:eastAsia="宋体" w:cs="Times New Roman"/>
          <w:kern w:val="2"/>
          <w:sz w:val="21"/>
          <w:szCs w:val="24"/>
          <w:lang w:val="en-US" w:eastAsia="zh-CN" w:bidi="ar-SA"/>
        </w:rPr>
        <w:id w:val="147458708"/>
        <w15:color w:val="DBDBDB"/>
        <w:docPartObj>
          <w:docPartGallery w:val="Table of Contents"/>
          <w:docPartUnique/>
        </w:docPartObj>
      </w:sdtPr>
      <w:sdtEndPr>
        <w:rPr>
          <w:rFonts w:hint="eastAsia" w:asciiTheme="majorEastAsia" w:hAnsiTheme="majorEastAsia" w:eastAsiaTheme="majorEastAsia" w:cstheme="majorEastAsia"/>
          <w:kern w:val="2"/>
          <w:sz w:val="30"/>
          <w:szCs w:val="30"/>
          <w:lang w:val="en-US" w:eastAsia="zh-CN" w:bidi="ar-SA"/>
        </w:rPr>
      </w:sdtEndPr>
      <w:sdtContent>
        <w:p>
          <w:pPr>
            <w:spacing w:before="0" w:beforeLines="0" w:after="0" w:afterLines="0" w:line="240" w:lineRule="auto"/>
            <w:ind w:left="0" w:leftChars="0" w:right="0" w:rightChars="0" w:firstLine="0" w:firstLineChars="0"/>
            <w:jc w:val="center"/>
          </w:pPr>
          <w:bookmarkStart w:id="16" w:name="_Toc15396599"/>
          <w:bookmarkStart w:id="17" w:name="_Toc15377196"/>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TOC \o "1-3" \h \u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_Toc3735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2020年度</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_Toc3735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_Toc32415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xml:space="preserve">第一部分 </w:t>
          </w:r>
          <w:r>
            <w:rPr>
              <w:rFonts w:hint="eastAsia" w:asciiTheme="majorEastAsia" w:hAnsiTheme="majorEastAsia" w:eastAsiaTheme="majorEastAsia" w:cstheme="majorEastAsia"/>
              <w:bCs w:val="0"/>
              <w:sz w:val="30"/>
              <w:szCs w:val="30"/>
            </w:rPr>
            <w:t>部门概况</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_Toc32415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_Toc29275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一、基</w:t>
          </w:r>
          <w:r>
            <w:rPr>
              <w:rFonts w:hint="eastAsia" w:asciiTheme="majorEastAsia" w:hAnsiTheme="majorEastAsia" w:eastAsiaTheme="majorEastAsia" w:cstheme="majorEastAsia"/>
              <w:bCs w:val="0"/>
              <w:sz w:val="30"/>
              <w:szCs w:val="30"/>
            </w:rPr>
            <w:t>本职能及主要工作</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_Toc29275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_Toc31834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二、机</w:t>
          </w:r>
          <w:r>
            <w:rPr>
              <w:rFonts w:hint="eastAsia" w:asciiTheme="majorEastAsia" w:hAnsiTheme="majorEastAsia" w:eastAsiaTheme="majorEastAsia" w:cstheme="majorEastAsia"/>
              <w:bCs w:val="0"/>
              <w:sz w:val="30"/>
              <w:szCs w:val="30"/>
            </w:rPr>
            <w:t>构设置</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_Toc31834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_Toc23732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xml:space="preserve">第二部分 </w:t>
          </w:r>
          <w:r>
            <w:rPr>
              <w:rFonts w:hint="eastAsia" w:asciiTheme="majorEastAsia" w:hAnsiTheme="majorEastAsia" w:eastAsiaTheme="majorEastAsia" w:cstheme="majorEastAsia"/>
              <w:bCs w:val="0"/>
              <w:sz w:val="30"/>
              <w:szCs w:val="30"/>
            </w:rPr>
            <w:t>2020年度部门决算情况说明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_Toc23732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_Toc30415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 收入支出决算总体情况说明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_Toc30415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_Toc5238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二、 收入决算情况说明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_Toc5238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_Toc24398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三、 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_Toc24398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_Toc7246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四、财政拨款收入支出决算总体情况说明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_Toc7246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_Toc12775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五、一般公共预算财政拨款支出决算情况说明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_Toc12775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_Toc23489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六、一般公共预算财政拨款基本支出决算情况说明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_Toc23489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12</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_Toc27895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七、“三公”经费财政拨款支出决算情况说明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_Toc27895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12</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_Toc24824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八、政府性基金预算支出决算情况说明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_Toc24824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_Toc21051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九、 国有资本经营预算支出决算情况说明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_Toc21051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_Toc2575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十、其他重要事项的情况说明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_Toc2575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_Toc9577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第三部分 名词解释</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_Toc9577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_Toc6599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第四部分 附件</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_Toc6599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_Toc31900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附件1</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_Toc31900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_Toc6849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lang w:val="en-US" w:eastAsia="zh-CN"/>
            </w:rPr>
            <w:t xml:space="preserve">第五部分  </w:t>
          </w:r>
          <w:r>
            <w:rPr>
              <w:rFonts w:hint="eastAsia" w:asciiTheme="majorEastAsia" w:hAnsiTheme="majorEastAsia" w:eastAsiaTheme="majorEastAsia" w:cstheme="majorEastAsia"/>
              <w:sz w:val="30"/>
              <w:szCs w:val="30"/>
            </w:rPr>
            <w:t>附表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_Toc6849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_Toc6422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一、收入支出决算总表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_Toc6422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_Toc19894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二、收入决算表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_Toc19894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_Toc13097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三、支出决算表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_Toc13097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_Toc581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四、财政拨款收入支出决算总表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_Toc581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_Toc14914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五、财政拨款支出决算明细表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_Toc14914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_Toc30537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六、一般公共预算财政拨款支出决算表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_Toc30537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_Toc21097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七、一般公共预算财政拨款支出决算明细表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_Toc21097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_Toc1757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八、一般公共预算财政拨款基本支出决算表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_Toc1757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_Toc25272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九、一般公共预算财政拨款项目支出决算表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_Toc25272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_Toc17265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十、一般公共预算财政拨款“三公”经费支出决算表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_Toc17265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_Toc25751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十一、政府性基金预算财政拨款收入支出决算表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_Toc25751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_Toc5794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十二、政府性基金预算财政拨款“三公”经费支出决算表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_Toc5794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_Toc25020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十三、国有资本经营预算财政拨款收入支出决算表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_Toc25020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_Toc14256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十四、国有资本经营预算财政拨款支出决算表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_Toc14256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rPr>
              <w:rFonts w:hint="eastAsia" w:asciiTheme="majorEastAsia" w:hAnsiTheme="majorEastAsia" w:eastAsiaTheme="majorEastAsia" w:cstheme="majorEastAsia"/>
              <w:kern w:val="2"/>
              <w:sz w:val="30"/>
              <w:szCs w:val="30"/>
              <w:lang w:val="en-US" w:eastAsia="zh-CN" w:bidi="ar-SA"/>
            </w:rPr>
          </w:pPr>
          <w:r>
            <w:rPr>
              <w:rFonts w:hint="eastAsia" w:asciiTheme="majorEastAsia" w:hAnsiTheme="majorEastAsia" w:eastAsiaTheme="majorEastAsia" w:cstheme="majorEastAsia"/>
              <w:sz w:val="30"/>
              <w:szCs w:val="30"/>
            </w:rPr>
            <w:fldChar w:fldCharType="end"/>
          </w:r>
          <w:bookmarkStart w:id="18" w:name="_Toc20126"/>
        </w:p>
      </w:sdtContent>
    </w:sdt>
    <w:p>
      <w:pPr>
        <w:rPr>
          <w:rFonts w:hint="eastAsia" w:asciiTheme="majorEastAsia" w:hAnsiTheme="majorEastAsia" w:eastAsiaTheme="majorEastAsia" w:cstheme="majorEastAsia"/>
          <w:kern w:val="2"/>
          <w:sz w:val="30"/>
          <w:szCs w:val="30"/>
          <w:lang w:val="en-US" w:eastAsia="zh-CN" w:bidi="ar-SA"/>
        </w:rPr>
      </w:pPr>
    </w:p>
    <w:p>
      <w:pPr>
        <w:rPr>
          <w:rFonts w:hint="eastAsia" w:asciiTheme="majorEastAsia" w:hAnsiTheme="majorEastAsia" w:eastAsiaTheme="majorEastAsia" w:cstheme="majorEastAsia"/>
          <w:kern w:val="2"/>
          <w:sz w:val="30"/>
          <w:szCs w:val="30"/>
          <w:lang w:val="en-US" w:eastAsia="zh-CN" w:bidi="ar-SA"/>
        </w:rPr>
      </w:pPr>
    </w:p>
    <w:p>
      <w:pPr>
        <w:rPr>
          <w:rFonts w:hint="eastAsia" w:asciiTheme="majorEastAsia" w:hAnsiTheme="majorEastAsia" w:eastAsiaTheme="majorEastAsia" w:cstheme="majorEastAsia"/>
          <w:kern w:val="2"/>
          <w:sz w:val="30"/>
          <w:szCs w:val="30"/>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hint="eastAsia" w:ascii="宋体" w:hAnsi="宋体" w:eastAsia="宋体" w:cs="Times New Roman"/>
          <w:kern w:val="2"/>
          <w:sz w:val="21"/>
          <w:szCs w:val="24"/>
          <w:lang w:val="en-US" w:eastAsia="zh-CN" w:bidi="ar-SA"/>
        </w:rPr>
      </w:pPr>
    </w:p>
    <w:p>
      <w:pPr>
        <w:pStyle w:val="2"/>
        <w:jc w:val="center"/>
        <w:rPr>
          <w:rStyle w:val="14"/>
          <w:rFonts w:ascii="黑体" w:hAnsi="黑体" w:eastAsia="黑体"/>
          <w:b/>
          <w:bCs w:val="0"/>
        </w:rPr>
      </w:pPr>
      <w:bookmarkStart w:id="19" w:name="_Toc32415"/>
      <w:r>
        <w:rPr>
          <w:rFonts w:hint="eastAsia" w:ascii="黑体" w:hAnsi="黑体" w:eastAsia="黑体"/>
          <w:b w:val="0"/>
        </w:rPr>
        <w:t>第一部分</w:t>
      </w:r>
      <w:r>
        <w:rPr>
          <w:rFonts w:ascii="黑体" w:hAnsi="黑体" w:eastAsia="黑体"/>
          <w:b w:val="0"/>
        </w:rPr>
        <w:t xml:space="preserve"> </w:t>
      </w:r>
      <w:r>
        <w:rPr>
          <w:rStyle w:val="14"/>
          <w:rFonts w:hint="eastAsia" w:ascii="黑体" w:hAnsi="黑体" w:eastAsia="黑体"/>
          <w:b w:val="0"/>
          <w:bCs w:val="0"/>
        </w:rPr>
        <w:t>部门概况</w:t>
      </w:r>
      <w:bookmarkEnd w:id="16"/>
      <w:bookmarkEnd w:id="17"/>
      <w:bookmarkEnd w:id="18"/>
      <w:bookmarkEnd w:id="19"/>
    </w:p>
    <w:p>
      <w:pPr>
        <w:widowControl/>
        <w:jc w:val="left"/>
        <w:rPr>
          <w:rFonts w:ascii="黑体" w:eastAsia="黑体"/>
          <w:color w:val="000000"/>
          <w:sz w:val="32"/>
          <w:szCs w:val="32"/>
        </w:rPr>
      </w:pPr>
    </w:p>
    <w:p>
      <w:pPr>
        <w:pStyle w:val="3"/>
        <w:rPr>
          <w:rStyle w:val="15"/>
          <w:rFonts w:ascii="仿宋" w:hAnsi="仿宋" w:eastAsia="仿宋"/>
          <w:b w:val="0"/>
          <w:bCs w:val="0"/>
        </w:rPr>
      </w:pPr>
      <w:bookmarkStart w:id="20" w:name="_Toc15396600"/>
      <w:bookmarkStart w:id="21" w:name="_Toc15377197"/>
      <w:bookmarkStart w:id="22" w:name="_Toc29275"/>
      <w:bookmarkStart w:id="23" w:name="_Toc6055"/>
      <w:r>
        <w:rPr>
          <w:rFonts w:hint="eastAsia" w:ascii="黑体" w:hAnsi="黑体" w:eastAsia="黑体"/>
          <w:b w:val="0"/>
          <w:color w:val="000000"/>
        </w:rPr>
        <w:t>一、基</w:t>
      </w:r>
      <w:r>
        <w:rPr>
          <w:rStyle w:val="15"/>
          <w:rFonts w:hint="eastAsia" w:ascii="黑体" w:hAnsi="黑体" w:eastAsia="黑体"/>
          <w:b w:val="0"/>
          <w:bCs w:val="0"/>
        </w:rPr>
        <w:t>本职能及主要工作</w:t>
      </w:r>
      <w:bookmarkEnd w:id="20"/>
      <w:bookmarkEnd w:id="21"/>
      <w:bookmarkEnd w:id="22"/>
      <w:bookmarkEnd w:id="23"/>
    </w:p>
    <w:p>
      <w:pPr>
        <w:pStyle w:val="4"/>
        <w:adjustRightInd w:val="0"/>
        <w:snapToGrid w:val="0"/>
        <w:spacing w:before="93" w:line="600" w:lineRule="exact"/>
        <w:ind w:firstLine="672" w:firstLineChars="210"/>
        <w:outlineLvl w:val="9"/>
        <w:rPr>
          <w:rFonts w:hint="eastAsia" w:ascii="仿宋" w:hAnsi="仿宋" w:eastAsia="仿宋"/>
          <w:bCs/>
          <w:color w:val="000000"/>
          <w:sz w:val="32"/>
          <w:szCs w:val="32"/>
        </w:rPr>
      </w:pPr>
      <w:bookmarkStart w:id="24" w:name="_Toc15378445"/>
      <w:bookmarkStart w:id="25" w:name="_Toc2408"/>
      <w:bookmarkStart w:id="26" w:name="_Toc15377198"/>
      <w:r>
        <w:rPr>
          <w:rFonts w:hint="eastAsia" w:ascii="仿宋" w:hAnsi="仿宋" w:eastAsia="仿宋"/>
          <w:bCs/>
          <w:color w:val="000000"/>
          <w:sz w:val="32"/>
          <w:szCs w:val="32"/>
        </w:rPr>
        <w:t>（一）主要职能</w:t>
      </w:r>
      <w:bookmarkEnd w:id="24"/>
      <w:bookmarkEnd w:id="25"/>
      <w:bookmarkEnd w:id="26"/>
      <w:bookmarkStart w:id="27" w:name="_Toc15377199"/>
      <w:bookmarkStart w:id="28" w:name="_Toc15378446"/>
    </w:p>
    <w:p>
      <w:pPr>
        <w:ind w:firstLineChars="200"/>
        <w:rPr>
          <w:rFonts w:hint="eastAsia" w:ascii="仿宋" w:hAnsi="仿宋" w:eastAsia="仿宋" w:cs="仿宋"/>
          <w:sz w:val="32"/>
          <w:szCs w:val="32"/>
          <w:lang w:eastAsia="zh-CN"/>
        </w:rPr>
      </w:pPr>
      <w:bookmarkStart w:id="29" w:name="_Toc345"/>
      <w:r>
        <w:rPr>
          <w:rFonts w:hint="eastAsia" w:ascii="仿宋" w:hAnsi="仿宋" w:eastAsia="仿宋" w:cs="仿宋"/>
          <w:sz w:val="32"/>
          <w:szCs w:val="32"/>
          <w:lang w:eastAsia="zh-CN"/>
        </w:rPr>
        <w:t>乐山市五通桥区新云乡初级中学</w:t>
      </w:r>
      <w:r>
        <w:rPr>
          <w:rFonts w:hint="eastAsia" w:ascii="仿宋" w:hAnsi="仿宋" w:eastAsia="仿宋" w:cs="仿宋"/>
          <w:sz w:val="32"/>
          <w:szCs w:val="32"/>
        </w:rPr>
        <w:t>其主要职能是实施初中义务教育，促进基础教育发展。 初中学历教育。认真贯彻执行党的路线、方针、政策和上级领导部门及学校党委、行政的各项指示、决定，组织安排党委各种会议和重要活动</w:t>
      </w:r>
      <w:r>
        <w:rPr>
          <w:rFonts w:hint="eastAsia" w:ascii="仿宋" w:hAnsi="仿宋" w:eastAsia="仿宋" w:cs="仿宋"/>
          <w:sz w:val="32"/>
          <w:szCs w:val="32"/>
          <w:lang w:eastAsia="zh-CN"/>
        </w:rPr>
        <w:t>。</w:t>
      </w:r>
    </w:p>
    <w:p>
      <w:pPr>
        <w:pStyle w:val="4"/>
        <w:adjustRightInd w:val="0"/>
        <w:snapToGrid w:val="0"/>
        <w:spacing w:before="93" w:line="600" w:lineRule="exact"/>
        <w:ind w:firstLine="672" w:firstLineChars="210"/>
        <w:outlineLvl w:val="9"/>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27"/>
      <w:bookmarkEnd w:id="28"/>
      <w:bookmarkEnd w:id="29"/>
    </w:p>
    <w:p>
      <w:pPr>
        <w:ind w:firstLineChars="200"/>
        <w:rPr>
          <w:rFonts w:hint="eastAsia" w:ascii="仿宋" w:hAnsi="仿宋" w:eastAsia="仿宋" w:cs="仿宋"/>
          <w:sz w:val="32"/>
          <w:szCs w:val="32"/>
        </w:rPr>
      </w:pPr>
      <w:bookmarkStart w:id="30" w:name="_Toc15396601"/>
      <w:bookmarkStart w:id="31" w:name="_Toc15377200"/>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精心布置宣传阵地；规范教室布置：各班教室的布置体现了各班的特点，营造了生动活泼、洁净素雅、健康文明、催人奋进的良好育人氛围；大力推进“书香校园”进程，以优美的环境氛围，高雅的校园文化，给人以奋进向上的力量，我校有健全的教育阵地，如：宣传栏、黑板报、广播站、团队活动室等。</w:t>
      </w:r>
    </w:p>
    <w:p>
      <w:pPr>
        <w:ind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）认真组织了半期和期末检测，教师认真对待平时的单元检测，做到严考严改，并认真做好检测质量分析，并不断及时改进反思和调整自己的教学。</w:t>
      </w:r>
    </w:p>
    <w:p>
      <w:pPr>
        <w:ind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）加强现代信息技术在素质教育中的作用。要求教师在教学过程中多使用电子白板等多媒体辅助教学手段，进一步提高教师运用现代技术的水平。同时做好电子白板使用登记工作，加强设备的管理与维护保养。</w:t>
      </w:r>
    </w:p>
    <w:p>
      <w:pPr>
        <w:ind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学期开展了许多教学教研活动：骨干教师展示课、新教师公开课；组内教师的研讨课；每次活动都有讨论，有记载，有评价，有总结。通过教学基本功、优质课、案例、论文及各级各类竞赛等评比展示，来提升我校教师业务能力。</w:t>
      </w:r>
    </w:p>
    <w:p>
      <w:pPr>
        <w:ind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确保学生书本及时发放到位，教学办公用品发放到位，平时教学工作中确需的用品在第一时间内保证供应，使教学工作正常开展。各项收费准确无误，认真地做好收费工作，严格遵守财务制度，实行财务公开制度，及时在校内公布。</w:t>
      </w:r>
    </w:p>
    <w:p>
      <w:pPr>
        <w:pStyle w:val="3"/>
        <w:rPr>
          <w:rStyle w:val="15"/>
          <w:b w:val="0"/>
          <w:bCs w:val="0"/>
        </w:rPr>
      </w:pPr>
      <w:bookmarkStart w:id="32" w:name="_Toc31834"/>
      <w:bookmarkStart w:id="33" w:name="_Toc8428"/>
      <w:r>
        <w:rPr>
          <w:rFonts w:hint="eastAsia" w:ascii="黑体" w:eastAsia="黑体"/>
          <w:b w:val="0"/>
          <w:color w:val="000000"/>
        </w:rPr>
        <w:t>二、</w:t>
      </w:r>
      <w:r>
        <w:rPr>
          <w:rFonts w:hint="eastAsia" w:ascii="黑体" w:hAnsi="黑体" w:eastAsia="黑体"/>
          <w:b w:val="0"/>
          <w:color w:val="000000"/>
        </w:rPr>
        <w:t>机</w:t>
      </w:r>
      <w:r>
        <w:rPr>
          <w:rStyle w:val="15"/>
          <w:rFonts w:hint="eastAsia" w:ascii="黑体" w:hAnsi="黑体" w:eastAsia="黑体"/>
          <w:b w:val="0"/>
          <w:bCs w:val="0"/>
        </w:rPr>
        <w:t>构设置</w:t>
      </w:r>
      <w:bookmarkEnd w:id="30"/>
      <w:bookmarkEnd w:id="31"/>
      <w:bookmarkEnd w:id="32"/>
      <w:bookmarkEnd w:id="33"/>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乐山市五通桥区新云乡初级中学</w:t>
      </w:r>
      <w:r>
        <w:rPr>
          <w:rFonts w:hint="eastAsia" w:ascii="仿宋" w:hAnsi="仿宋" w:eastAsia="仿宋" w:cs="仿宋"/>
          <w:sz w:val="32"/>
          <w:szCs w:val="32"/>
        </w:rPr>
        <w:t>属一级预算单位，无下属二级单位。</w:t>
      </w:r>
      <w:r>
        <w:rPr>
          <w:rFonts w:hint="eastAsia" w:ascii="仿宋" w:hAnsi="仿宋" w:eastAsia="仿宋" w:cs="仿宋"/>
          <w:sz w:val="32"/>
          <w:szCs w:val="32"/>
          <w:lang w:eastAsia="zh-CN"/>
        </w:rPr>
        <w:t>乐山市五通桥区新云乡初级中学</w:t>
      </w:r>
      <w:r>
        <w:rPr>
          <w:rFonts w:hint="eastAsia" w:ascii="仿宋" w:hAnsi="仿宋" w:eastAsia="仿宋" w:cs="仿宋"/>
          <w:sz w:val="32"/>
          <w:szCs w:val="32"/>
          <w:lang w:val="en-US" w:eastAsia="zh-CN"/>
        </w:rPr>
        <w:t>年末在职人数14人</w:t>
      </w:r>
      <w:r>
        <w:rPr>
          <w:rFonts w:hint="eastAsia" w:ascii="仿宋" w:hAnsi="仿宋" w:eastAsia="仿宋" w:cs="仿宋"/>
          <w:sz w:val="32"/>
          <w:szCs w:val="32"/>
        </w:rPr>
        <w:t>。</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4"/>
          <w:rFonts w:ascii="黑体" w:hAnsi="黑体" w:eastAsia="黑体"/>
          <w:b w:val="0"/>
          <w:bCs w:val="0"/>
        </w:rPr>
      </w:pPr>
      <w:bookmarkStart w:id="34" w:name="_Toc15377204"/>
      <w:bookmarkStart w:id="35" w:name="_Toc15396602"/>
      <w:bookmarkStart w:id="36" w:name="_Toc23732"/>
      <w:r>
        <w:rPr>
          <w:rFonts w:hint="eastAsia" w:ascii="黑体" w:hAnsi="黑体" w:eastAsia="黑体"/>
          <w:b w:val="0"/>
          <w:color w:val="000000"/>
        </w:rPr>
        <w:t>第二部分</w:t>
      </w:r>
      <w:r>
        <w:rPr>
          <w:rFonts w:ascii="黑体" w:hAnsi="黑体" w:eastAsia="黑体"/>
          <w:color w:val="000000"/>
        </w:rPr>
        <w:t xml:space="preserve"> </w:t>
      </w:r>
      <w:r>
        <w:rPr>
          <w:rStyle w:val="14"/>
          <w:rFonts w:ascii="黑体" w:hAnsi="黑体" w:eastAsia="黑体"/>
          <w:b w:val="0"/>
          <w:bCs w:val="0"/>
        </w:rPr>
        <w:t>2020</w:t>
      </w:r>
      <w:r>
        <w:rPr>
          <w:rStyle w:val="14"/>
          <w:rFonts w:hint="eastAsia" w:ascii="黑体" w:hAnsi="黑体" w:eastAsia="黑体"/>
          <w:b w:val="0"/>
          <w:bCs w:val="0"/>
        </w:rPr>
        <w:t>年度部门决算情况说明</w:t>
      </w:r>
      <w:bookmarkEnd w:id="34"/>
      <w:bookmarkEnd w:id="35"/>
      <w:bookmarkEnd w:id="36"/>
    </w:p>
    <w:p/>
    <w:p>
      <w:pPr>
        <w:pStyle w:val="16"/>
        <w:numPr>
          <w:ilvl w:val="0"/>
          <w:numId w:val="1"/>
        </w:numPr>
        <w:spacing w:line="600" w:lineRule="exact"/>
        <w:ind w:firstLineChars="0"/>
        <w:outlineLvl w:val="1"/>
        <w:rPr>
          <w:rStyle w:val="15"/>
          <w:rFonts w:ascii="黑体" w:hAnsi="黑体" w:eastAsia="黑体"/>
          <w:b w:val="0"/>
        </w:rPr>
      </w:pPr>
      <w:bookmarkStart w:id="37" w:name="_Toc15377205"/>
      <w:bookmarkStart w:id="38" w:name="_Toc30415"/>
      <w:bookmarkStart w:id="39" w:name="_Toc15396603"/>
      <w:r>
        <w:rPr>
          <w:rFonts w:hint="eastAsia" w:ascii="黑体" w:hAnsi="黑体" w:eastAsia="黑体"/>
          <w:color w:val="000000"/>
          <w:sz w:val="32"/>
          <w:szCs w:val="32"/>
        </w:rPr>
        <w:t>收</w:t>
      </w:r>
      <w:r>
        <w:rPr>
          <w:rStyle w:val="15"/>
          <w:rFonts w:hint="eastAsia" w:ascii="黑体" w:hAnsi="黑体" w:eastAsia="黑体"/>
          <w:b w:val="0"/>
        </w:rPr>
        <w:t>入支出决算总体情况说明</w:t>
      </w:r>
      <w:bookmarkEnd w:id="37"/>
      <w:bookmarkEnd w:id="38"/>
      <w:bookmarkEnd w:id="39"/>
    </w:p>
    <w:p>
      <w:pPr>
        <w:spacing w:line="6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年度收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出总计204.84万元，</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出总计</w:t>
      </w:r>
      <w:r>
        <w:rPr>
          <w:rFonts w:hint="eastAsia" w:ascii="仿宋" w:hAnsi="仿宋" w:eastAsia="仿宋"/>
          <w:color w:val="000000"/>
          <w:sz w:val="32"/>
          <w:szCs w:val="32"/>
          <w:lang w:val="en-US" w:eastAsia="zh-CN"/>
        </w:rPr>
        <w:t>195.55万元，各增加9.29万元，增加</w:t>
      </w:r>
      <w:r>
        <w:rPr>
          <w:rFonts w:hint="eastAsia" w:ascii="仿宋" w:hAnsi="仿宋" w:eastAsia="仿宋"/>
          <w:color w:val="000000" w:themeColor="text1"/>
          <w:sz w:val="32"/>
          <w:szCs w:val="32"/>
          <w:lang w:val="en-US" w:eastAsia="zh-CN"/>
          <w14:textFill>
            <w14:solidFill>
              <w14:schemeClr w14:val="tx1"/>
            </w14:solidFill>
          </w14:textFill>
        </w:rPr>
        <w:t>4.75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主要变动原因是</w:t>
      </w:r>
      <w:r>
        <w:rPr>
          <w:rFonts w:hint="eastAsia" w:ascii="仿宋" w:hAnsi="仿宋" w:eastAsia="仿宋"/>
          <w:color w:val="000000"/>
          <w:sz w:val="32"/>
          <w:szCs w:val="32"/>
          <w:highlight w:val="none"/>
          <w:lang w:val="en-US" w:eastAsia="zh-CN"/>
        </w:rPr>
        <w:t>项目投入增加</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410845</wp:posOffset>
            </wp:positionH>
            <wp:positionV relativeFrom="paragraph">
              <wp:posOffset>-3513455</wp:posOffset>
            </wp:positionV>
            <wp:extent cx="5080000" cy="3810000"/>
            <wp:effectExtent l="4445" t="4445" r="8255" b="8255"/>
            <wp:wrapSquare wrapText="bothSides"/>
            <wp:docPr id="7" name="图表 7" descr="7b0a202020202263686172745265734964223a20223431363736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1920" w:firstLineChars="6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spacing w:line="600" w:lineRule="exact"/>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pStyle w:val="16"/>
        <w:numPr>
          <w:ilvl w:val="0"/>
          <w:numId w:val="1"/>
        </w:numPr>
        <w:spacing w:line="600" w:lineRule="exact"/>
        <w:ind w:firstLineChars="0"/>
        <w:outlineLvl w:val="1"/>
        <w:rPr>
          <w:rStyle w:val="15"/>
          <w:rFonts w:ascii="黑体" w:hAnsi="黑体" w:eastAsia="黑体"/>
          <w:b w:val="0"/>
        </w:rPr>
      </w:pPr>
      <w:bookmarkStart w:id="40" w:name="_Toc15396604"/>
      <w:bookmarkStart w:id="41" w:name="_Toc5238"/>
      <w:bookmarkStart w:id="42" w:name="_Toc15377206"/>
      <w:r>
        <w:rPr>
          <w:rFonts w:hint="eastAsia" w:ascii="黑体" w:hAnsi="黑体" w:eastAsia="黑体"/>
          <w:color w:val="000000"/>
          <w:sz w:val="32"/>
          <w:szCs w:val="32"/>
        </w:rPr>
        <w:t>收</w:t>
      </w:r>
      <w:r>
        <w:rPr>
          <w:rStyle w:val="15"/>
          <w:rFonts w:hint="eastAsia" w:ascii="黑体" w:hAnsi="黑体" w:eastAsia="黑体"/>
          <w:b w:val="0"/>
        </w:rPr>
        <w:t>入决算情况说明</w:t>
      </w:r>
      <w:bookmarkEnd w:id="40"/>
      <w:bookmarkEnd w:id="41"/>
      <w:bookmarkEnd w:id="42"/>
    </w:p>
    <w:p>
      <w:pPr>
        <w:spacing w:line="600" w:lineRule="exact"/>
        <w:ind w:firstLine="640" w:firstLineChars="200"/>
        <w:outlineLvl w:val="9"/>
        <w:rPr>
          <w:rFonts w:hint="eastAsia" w:ascii="仿宋" w:hAnsi="仿宋" w:eastAsia="仿宋"/>
          <w:color w:val="000000"/>
          <w:sz w:val="32"/>
          <w:szCs w:val="32"/>
          <w:lang w:eastAsia="zh-CN"/>
        </w:rPr>
      </w:pPr>
      <w:bookmarkStart w:id="43" w:name="_Toc7239"/>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204.84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204.82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99.99</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0.02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0.01</w:t>
      </w:r>
      <w:r>
        <w:rPr>
          <w:rFonts w:ascii="仿宋" w:hAnsi="仿宋" w:eastAsia="仿宋"/>
          <w:color w:val="000000"/>
          <w:sz w:val="32"/>
          <w:szCs w:val="32"/>
        </w:rPr>
        <w:t>%</w:t>
      </w:r>
      <w:r>
        <w:rPr>
          <w:rFonts w:hint="eastAsia" w:ascii="仿宋" w:hAnsi="仿宋" w:eastAsia="仿宋"/>
          <w:color w:val="000000"/>
          <w:sz w:val="32"/>
          <w:szCs w:val="32"/>
        </w:rPr>
        <w:t>。</w:t>
      </w:r>
      <w:bookmarkEnd w:id="43"/>
    </w:p>
    <w:p>
      <w:pPr>
        <w:tabs>
          <w:tab w:val="left" w:pos="2797"/>
        </w:tabs>
        <w:spacing w:line="600" w:lineRule="exact"/>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-43815</wp:posOffset>
            </wp:positionH>
            <wp:positionV relativeFrom="paragraph">
              <wp:posOffset>251460</wp:posOffset>
            </wp:positionV>
            <wp:extent cx="5080000" cy="2992755"/>
            <wp:effectExtent l="4445" t="4445" r="8255" b="1270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1280" w:firstLineChars="4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pStyle w:val="16"/>
        <w:numPr>
          <w:ilvl w:val="0"/>
          <w:numId w:val="1"/>
        </w:numPr>
        <w:spacing w:line="600" w:lineRule="exact"/>
        <w:ind w:firstLineChars="0"/>
        <w:outlineLvl w:val="1"/>
        <w:rPr>
          <w:rStyle w:val="15"/>
          <w:rFonts w:ascii="黑体" w:hAnsi="黑体" w:eastAsia="黑体"/>
          <w:b w:val="0"/>
        </w:rPr>
      </w:pPr>
      <w:bookmarkStart w:id="44" w:name="_Toc15377207"/>
      <w:bookmarkStart w:id="45" w:name="_Toc24398"/>
      <w:bookmarkStart w:id="46" w:name="_Toc15396605"/>
      <w:r>
        <w:rPr>
          <w:rFonts w:hint="eastAsia" w:ascii="黑体" w:hAnsi="黑体" w:eastAsia="黑体"/>
          <w:color w:val="000000"/>
          <w:sz w:val="32"/>
          <w:szCs w:val="32"/>
        </w:rPr>
        <w:t>支</w:t>
      </w:r>
      <w:r>
        <w:rPr>
          <w:rStyle w:val="15"/>
          <w:rFonts w:hint="eastAsia" w:ascii="黑体" w:hAnsi="黑体" w:eastAsia="黑体"/>
          <w:b w:val="0"/>
        </w:rPr>
        <w:t>出决算情况说明</w:t>
      </w:r>
      <w:bookmarkEnd w:id="44"/>
      <w:bookmarkEnd w:id="45"/>
      <w:bookmarkEnd w:id="46"/>
    </w:p>
    <w:p>
      <w:pPr>
        <w:spacing w:line="600" w:lineRule="exact"/>
        <w:ind w:firstLine="640" w:firstLineChars="200"/>
        <w:outlineLvl w:val="9"/>
        <w:rPr>
          <w:rFonts w:hint="eastAsia" w:ascii="仿宋" w:hAnsi="仿宋" w:eastAsia="仿宋"/>
          <w:color w:val="000000"/>
          <w:sz w:val="32"/>
          <w:szCs w:val="32"/>
          <w:lang w:eastAsia="zh-CN"/>
        </w:rPr>
      </w:pPr>
      <w:bookmarkStart w:id="47" w:name="_Toc29496"/>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204.84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195.32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95.35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9.52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4.65</w:t>
      </w:r>
      <w:r>
        <w:rPr>
          <w:rFonts w:ascii="仿宋" w:hAnsi="仿宋" w:eastAsia="仿宋"/>
          <w:color w:val="000000"/>
          <w:sz w:val="32"/>
          <w:szCs w:val="32"/>
        </w:rPr>
        <w:t>%</w:t>
      </w:r>
      <w:r>
        <w:rPr>
          <w:rFonts w:hint="eastAsia" w:ascii="仿宋" w:hAnsi="仿宋" w:eastAsia="仿宋"/>
          <w:color w:val="000000"/>
          <w:sz w:val="32"/>
          <w:szCs w:val="32"/>
          <w:lang w:eastAsia="zh-CN"/>
        </w:rPr>
        <w:t>。</w:t>
      </w:r>
      <w:bookmarkEnd w:id="47"/>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olor w:val="000000"/>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410845</wp:posOffset>
            </wp:positionH>
            <wp:positionV relativeFrom="paragraph">
              <wp:posOffset>49530</wp:posOffset>
            </wp:positionV>
            <wp:extent cx="4524375" cy="3676015"/>
            <wp:effectExtent l="4445" t="4445" r="5080" b="1524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hint="eastAsia" w:ascii="仿宋" w:hAnsi="仿宋" w:eastAsia="仿宋"/>
          <w:color w:val="000000"/>
          <w:sz w:val="32"/>
          <w:szCs w:val="32"/>
          <w:shd w:val="pct10" w:color="auto" w:fill="FFFFFF"/>
          <w:lang w:eastAsia="zh-CN"/>
        </w:rPr>
      </w:pPr>
    </w:p>
    <w:p>
      <w:pPr>
        <w:spacing w:line="600" w:lineRule="exact"/>
        <w:ind w:firstLine="2240" w:firstLineChars="7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1280" w:firstLineChars="400"/>
        <w:rPr>
          <w:rFonts w:hint="eastAsia" w:ascii="仿宋" w:hAnsi="仿宋" w:eastAsia="仿宋"/>
          <w:color w:val="000000"/>
          <w:sz w:val="32"/>
          <w:szCs w:val="32"/>
        </w:rPr>
      </w:pPr>
    </w:p>
    <w:p>
      <w:pPr>
        <w:spacing w:line="600" w:lineRule="exact"/>
        <w:ind w:firstLine="1280" w:firstLineChars="400"/>
        <w:rPr>
          <w:rFonts w:hint="eastAsia" w:ascii="仿宋" w:hAnsi="仿宋" w:eastAsia="仿宋"/>
          <w:color w:val="000000"/>
          <w:sz w:val="32"/>
          <w:szCs w:val="32"/>
        </w:rPr>
      </w:pPr>
    </w:p>
    <w:p>
      <w:pPr>
        <w:spacing w:line="600" w:lineRule="exact"/>
        <w:ind w:firstLine="1280" w:firstLineChars="400"/>
        <w:rPr>
          <w:rFonts w:hint="eastAsia" w:ascii="仿宋" w:hAnsi="仿宋" w:eastAsia="仿宋"/>
          <w:color w:val="000000"/>
          <w:sz w:val="32"/>
          <w:szCs w:val="32"/>
        </w:rPr>
      </w:pPr>
    </w:p>
    <w:p>
      <w:pPr>
        <w:spacing w:line="600" w:lineRule="exact"/>
        <w:ind w:firstLine="640" w:firstLineChars="200"/>
        <w:outlineLvl w:val="1"/>
        <w:rPr>
          <w:rStyle w:val="15"/>
          <w:rFonts w:ascii="黑体" w:hAnsi="黑体" w:eastAsia="黑体"/>
          <w:b w:val="0"/>
        </w:rPr>
      </w:pPr>
      <w:bookmarkStart w:id="48" w:name="_Toc15396606"/>
      <w:bookmarkStart w:id="49" w:name="_Toc7246"/>
      <w:bookmarkStart w:id="50" w:name="_Toc15377208"/>
      <w:r>
        <w:rPr>
          <w:rFonts w:hint="eastAsia" w:ascii="黑体" w:hAnsi="黑体" w:eastAsia="黑体"/>
          <w:color w:val="000000"/>
          <w:sz w:val="32"/>
          <w:szCs w:val="32"/>
        </w:rPr>
        <w:t>四、财</w:t>
      </w:r>
      <w:r>
        <w:rPr>
          <w:rStyle w:val="15"/>
          <w:rFonts w:hint="eastAsia" w:ascii="黑体" w:hAnsi="黑体" w:eastAsia="黑体"/>
          <w:b w:val="0"/>
        </w:rPr>
        <w:t>政拨款收入支出决算总体情况说明</w:t>
      </w:r>
      <w:bookmarkEnd w:id="48"/>
      <w:bookmarkEnd w:id="49"/>
      <w:bookmarkEnd w:id="50"/>
    </w:p>
    <w:p>
      <w:pPr>
        <w:spacing w:line="600" w:lineRule="exact"/>
        <w:ind w:firstLine="640"/>
        <w:rPr>
          <w:rFonts w:hint="eastAsia"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出总计204.82</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出总计</w:t>
      </w:r>
      <w:r>
        <w:rPr>
          <w:rFonts w:hint="eastAsia" w:ascii="仿宋" w:hAnsi="仿宋" w:eastAsia="仿宋"/>
          <w:color w:val="000000"/>
          <w:sz w:val="32"/>
          <w:szCs w:val="32"/>
          <w:lang w:val="en-US" w:eastAsia="zh-CN"/>
        </w:rPr>
        <w:t>195.53万元，各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9.29万元，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4.75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highlight w:val="none"/>
          <w14:textFill>
            <w14:solidFill>
              <w14:schemeClr w14:val="tx1"/>
            </w14:solidFill>
          </w14:textFill>
        </w:rPr>
        <w:t>主要变动原因是</w:t>
      </w:r>
      <w:r>
        <w:rPr>
          <w:rFonts w:hint="eastAsia" w:ascii="仿宋" w:hAnsi="仿宋" w:eastAsia="仿宋"/>
          <w:color w:val="000000"/>
          <w:sz w:val="32"/>
          <w:szCs w:val="32"/>
          <w:highlight w:val="none"/>
          <w:lang w:val="en-US" w:eastAsia="zh-CN"/>
        </w:rPr>
        <w:t>项目投入增加</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spacing w:line="600" w:lineRule="exact"/>
        <w:rPr>
          <w:rFonts w:ascii="仿宋" w:hAnsi="仿宋" w:eastAsia="仿宋"/>
          <w:color w:val="000000"/>
          <w:sz w:val="32"/>
          <w:szCs w:val="32"/>
          <w:highlight w:val="none"/>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90170</wp:posOffset>
            </wp:positionH>
            <wp:positionV relativeFrom="paragraph">
              <wp:posOffset>80645</wp:posOffset>
            </wp:positionV>
            <wp:extent cx="5080000" cy="3810000"/>
            <wp:effectExtent l="4445" t="4445" r="8255" b="825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15"/>
          <w:rFonts w:ascii="黑体" w:hAnsi="黑体" w:eastAsia="黑体"/>
          <w:b w:val="0"/>
        </w:rPr>
      </w:pPr>
      <w:bookmarkStart w:id="51" w:name="_Toc15396607"/>
      <w:bookmarkStart w:id="52" w:name="_Toc12775"/>
      <w:bookmarkStart w:id="5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5"/>
          <w:rFonts w:hint="eastAsia" w:ascii="黑体" w:hAnsi="黑体" w:eastAsia="黑体"/>
          <w:b w:val="0"/>
        </w:rPr>
        <w:t>般公共预算财政拨款支出决算情况说明</w:t>
      </w:r>
      <w:bookmarkEnd w:id="51"/>
      <w:bookmarkEnd w:id="52"/>
      <w:bookmarkEnd w:id="53"/>
    </w:p>
    <w:p>
      <w:pPr>
        <w:spacing w:line="600" w:lineRule="exact"/>
        <w:ind w:firstLine="643" w:firstLineChars="200"/>
        <w:outlineLvl w:val="9"/>
        <w:rPr>
          <w:rFonts w:ascii="仿宋" w:hAnsi="仿宋" w:eastAsia="仿宋"/>
          <w:b/>
          <w:color w:val="000000"/>
          <w:sz w:val="32"/>
          <w:szCs w:val="32"/>
        </w:rPr>
      </w:pPr>
      <w:bookmarkStart w:id="54" w:name="_Toc15377210"/>
      <w:bookmarkStart w:id="55" w:name="_Toc20289"/>
      <w:r>
        <w:rPr>
          <w:rFonts w:hint="eastAsia" w:ascii="仿宋" w:hAnsi="仿宋" w:eastAsia="仿宋"/>
          <w:b/>
          <w:color w:val="000000"/>
          <w:sz w:val="32"/>
          <w:szCs w:val="32"/>
        </w:rPr>
        <w:t>（一）一般公共预算财政拨款支出决算总体情况</w:t>
      </w:r>
      <w:bookmarkEnd w:id="54"/>
      <w:bookmarkEnd w:id="55"/>
    </w:p>
    <w:p>
      <w:pPr>
        <w:spacing w:line="6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204.82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99.99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9.29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4.75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highlight w:val="none"/>
          <w14:textFill>
            <w14:solidFill>
              <w14:schemeClr w14:val="tx1"/>
            </w14:solidFill>
          </w14:textFill>
        </w:rPr>
        <w:t>主要变动原因是</w:t>
      </w:r>
      <w:r>
        <w:rPr>
          <w:rFonts w:hint="eastAsia" w:ascii="仿宋" w:hAnsi="仿宋" w:eastAsia="仿宋"/>
          <w:color w:val="000000"/>
          <w:sz w:val="32"/>
          <w:szCs w:val="32"/>
          <w:highlight w:val="none"/>
          <w:lang w:val="en-US" w:eastAsia="zh-CN"/>
        </w:rPr>
        <w:t>项目投入增加</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287020</wp:posOffset>
            </wp:positionH>
            <wp:positionV relativeFrom="paragraph">
              <wp:posOffset>-14605</wp:posOffset>
            </wp:positionV>
            <wp:extent cx="4365625" cy="3095625"/>
            <wp:effectExtent l="4445" t="4445" r="11430" b="1143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3" w:firstLineChars="200"/>
        <w:outlineLvl w:val="9"/>
        <w:rPr>
          <w:rFonts w:ascii="仿宋" w:hAnsi="仿宋" w:eastAsia="仿宋"/>
          <w:b/>
          <w:color w:val="000000"/>
          <w:sz w:val="32"/>
          <w:szCs w:val="32"/>
        </w:rPr>
      </w:pPr>
      <w:bookmarkStart w:id="56" w:name="_Toc13117"/>
      <w:bookmarkStart w:id="57" w:name="_Toc15377211"/>
      <w:r>
        <w:rPr>
          <w:rFonts w:hint="eastAsia" w:ascii="仿宋" w:hAnsi="仿宋" w:eastAsia="仿宋"/>
          <w:b/>
          <w:color w:val="000000"/>
          <w:sz w:val="32"/>
          <w:szCs w:val="32"/>
        </w:rPr>
        <w:t>（二）一般公共预算财政拨款支出决算结构情况</w:t>
      </w:r>
      <w:bookmarkEnd w:id="56"/>
      <w:bookmarkEnd w:id="57"/>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204.82</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149.51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社会保障和就业支出（类）</w:t>
      </w:r>
      <w:r>
        <w:rPr>
          <w:rFonts w:hint="eastAsia" w:ascii="仿宋" w:hAnsi="仿宋" w:eastAsia="仿宋"/>
          <w:color w:val="000000"/>
          <w:sz w:val="32"/>
          <w:szCs w:val="32"/>
          <w:lang w:val="en-US" w:eastAsia="zh-CN"/>
        </w:rPr>
        <w:t>32.3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15.77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lang w:val="en-US" w:eastAsia="zh-CN"/>
        </w:rPr>
        <w:t>7.02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3.42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auto"/>
          <w:sz w:val="32"/>
          <w:szCs w:val="32"/>
        </w:rPr>
        <w:t>住房保障</w:t>
      </w:r>
      <w:r>
        <w:rPr>
          <w:rFonts w:hint="eastAsia" w:ascii="仿宋" w:hAnsi="仿宋" w:eastAsia="仿宋"/>
          <w:b/>
          <w:bCs/>
          <w:color w:val="000000"/>
          <w:sz w:val="32"/>
          <w:szCs w:val="32"/>
        </w:rPr>
        <w:t>支出</w:t>
      </w:r>
      <w:r>
        <w:rPr>
          <w:rFonts w:hint="eastAsia" w:ascii="仿宋" w:hAnsi="仿宋" w:eastAsia="仿宋"/>
          <w:color w:val="000000"/>
          <w:sz w:val="32"/>
          <w:szCs w:val="32"/>
          <w:lang w:val="en-US" w:eastAsia="zh-CN"/>
        </w:rPr>
        <w:t>15.99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7.81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5408" behindDoc="0" locked="0" layoutInCell="1" allowOverlap="1">
            <wp:simplePos x="0" y="0"/>
            <wp:positionH relativeFrom="column">
              <wp:posOffset>476250</wp:posOffset>
            </wp:positionH>
            <wp:positionV relativeFrom="paragraph">
              <wp:posOffset>-19685</wp:posOffset>
            </wp:positionV>
            <wp:extent cx="4254500" cy="2956560"/>
            <wp:effectExtent l="4445" t="4445" r="8255" b="1079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600" w:lineRule="exact"/>
        <w:ind w:firstLine="643" w:firstLineChars="200"/>
        <w:outlineLvl w:val="9"/>
        <w:rPr>
          <w:rFonts w:ascii="仿宋" w:hAnsi="仿宋" w:eastAsia="仿宋"/>
          <w:b/>
          <w:color w:val="000000"/>
          <w:sz w:val="32"/>
          <w:szCs w:val="32"/>
        </w:rPr>
      </w:pPr>
      <w:bookmarkStart w:id="58" w:name="_Toc15377212"/>
      <w:bookmarkStart w:id="59" w:name="_Toc16048"/>
      <w:r>
        <w:rPr>
          <w:rFonts w:hint="eastAsia" w:ascii="仿宋" w:hAnsi="仿宋" w:eastAsia="仿宋"/>
          <w:b/>
          <w:color w:val="000000"/>
          <w:sz w:val="32"/>
          <w:szCs w:val="32"/>
        </w:rPr>
        <w:t>（三）一般公共预算财政拨款支出决算具体情况</w:t>
      </w:r>
      <w:bookmarkEnd w:id="58"/>
      <w:bookmarkEnd w:id="59"/>
    </w:p>
    <w:p>
      <w:pPr>
        <w:spacing w:line="600" w:lineRule="exact"/>
        <w:ind w:firstLine="643" w:firstLineChars="200"/>
        <w:outlineLvl w:val="9"/>
        <w:rPr>
          <w:rFonts w:ascii="仿宋" w:hAnsi="仿宋" w:eastAsia="仿宋"/>
          <w:color w:val="FF0000"/>
          <w:sz w:val="32"/>
          <w:szCs w:val="32"/>
        </w:rPr>
      </w:pPr>
      <w:bookmarkStart w:id="60" w:name="_Toc28372"/>
      <w:bookmarkStart w:id="61" w:name="_Toc15377444"/>
      <w:bookmarkStart w:id="62" w:name="_Toc15377213"/>
      <w:bookmarkStart w:id="63" w:name="_Toc15378460"/>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color w:val="000000"/>
          <w:sz w:val="32"/>
          <w:szCs w:val="32"/>
          <w:lang w:val="en-US" w:eastAsia="zh-CN"/>
        </w:rPr>
        <w:t>204.82</w:t>
      </w:r>
      <w:r>
        <w:rPr>
          <w:rFonts w:hint="eastAsia" w:ascii="仿宋" w:hAnsi="仿宋" w:eastAsia="仿宋"/>
          <w:color w:val="000000"/>
          <w:sz w:val="32"/>
          <w:szCs w:val="32"/>
        </w:rPr>
        <w:t>，</w:t>
      </w:r>
      <w:r>
        <w:rPr>
          <w:rStyle w:val="12"/>
          <w:rFonts w:hint="eastAsia" w:ascii="仿宋" w:hAnsi="仿宋" w:eastAsia="仿宋"/>
          <w:bCs/>
          <w:color w:val="000000"/>
          <w:sz w:val="32"/>
          <w:szCs w:val="32"/>
        </w:rPr>
        <w:t>完成预算</w:t>
      </w:r>
      <w:r>
        <w:rPr>
          <w:rStyle w:val="12"/>
          <w:rFonts w:hint="eastAsia" w:ascii="仿宋" w:hAnsi="仿宋" w:eastAsia="仿宋"/>
          <w:bCs/>
          <w:color w:val="000000"/>
          <w:sz w:val="32"/>
          <w:szCs w:val="32"/>
          <w:lang w:val="en-US" w:eastAsia="zh-CN"/>
        </w:rPr>
        <w:t>100</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。其中：</w:t>
      </w:r>
      <w:bookmarkEnd w:id="60"/>
      <w:bookmarkEnd w:id="61"/>
      <w:bookmarkEnd w:id="62"/>
      <w:bookmarkEnd w:id="63"/>
    </w:p>
    <w:p>
      <w:pPr>
        <w:spacing w:line="600" w:lineRule="exact"/>
        <w:ind w:firstLine="643" w:firstLineChars="200"/>
        <w:rPr>
          <w:rFonts w:ascii="仿宋" w:hAnsi="仿宋" w:eastAsia="仿宋"/>
          <w:b/>
          <w:color w:val="000000"/>
          <w:sz w:val="32"/>
          <w:szCs w:val="32"/>
        </w:rPr>
      </w:pPr>
      <w:r>
        <w:rPr>
          <w:rStyle w:val="12"/>
          <w:rFonts w:ascii="仿宋" w:hAnsi="仿宋" w:eastAsia="仿宋"/>
          <w:bCs/>
          <w:color w:val="000000"/>
          <w:sz w:val="32"/>
          <w:szCs w:val="32"/>
        </w:rPr>
        <w:t>1.</w:t>
      </w:r>
      <w:r>
        <w:rPr>
          <w:rStyle w:val="12"/>
          <w:rFonts w:hint="eastAsia" w:ascii="仿宋" w:hAnsi="仿宋" w:eastAsia="仿宋"/>
          <w:bCs/>
          <w:color w:val="000000"/>
          <w:sz w:val="32"/>
          <w:szCs w:val="32"/>
        </w:rPr>
        <w:t>教育支出（类）普通教育（款）</w:t>
      </w:r>
      <w:r>
        <w:rPr>
          <w:rStyle w:val="12"/>
          <w:rFonts w:hint="eastAsia" w:ascii="仿宋" w:hAnsi="仿宋" w:eastAsia="仿宋"/>
          <w:bCs/>
          <w:color w:val="000000"/>
          <w:sz w:val="32"/>
          <w:szCs w:val="32"/>
          <w:lang w:eastAsia="zh-CN"/>
        </w:rPr>
        <w:t>初中</w:t>
      </w:r>
      <w:r>
        <w:rPr>
          <w:rStyle w:val="12"/>
          <w:rFonts w:hint="eastAsia" w:ascii="仿宋" w:hAnsi="仿宋" w:eastAsia="仿宋"/>
          <w:bCs/>
          <w:color w:val="000000"/>
          <w:sz w:val="32"/>
          <w:szCs w:val="32"/>
        </w:rPr>
        <w:t>教育（项）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149.51</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2</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社会保障和就业支出（类）行政事业单位养老支出（款）机关事业单位基本养老保险缴费支出（项）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18.13</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3</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社会保障和就业支出（类）行政事业单位养老支出（款）机关事业单位职业年金缴费支出（项）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9.06</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4</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社会保障和就业支出（类）行政事业单位养老支出（款）其他行政事业单位养老支出（项）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5.11</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5</w:t>
      </w:r>
      <w:r>
        <w:rPr>
          <w:rStyle w:val="12"/>
          <w:rFonts w:ascii="仿宋" w:hAnsi="仿宋" w:eastAsia="仿宋"/>
          <w:bCs/>
          <w:color w:val="000000"/>
          <w:sz w:val="32"/>
          <w:szCs w:val="32"/>
        </w:rPr>
        <w:t>.</w:t>
      </w:r>
      <w:r>
        <w:rPr>
          <w:rFonts w:hint="eastAsia" w:ascii="仿宋" w:hAnsi="仿宋" w:eastAsia="仿宋"/>
          <w:b/>
          <w:bCs/>
          <w:color w:val="000000"/>
          <w:sz w:val="32"/>
          <w:szCs w:val="32"/>
        </w:rPr>
        <w:t>卫生健康</w:t>
      </w:r>
      <w:r>
        <w:rPr>
          <w:rStyle w:val="12"/>
          <w:rFonts w:hint="eastAsia" w:ascii="仿宋" w:hAnsi="仿宋" w:eastAsia="仿宋"/>
          <w:bCs/>
          <w:color w:val="000000"/>
          <w:sz w:val="32"/>
          <w:szCs w:val="32"/>
        </w:rPr>
        <w:t>（类）行政事业单位医疗（款）事业单位医疗（项）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7.02</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hint="eastAsia" w:ascii="仿宋" w:hAnsi="仿宋" w:eastAsia="仿宋"/>
          <w:b/>
          <w:color w:val="FF0000"/>
          <w:sz w:val="32"/>
          <w:szCs w:val="32"/>
        </w:rPr>
      </w:pPr>
      <w:r>
        <w:rPr>
          <w:rStyle w:val="12"/>
          <w:rFonts w:hint="eastAsia" w:ascii="仿宋" w:hAnsi="仿宋" w:eastAsia="仿宋"/>
          <w:bCs/>
          <w:color w:val="000000"/>
          <w:sz w:val="32"/>
          <w:szCs w:val="32"/>
          <w:lang w:val="en-US" w:eastAsia="zh-CN"/>
        </w:rPr>
        <w:t>6</w:t>
      </w:r>
      <w:r>
        <w:rPr>
          <w:rStyle w:val="12"/>
          <w:rFonts w:ascii="仿宋" w:hAnsi="仿宋" w:eastAsia="仿宋"/>
          <w:bCs/>
          <w:color w:val="000000"/>
          <w:sz w:val="32"/>
          <w:szCs w:val="32"/>
        </w:rPr>
        <w:t>.</w:t>
      </w:r>
      <w:r>
        <w:rPr>
          <w:rFonts w:hint="eastAsia" w:ascii="仿宋" w:hAnsi="仿宋" w:eastAsia="仿宋"/>
          <w:b/>
          <w:bCs/>
          <w:color w:val="000000"/>
          <w:sz w:val="32"/>
          <w:szCs w:val="32"/>
        </w:rPr>
        <w:t>住房保障支出</w:t>
      </w:r>
      <w:r>
        <w:rPr>
          <w:rStyle w:val="12"/>
          <w:rFonts w:hint="eastAsia" w:ascii="仿宋" w:hAnsi="仿宋" w:eastAsia="仿宋"/>
          <w:bCs/>
          <w:color w:val="000000"/>
          <w:sz w:val="32"/>
          <w:szCs w:val="32"/>
        </w:rPr>
        <w:t>（类）住房改革支出</w:t>
      </w:r>
      <w:r>
        <w:rPr>
          <w:rStyle w:val="12"/>
          <w:rFonts w:hint="eastAsia" w:ascii="仿宋" w:hAnsi="仿宋" w:eastAsia="仿宋"/>
          <w:bCs/>
          <w:color w:val="000000"/>
          <w:sz w:val="32"/>
          <w:szCs w:val="32"/>
          <w:lang w:eastAsia="zh-CN"/>
        </w:rPr>
        <w:t>（</w:t>
      </w:r>
      <w:r>
        <w:rPr>
          <w:rStyle w:val="12"/>
          <w:rFonts w:hint="eastAsia" w:ascii="仿宋" w:hAnsi="仿宋" w:eastAsia="仿宋"/>
          <w:bCs/>
          <w:color w:val="000000"/>
          <w:sz w:val="32"/>
          <w:szCs w:val="32"/>
        </w:rPr>
        <w:t>款）住房公积金（项）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15.99</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tabs>
          <w:tab w:val="right" w:pos="8306"/>
        </w:tabs>
        <w:spacing w:line="600" w:lineRule="exact"/>
        <w:ind w:firstLine="640"/>
        <w:outlineLvl w:val="1"/>
        <w:rPr>
          <w:rStyle w:val="15"/>
        </w:rPr>
      </w:pPr>
      <w:bookmarkStart w:id="64" w:name="_Toc15396608"/>
      <w:bookmarkStart w:id="65" w:name="_Toc15377214"/>
      <w:bookmarkStart w:id="66" w:name="_Toc23489"/>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5"/>
          <w:rFonts w:hint="eastAsia" w:ascii="黑体" w:hAnsi="黑体" w:eastAsia="黑体"/>
          <w:b w:val="0"/>
        </w:rPr>
        <w:t>般公共预算财政拨款基本支出决算情况说明</w:t>
      </w:r>
      <w:bookmarkEnd w:id="64"/>
      <w:bookmarkEnd w:id="65"/>
      <w:bookmarkEnd w:id="66"/>
      <w:r>
        <w:rPr>
          <w:rStyle w:val="1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195.32</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189.82</w:t>
      </w:r>
      <w:r>
        <w:rPr>
          <w:rFonts w:hint="eastAsia" w:ascii="仿宋" w:hAnsi="仿宋" w:eastAsia="仿宋"/>
          <w:color w:val="000000"/>
          <w:sz w:val="32"/>
          <w:szCs w:val="32"/>
        </w:rPr>
        <w:t>万元，主要包括：基本工资、津贴补贴、绩效工资、机关事业单位基本养老保险缴费、职业年金缴费、职工基本医疗保险缴费</w:t>
      </w:r>
      <w:r>
        <w:rPr>
          <w:rFonts w:hint="eastAsia" w:ascii="仿宋" w:hAnsi="仿宋" w:eastAsia="仿宋"/>
          <w:color w:val="000000"/>
          <w:sz w:val="32"/>
          <w:szCs w:val="32"/>
          <w:lang w:eastAsia="zh-CN"/>
        </w:rPr>
        <w:t>、其他社会保障缴费、</w:t>
      </w:r>
      <w:r>
        <w:rPr>
          <w:rFonts w:hint="eastAsia" w:ascii="仿宋" w:hAnsi="仿宋" w:eastAsia="仿宋"/>
          <w:color w:val="000000"/>
          <w:sz w:val="32"/>
          <w:szCs w:val="32"/>
        </w:rPr>
        <w:t>住房公积金、其他工资福利支出</w:t>
      </w:r>
      <w:r>
        <w:rPr>
          <w:rFonts w:hint="eastAsia" w:ascii="仿宋" w:hAnsi="仿宋" w:eastAsia="仿宋"/>
          <w:color w:val="000000"/>
          <w:sz w:val="32"/>
          <w:szCs w:val="32"/>
          <w:lang w:eastAsia="zh-CN"/>
        </w:rPr>
        <w:t>、</w:t>
      </w:r>
      <w:r>
        <w:rPr>
          <w:rFonts w:hint="eastAsia" w:ascii="仿宋" w:hAnsi="仿宋" w:eastAsia="仿宋"/>
          <w:color w:val="000000"/>
          <w:sz w:val="32"/>
          <w:szCs w:val="32"/>
        </w:rPr>
        <w:t>生活补助等。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5.5</w:t>
      </w:r>
      <w:r>
        <w:rPr>
          <w:rFonts w:hint="eastAsia" w:ascii="仿宋" w:hAnsi="仿宋" w:eastAsia="仿宋"/>
          <w:color w:val="000000"/>
          <w:sz w:val="32"/>
          <w:szCs w:val="32"/>
        </w:rPr>
        <w:t>万元，主要包括：工会经费、福利费等。</w:t>
      </w:r>
    </w:p>
    <w:p>
      <w:pPr>
        <w:spacing w:line="600" w:lineRule="exact"/>
        <w:ind w:firstLine="640"/>
        <w:outlineLvl w:val="1"/>
        <w:rPr>
          <w:rStyle w:val="15"/>
          <w:rFonts w:ascii="黑体" w:hAnsi="黑体" w:eastAsia="黑体"/>
          <w:b w:val="0"/>
        </w:rPr>
      </w:pPr>
      <w:bookmarkStart w:id="67" w:name="_Toc27895"/>
      <w:bookmarkStart w:id="68" w:name="_Toc15396609"/>
      <w:bookmarkStart w:id="69" w:name="_Toc15377215"/>
      <w:r>
        <w:rPr>
          <w:rFonts w:hint="eastAsia" w:ascii="黑体" w:eastAsia="黑体"/>
          <w:color w:val="000000"/>
          <w:sz w:val="32"/>
          <w:szCs w:val="32"/>
        </w:rPr>
        <w:t>七、</w:t>
      </w:r>
      <w:r>
        <w:rPr>
          <w:rStyle w:val="15"/>
          <w:rFonts w:hint="eastAsia" w:ascii="黑体" w:hAnsi="黑体" w:eastAsia="黑体"/>
        </w:rPr>
        <w:t>“</w:t>
      </w:r>
      <w:r>
        <w:rPr>
          <w:rStyle w:val="15"/>
          <w:rFonts w:hint="eastAsia" w:ascii="黑体" w:hAnsi="黑体" w:eastAsia="黑体"/>
          <w:b w:val="0"/>
        </w:rPr>
        <w:t>三公”经费财政拨款支出决算情况说明</w:t>
      </w:r>
      <w:bookmarkEnd w:id="67"/>
      <w:bookmarkEnd w:id="68"/>
      <w:bookmarkEnd w:id="69"/>
    </w:p>
    <w:p>
      <w:pPr>
        <w:spacing w:line="600" w:lineRule="exact"/>
        <w:ind w:firstLine="640"/>
        <w:outlineLvl w:val="9"/>
        <w:rPr>
          <w:rFonts w:ascii="仿宋" w:hAnsi="仿宋" w:eastAsia="仿宋"/>
          <w:b/>
          <w:color w:val="000000"/>
          <w:sz w:val="32"/>
          <w:szCs w:val="32"/>
        </w:rPr>
      </w:pPr>
      <w:bookmarkStart w:id="70" w:name="_Toc26822"/>
      <w:bookmarkStart w:id="71" w:name="_Toc15377216"/>
      <w:r>
        <w:rPr>
          <w:rFonts w:hint="eastAsia" w:ascii="仿宋" w:hAnsi="仿宋" w:eastAsia="仿宋"/>
          <w:b/>
          <w:color w:val="000000"/>
          <w:sz w:val="32"/>
          <w:szCs w:val="32"/>
        </w:rPr>
        <w:t>（一）“三公”经费财政拨款支出决算总体情况说明</w:t>
      </w:r>
      <w:bookmarkEnd w:id="70"/>
      <w:bookmarkEnd w:id="71"/>
    </w:p>
    <w:p>
      <w:pPr>
        <w:spacing w:line="600" w:lineRule="exact"/>
        <w:ind w:firstLine="640"/>
        <w:rPr>
          <w:rFonts w:hint="default"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0万</w:t>
      </w:r>
      <w:r>
        <w:rPr>
          <w:rFonts w:hint="eastAsia" w:ascii="仿宋" w:hAnsi="仿宋" w:eastAsia="仿宋"/>
          <w:color w:val="000000"/>
          <w:sz w:val="32"/>
          <w:szCs w:val="32"/>
        </w:rPr>
        <w:t>元，完成预算</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9"/>
        <w:rPr>
          <w:rFonts w:ascii="仿宋" w:hAnsi="仿宋" w:eastAsia="仿宋"/>
          <w:b/>
          <w:color w:val="000000"/>
          <w:sz w:val="32"/>
          <w:szCs w:val="32"/>
        </w:rPr>
      </w:pPr>
      <w:bookmarkStart w:id="72" w:name="_Toc15377217"/>
      <w:bookmarkStart w:id="73" w:name="_Toc26414"/>
      <w:r>
        <w:rPr>
          <w:rFonts w:hint="eastAsia" w:ascii="仿宋" w:hAnsi="仿宋" w:eastAsia="仿宋"/>
          <w:b/>
          <w:color w:val="000000"/>
          <w:sz w:val="32"/>
          <w:szCs w:val="32"/>
        </w:rPr>
        <w:t>（二）“三公”经费财政拨款支出决算具体情况说明</w:t>
      </w:r>
      <w:bookmarkEnd w:id="72"/>
      <w:bookmarkEnd w:id="73"/>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w:t>
      </w:r>
    </w:p>
    <w:p>
      <w:pPr>
        <w:spacing w:line="600" w:lineRule="exact"/>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1.因公出国（境）经费支出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2.公务用车购置及运行维护费支出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b/>
          <w:color w:val="000000"/>
          <w:sz w:val="32"/>
          <w:szCs w:val="32"/>
        </w:rPr>
        <w:t>3.公务接待费支出</w:t>
      </w:r>
      <w:r>
        <w:rPr>
          <w:rFonts w:hint="eastAsia" w:ascii="仿宋" w:hAnsi="仿宋" w:eastAsia="仿宋" w:cs="仿宋"/>
          <w:b w:val="0"/>
          <w:bCs/>
          <w:color w:val="000000"/>
          <w:sz w:val="32"/>
          <w:szCs w:val="32"/>
          <w:lang w:val="en-US" w:eastAsia="zh-CN"/>
        </w:rPr>
        <w:t>0</w:t>
      </w:r>
      <w:r>
        <w:rPr>
          <w:rFonts w:hint="eastAsia" w:ascii="仿宋" w:hAnsi="仿宋" w:eastAsia="仿宋" w:cs="仿宋"/>
          <w:color w:val="000000"/>
          <w:sz w:val="32"/>
          <w:szCs w:val="32"/>
        </w:rPr>
        <w:t>万元，</w:t>
      </w:r>
      <w:r>
        <w:rPr>
          <w:rStyle w:val="12"/>
          <w:rFonts w:hint="eastAsia" w:ascii="仿宋" w:hAnsi="仿宋" w:eastAsia="仿宋" w:cs="仿宋"/>
          <w:b w:val="0"/>
          <w:bCs/>
          <w:color w:val="000000"/>
          <w:sz w:val="32"/>
          <w:szCs w:val="32"/>
        </w:rPr>
        <w:t>完成预算</w:t>
      </w:r>
      <w:r>
        <w:rPr>
          <w:rStyle w:val="12"/>
          <w:rFonts w:hint="eastAsia" w:ascii="仿宋" w:hAnsi="仿宋" w:eastAsia="仿宋" w:cs="仿宋"/>
          <w:b w:val="0"/>
          <w:bCs/>
          <w:color w:val="000000"/>
          <w:sz w:val="32"/>
          <w:szCs w:val="32"/>
          <w:lang w:val="en-US" w:eastAsia="zh-CN"/>
        </w:rPr>
        <w:t>0</w:t>
      </w:r>
      <w:r>
        <w:rPr>
          <w:rStyle w:val="12"/>
          <w:rFonts w:hint="eastAsia" w:ascii="仿宋" w:hAnsi="仿宋" w:eastAsia="仿宋" w:cs="仿宋"/>
          <w:b w:val="0"/>
          <w:bCs/>
          <w:color w:val="000000"/>
          <w:sz w:val="32"/>
          <w:szCs w:val="32"/>
        </w:rPr>
        <w:t>%。</w:t>
      </w:r>
      <w:r>
        <w:rPr>
          <w:rFonts w:hint="eastAsia" w:ascii="仿宋" w:hAnsi="仿宋" w:eastAsia="仿宋" w:cs="仿宋"/>
          <w:color w:val="000000"/>
          <w:sz w:val="32"/>
          <w:szCs w:val="32"/>
        </w:rPr>
        <w:t>公务接待费支出决算比2019年减少</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万元，下降</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其中：</w:t>
      </w:r>
    </w:p>
    <w:p>
      <w:pPr>
        <w:spacing w:line="600" w:lineRule="exact"/>
        <w:ind w:firstLine="640"/>
        <w:rPr>
          <w:rFonts w:hint="eastAsia" w:ascii="仿宋" w:hAnsi="仿宋" w:eastAsia="仿宋" w:cs="仿宋"/>
          <w:color w:val="auto"/>
          <w:sz w:val="32"/>
          <w:szCs w:val="32"/>
        </w:rPr>
      </w:pPr>
      <w:r>
        <w:rPr>
          <w:rFonts w:hint="eastAsia" w:ascii="仿宋" w:hAnsi="仿宋" w:eastAsia="仿宋" w:cs="仿宋"/>
          <w:b/>
          <w:color w:val="000000"/>
          <w:sz w:val="32"/>
          <w:szCs w:val="32"/>
        </w:rPr>
        <w:t>国内公务接待支出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万元，主要用于执行公务、开展业务活动开支的交通费、住宿费、用餐费等。国内公务接待</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批次，</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人次（不包括陪同人员），共计支出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万元，具体内容包括：</w:t>
      </w:r>
      <w:r>
        <w:rPr>
          <w:rFonts w:hint="eastAsia" w:ascii="仿宋" w:hAnsi="仿宋" w:eastAsia="仿宋" w:cs="仿宋"/>
          <w:color w:val="auto"/>
          <w:sz w:val="32"/>
          <w:szCs w:val="32"/>
          <w:lang w:val="en-US" w:eastAsia="zh-CN"/>
        </w:rPr>
        <w:t>用于接待上级领导视察并指导学校发展产生的住宿费、用餐费0万元。</w:t>
      </w:r>
    </w:p>
    <w:p>
      <w:pPr>
        <w:spacing w:line="600" w:lineRule="exact"/>
        <w:ind w:firstLine="640"/>
        <w:outlineLvl w:val="1"/>
        <w:rPr>
          <w:rStyle w:val="15"/>
          <w:rFonts w:ascii="黑体" w:hAnsi="黑体" w:eastAsia="黑体"/>
        </w:rPr>
      </w:pPr>
      <w:bookmarkStart w:id="74" w:name="_Toc24824"/>
      <w:bookmarkStart w:id="75" w:name="_Toc15377218"/>
      <w:bookmarkStart w:id="76" w:name="_Toc15396610"/>
      <w:r>
        <w:rPr>
          <w:rFonts w:hint="eastAsia" w:ascii="黑体" w:eastAsia="黑体"/>
          <w:color w:val="000000"/>
          <w:sz w:val="32"/>
          <w:szCs w:val="32"/>
        </w:rPr>
        <w:t>八、</w:t>
      </w:r>
      <w:r>
        <w:rPr>
          <w:rStyle w:val="15"/>
          <w:rFonts w:hint="eastAsia" w:ascii="黑体" w:hAnsi="黑体" w:eastAsia="黑体"/>
          <w:b w:val="0"/>
        </w:rPr>
        <w:t>政府性基金预算支出决算情况说明</w:t>
      </w:r>
      <w:bookmarkEnd w:id="74"/>
      <w:bookmarkEnd w:id="75"/>
      <w:bookmarkEnd w:id="76"/>
    </w:p>
    <w:p>
      <w:pPr>
        <w:spacing w:line="600" w:lineRule="exact"/>
        <w:ind w:firstLine="640"/>
        <w:rPr>
          <w:rFonts w:ascii="仿宋_GB2312" w:eastAsia="仿宋_GB2312"/>
          <w:color w:val="000000"/>
          <w:sz w:val="32"/>
          <w:szCs w:val="32"/>
        </w:rPr>
      </w:pPr>
      <w:r>
        <w:rPr>
          <w:rFonts w:hint="eastAsia" w:ascii="仿宋" w:hAnsi="仿宋" w:eastAsia="仿宋" w:cs="仿宋"/>
          <w:color w:val="000000"/>
          <w:sz w:val="32"/>
          <w:szCs w:val="32"/>
        </w:rPr>
        <w:t>2020年政府性基金预算拨款支出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numPr>
          <w:ilvl w:val="0"/>
          <w:numId w:val="2"/>
        </w:numPr>
        <w:spacing w:line="600" w:lineRule="exact"/>
        <w:ind w:firstLine="640"/>
        <w:outlineLvl w:val="1"/>
        <w:rPr>
          <w:rStyle w:val="15"/>
          <w:rFonts w:ascii="黑体" w:hAnsi="黑体" w:eastAsia="黑体"/>
          <w:b w:val="0"/>
        </w:rPr>
      </w:pPr>
      <w:bookmarkStart w:id="77" w:name="_Toc15396611"/>
      <w:bookmarkStart w:id="78" w:name="_Toc15377219"/>
      <w:bookmarkStart w:id="79" w:name="_Toc21051"/>
      <w:r>
        <w:rPr>
          <w:rStyle w:val="15"/>
          <w:rFonts w:hint="eastAsia" w:ascii="黑体" w:hAnsi="黑体" w:eastAsia="黑体"/>
          <w:b w:val="0"/>
        </w:rPr>
        <w:t>国有资本经营预算支出决算情况说明</w:t>
      </w:r>
      <w:bookmarkEnd w:id="77"/>
      <w:bookmarkEnd w:id="78"/>
      <w:bookmarkEnd w:id="79"/>
    </w:p>
    <w:p>
      <w:pPr>
        <w:spacing w:line="600" w:lineRule="exact"/>
        <w:ind w:firstLine="640"/>
        <w:rPr>
          <w:rFonts w:ascii="方正小标宋简体" w:hAnsi="方正小标宋简体" w:eastAsia="方正小标宋简体" w:cs="方正小标宋简体"/>
          <w:sz w:val="44"/>
          <w:szCs w:val="44"/>
        </w:rPr>
      </w:pPr>
      <w:r>
        <w:rPr>
          <w:rFonts w:hint="eastAsia" w:ascii="仿宋" w:hAnsi="仿宋" w:eastAsia="仿宋" w:cs="仿宋"/>
          <w:color w:val="000000"/>
          <w:sz w:val="32"/>
          <w:szCs w:val="32"/>
        </w:rPr>
        <w:t>2020年国有资本经营预算拨款支出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800" w:firstLineChars="250"/>
        <w:outlineLvl w:val="1"/>
        <w:rPr>
          <w:rStyle w:val="15"/>
          <w:rFonts w:ascii="黑体" w:hAnsi="黑体" w:eastAsia="黑体"/>
        </w:rPr>
      </w:pPr>
      <w:bookmarkStart w:id="80" w:name="_Toc15396612"/>
      <w:bookmarkStart w:id="81" w:name="_Toc15377221"/>
      <w:bookmarkStart w:id="82" w:name="_Toc2575"/>
      <w:r>
        <w:rPr>
          <w:rFonts w:hint="eastAsia" w:ascii="黑体" w:hAnsi="黑体" w:eastAsia="黑体"/>
          <w:color w:val="000000"/>
          <w:sz w:val="32"/>
          <w:szCs w:val="32"/>
        </w:rPr>
        <w:t>十</w:t>
      </w:r>
      <w:r>
        <w:rPr>
          <w:rStyle w:val="15"/>
          <w:rFonts w:hint="eastAsia" w:ascii="黑体" w:hAnsi="黑体" w:eastAsia="黑体"/>
        </w:rPr>
        <w:t>、</w:t>
      </w:r>
      <w:r>
        <w:rPr>
          <w:rStyle w:val="15"/>
          <w:rFonts w:hint="eastAsia" w:ascii="黑体" w:hAnsi="黑体" w:eastAsia="黑体"/>
          <w:b w:val="0"/>
        </w:rPr>
        <w:t>其他重要事项的情况说明</w:t>
      </w:r>
      <w:bookmarkEnd w:id="80"/>
      <w:bookmarkEnd w:id="81"/>
      <w:bookmarkEnd w:id="82"/>
    </w:p>
    <w:p>
      <w:pPr>
        <w:spacing w:line="600" w:lineRule="exact"/>
        <w:ind w:firstLine="643" w:firstLineChars="200"/>
        <w:outlineLvl w:val="9"/>
        <w:rPr>
          <w:rFonts w:ascii="仿宋" w:hAnsi="仿宋" w:eastAsia="仿宋"/>
          <w:color w:val="000000"/>
          <w:sz w:val="32"/>
          <w:szCs w:val="32"/>
        </w:rPr>
      </w:pPr>
      <w:bookmarkStart w:id="83" w:name="_Toc23902"/>
      <w:bookmarkStart w:id="84" w:name="_Toc15377222"/>
      <w:r>
        <w:rPr>
          <w:rFonts w:hint="eastAsia" w:ascii="仿宋" w:hAnsi="仿宋" w:eastAsia="仿宋"/>
          <w:b/>
          <w:color w:val="000000"/>
          <w:sz w:val="32"/>
          <w:szCs w:val="32"/>
        </w:rPr>
        <w:t>（一）机关运行经费支出情况</w:t>
      </w:r>
      <w:bookmarkEnd w:id="83"/>
      <w:bookmarkEnd w:id="84"/>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2020年，四川省乐山市五通桥区新云乡初级中学运行经费支出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万元，与2019年决算数持平。</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5" w:name="_Toc15377223"/>
      <w:bookmarkStart w:id="86" w:name="_Toc29901"/>
      <w:r>
        <w:rPr>
          <w:rFonts w:hint="eastAsia" w:ascii="仿宋" w:hAnsi="仿宋" w:eastAsia="仿宋"/>
          <w:b/>
          <w:color w:val="000000"/>
          <w:sz w:val="32"/>
          <w:szCs w:val="32"/>
        </w:rPr>
        <w:t>（二）政府采购支出情况</w:t>
      </w:r>
      <w:bookmarkEnd w:id="85"/>
      <w:bookmarkEnd w:id="86"/>
    </w:p>
    <w:p>
      <w:pPr>
        <w:spacing w:line="600" w:lineRule="exact"/>
        <w:ind w:firstLine="640" w:firstLineChars="200"/>
        <w:rPr>
          <w:rFonts w:ascii="仿宋" w:hAnsi="仿宋" w:eastAsia="仿宋"/>
          <w:b/>
          <w:color w:val="FF0000"/>
          <w:sz w:val="32"/>
          <w:szCs w:val="32"/>
        </w:rPr>
      </w:pPr>
      <w:r>
        <w:rPr>
          <w:rFonts w:hint="eastAsia" w:ascii="仿宋" w:hAnsi="仿宋" w:eastAsia="仿宋" w:cs="仿宋"/>
          <w:color w:val="000000"/>
          <w:sz w:val="32"/>
          <w:szCs w:val="32"/>
        </w:rPr>
        <w:t>2020年，四川省乐山市五通桥区新云乡初级中学采购支出总额</w:t>
      </w:r>
      <w:r>
        <w:rPr>
          <w:rFonts w:hint="eastAsia" w:ascii="仿宋" w:hAnsi="仿宋" w:eastAsia="仿宋" w:cs="仿宋"/>
          <w:color w:val="000000"/>
          <w:sz w:val="32"/>
          <w:szCs w:val="32"/>
          <w:lang w:val="en-US" w:eastAsia="zh-CN"/>
        </w:rPr>
        <w:t>1.96</w:t>
      </w:r>
      <w:r>
        <w:rPr>
          <w:rFonts w:hint="eastAsia" w:ascii="仿宋" w:hAnsi="仿宋" w:eastAsia="仿宋" w:cs="仿宋"/>
          <w:color w:val="000000"/>
          <w:sz w:val="32"/>
          <w:szCs w:val="32"/>
        </w:rPr>
        <w:t>万元，其中：政府采购货物支出</w:t>
      </w:r>
      <w:r>
        <w:rPr>
          <w:rFonts w:hint="eastAsia" w:ascii="仿宋" w:hAnsi="仿宋" w:eastAsia="仿宋" w:cs="仿宋"/>
          <w:color w:val="000000"/>
          <w:sz w:val="32"/>
          <w:szCs w:val="32"/>
          <w:lang w:val="en-US" w:eastAsia="zh-CN"/>
        </w:rPr>
        <w:t>1.96</w:t>
      </w:r>
      <w:r>
        <w:rPr>
          <w:rFonts w:hint="eastAsia" w:ascii="仿宋" w:hAnsi="仿宋" w:eastAsia="仿宋" w:cs="仿宋"/>
          <w:color w:val="000000"/>
          <w:sz w:val="32"/>
          <w:szCs w:val="32"/>
        </w:rPr>
        <w:t>万元、政府采购工程支出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万元、政府采购服务支出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万元。主要用于</w:t>
      </w:r>
      <w:r>
        <w:rPr>
          <w:rFonts w:hint="eastAsia" w:ascii="仿宋" w:hAnsi="仿宋" w:eastAsia="仿宋" w:cs="仿宋"/>
          <w:color w:val="000000"/>
          <w:sz w:val="32"/>
          <w:szCs w:val="32"/>
          <w:lang w:val="en-US" w:eastAsia="zh-CN"/>
        </w:rPr>
        <w:t>教师办公桌椅采购</w:t>
      </w:r>
      <w:r>
        <w:rPr>
          <w:rFonts w:hint="eastAsia" w:ascii="仿宋" w:hAnsi="仿宋" w:eastAsia="仿宋" w:cs="仿宋"/>
          <w:color w:val="000000"/>
          <w:sz w:val="32"/>
          <w:szCs w:val="32"/>
        </w:rPr>
        <w:t>。授予中小企业合同金额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万元，占政府采购支出总额的</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%，其中：授予小微企业合同金额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万元，占政府采购支出总额的</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7" w:name="_Toc15377224"/>
      <w:bookmarkStart w:id="88" w:name="_Toc28062"/>
      <w:r>
        <w:rPr>
          <w:rFonts w:hint="eastAsia" w:ascii="仿宋" w:hAnsi="仿宋" w:eastAsia="仿宋"/>
          <w:b/>
          <w:color w:val="000000"/>
          <w:sz w:val="32"/>
          <w:szCs w:val="32"/>
        </w:rPr>
        <w:t>（三）国有资产占有使用情况</w:t>
      </w:r>
      <w:bookmarkEnd w:id="87"/>
      <w:bookmarkEnd w:id="88"/>
    </w:p>
    <w:p>
      <w:pPr>
        <w:autoSpaceDE w:val="0"/>
        <w:autoSpaceDN w:val="0"/>
        <w:adjustRightInd w:val="0"/>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截至2020年12月31日，四川省乐山市五通桥区新云乡初级中学共有车辆</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9" w:name="_Toc8507"/>
      <w:r>
        <w:rPr>
          <w:rFonts w:hint="eastAsia" w:ascii="仿宋" w:hAnsi="仿宋" w:eastAsia="仿宋"/>
          <w:b/>
          <w:color w:val="000000"/>
          <w:sz w:val="32"/>
          <w:szCs w:val="32"/>
        </w:rPr>
        <w:t>（四）预算绩效管理情况</w:t>
      </w:r>
      <w:bookmarkEnd w:id="89"/>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根据预算绩效管理要求，</w:t>
      </w:r>
      <w:r>
        <w:rPr>
          <w:rFonts w:hint="eastAsia" w:ascii="仿宋" w:hAnsi="仿宋" w:eastAsia="仿宋" w:cs="仿宋"/>
          <w:color w:val="000000" w:themeColor="text1"/>
          <w:sz w:val="32"/>
          <w:szCs w:val="32"/>
          <w:lang w:eastAsia="zh-CN"/>
          <w14:textFill>
            <w14:solidFill>
              <w14:schemeClr w14:val="tx1"/>
            </w14:solidFill>
          </w14:textFill>
        </w:rPr>
        <w:t>乐山市五通桥区新云乡初级中学</w:t>
      </w:r>
      <w:r>
        <w:rPr>
          <w:rFonts w:hint="eastAsia" w:ascii="仿宋" w:hAnsi="仿宋" w:eastAsia="仿宋" w:cs="仿宋"/>
          <w:color w:val="000000" w:themeColor="text1"/>
          <w:sz w:val="32"/>
          <w:szCs w:val="32"/>
          <w14:textFill>
            <w14:solidFill>
              <w14:schemeClr w14:val="tx1"/>
            </w14:solidFill>
          </w14:textFill>
        </w:rPr>
        <w:t>在年初预算编制阶段，组织对教育支出项目开展了预算事前绩效评估，对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个项目编制了绩效目标，预算执行过程中，选取</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个项目开展绩效监控，年终执行完毕后，对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个项目开展了绩效目标完成情况自评。</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乐山市五通桥区新云乡初级中学</w:t>
      </w:r>
      <w:r>
        <w:rPr>
          <w:rFonts w:hint="eastAsia" w:ascii="仿宋" w:hAnsi="仿宋" w:eastAsia="仿宋" w:cs="仿宋"/>
          <w:color w:val="000000" w:themeColor="text1"/>
          <w:sz w:val="32"/>
          <w:szCs w:val="32"/>
          <w14:textFill>
            <w14:solidFill>
              <w14:schemeClr w14:val="tx1"/>
            </w14:solidFill>
          </w14:textFill>
        </w:rPr>
        <w:t>按要求对2020年部门整体支出开展绩效自评，</w:t>
      </w:r>
      <w:r>
        <w:rPr>
          <w:rFonts w:hint="eastAsia" w:ascii="仿宋" w:hAnsi="仿宋" w:eastAsia="仿宋" w:cs="仿宋"/>
          <w:color w:val="000000" w:themeColor="text1"/>
          <w:sz w:val="32"/>
          <w:szCs w:val="32"/>
          <w:lang w:eastAsia="zh-CN"/>
          <w14:textFill>
            <w14:solidFill>
              <w14:schemeClr w14:val="tx1"/>
            </w14:solidFill>
          </w14:textFill>
        </w:rPr>
        <w:t>基本完成年初绩效目标</w:t>
      </w:r>
      <w:r>
        <w:rPr>
          <w:rFonts w:hint="eastAsia" w:ascii="仿宋" w:hAnsi="仿宋" w:eastAsia="仿宋" w:cs="仿宋"/>
          <w:color w:val="000000" w:themeColor="text1"/>
          <w:sz w:val="32"/>
          <w:szCs w:val="32"/>
          <w14:textFill>
            <w14:solidFill>
              <w14:schemeClr w14:val="tx1"/>
            </w14:solidFill>
          </w14:textFill>
        </w:rPr>
        <w:t>。本部门还自行组织了</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个项目支出绩效评价，从评价情况来看</w:t>
      </w:r>
      <w:r>
        <w:rPr>
          <w:rFonts w:hint="eastAsia" w:ascii="仿宋" w:hAnsi="仿宋" w:eastAsia="仿宋" w:cs="仿宋"/>
          <w:color w:val="000000" w:themeColor="text1"/>
          <w:sz w:val="32"/>
          <w:szCs w:val="32"/>
          <w:lang w:val="en-US" w:eastAsia="zh-CN"/>
          <w14:textFill>
            <w14:solidFill>
              <w14:schemeClr w14:val="tx1"/>
            </w14:solidFill>
          </w14:textFill>
        </w:rPr>
        <w:t>完成良好</w:t>
      </w:r>
      <w:r>
        <w:rPr>
          <w:rFonts w:hint="eastAsia" w:ascii="仿宋" w:hAnsi="仿宋" w:eastAsia="仿宋" w:cs="仿宋"/>
          <w:color w:val="000000" w:themeColor="text1"/>
          <w:sz w:val="32"/>
          <w:szCs w:val="32"/>
          <w14:textFill>
            <w14:solidFill>
              <w14:schemeClr w14:val="tx1"/>
            </w14:solidFill>
          </w14:textFill>
        </w:rPr>
        <w:t>。</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1.项目绩效目标完成情况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本部门</w:t>
      </w:r>
      <w:r>
        <w:rPr>
          <w:rFonts w:hint="eastAsia" w:ascii="仿宋" w:hAnsi="仿宋" w:eastAsia="仿宋" w:cs="仿宋"/>
          <w:sz w:val="32"/>
          <w:szCs w:val="32"/>
        </w:rPr>
        <w:t>在2020年度部门决算中反映“</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”项目绩效目标实际完成情况。（本单位部门项目绩效目标个数</w:t>
      </w:r>
      <w:r>
        <w:rPr>
          <w:rFonts w:hint="eastAsia" w:ascii="仿宋" w:hAnsi="仿宋" w:eastAsia="仿宋" w:cs="仿宋"/>
          <w:sz w:val="32"/>
          <w:szCs w:val="32"/>
          <w:lang w:val="en-US" w:eastAsia="zh-CN"/>
        </w:rPr>
        <w:t>1</w:t>
      </w:r>
      <w:r>
        <w:rPr>
          <w:rFonts w:hint="eastAsia" w:ascii="仿宋" w:hAnsi="仿宋" w:eastAsia="仿宋" w:cs="仿宋"/>
          <w:sz w:val="32"/>
          <w:szCs w:val="32"/>
        </w:rPr>
        <w:t>个，选取</w:t>
      </w:r>
      <w:r>
        <w:rPr>
          <w:rFonts w:hint="eastAsia" w:ascii="仿宋" w:hAnsi="仿宋" w:eastAsia="仿宋" w:cs="仿宋"/>
          <w:sz w:val="32"/>
          <w:szCs w:val="32"/>
          <w:lang w:val="en-US" w:eastAsia="zh-CN"/>
        </w:rPr>
        <w:t>1</w:t>
      </w:r>
      <w:r>
        <w:rPr>
          <w:rFonts w:hint="eastAsia" w:ascii="仿宋" w:hAnsi="仿宋" w:eastAsia="仿宋" w:cs="仿宋"/>
          <w:sz w:val="32"/>
          <w:szCs w:val="32"/>
        </w:rPr>
        <w:t>个项目进行公开，公开内容包括选取的全部项目完成情况综述和完成情况表）。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项目绩效目标完成情况综述。</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项目全年预算数</w:t>
      </w:r>
      <w:r>
        <w:rPr>
          <w:rFonts w:hint="eastAsia" w:ascii="仿宋" w:hAnsi="仿宋" w:eastAsia="仿宋" w:cs="仿宋"/>
          <w:sz w:val="32"/>
          <w:szCs w:val="32"/>
          <w:lang w:val="en-US" w:eastAsia="zh-CN"/>
        </w:rPr>
        <w:t>9.5</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9.5</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%。通过项目实施，保障</w:t>
      </w:r>
      <w:r>
        <w:rPr>
          <w:rFonts w:hint="eastAsia" w:ascii="仿宋" w:hAnsi="仿宋" w:eastAsia="仿宋" w:cs="仿宋"/>
          <w:color w:val="000000"/>
          <w:sz w:val="32"/>
          <w:szCs w:val="32"/>
          <w:lang w:val="en-US" w:eastAsia="zh-CN"/>
        </w:rPr>
        <w:t>学校正常运转。</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0"/>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88"/>
        <w:gridCol w:w="969"/>
        <w:gridCol w:w="1025"/>
        <w:gridCol w:w="2392"/>
        <w:gridCol w:w="2394"/>
        <w:gridCol w:w="2392"/>
      </w:tblGrid>
      <w:tr>
        <w:tblPrEx>
          <w:tblCellMar>
            <w:top w:w="0" w:type="dxa"/>
            <w:left w:w="0" w:type="dxa"/>
            <w:bottom w:w="0" w:type="dxa"/>
            <w:right w:w="0" w:type="dxa"/>
          </w:tblCellMar>
        </w:tblPrEx>
        <w:trPr>
          <w:trHeight w:val="1308"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784"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sz w:val="32"/>
                <w:szCs w:val="32"/>
                <w:highlight w:val="none"/>
                <w:lang w:val="en-US" w:eastAsia="zh-CN"/>
              </w:rPr>
              <w:t>生均公用经费</w:t>
            </w:r>
          </w:p>
        </w:tc>
      </w:tr>
      <w:tr>
        <w:tblPrEx>
          <w:tblCellMar>
            <w:top w:w="0" w:type="dxa"/>
            <w:left w:w="0" w:type="dxa"/>
            <w:bottom w:w="0" w:type="dxa"/>
            <w:right w:w="0" w:type="dxa"/>
          </w:tblCellMar>
        </w:tblPrEx>
        <w:trPr>
          <w:trHeight w:val="67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sz w:val="32"/>
                <w:szCs w:val="32"/>
              </w:rPr>
              <w:t>四川省乐山市五通桥区新云乡初级中学</w:t>
            </w:r>
          </w:p>
        </w:tc>
      </w:tr>
      <w:tr>
        <w:tblPrEx>
          <w:tblCellMar>
            <w:top w:w="0" w:type="dxa"/>
            <w:left w:w="0" w:type="dxa"/>
            <w:bottom w:w="0" w:type="dxa"/>
            <w:right w:w="0" w:type="dxa"/>
          </w:tblCellMar>
        </w:tblPrEx>
        <w:trPr>
          <w:trHeight w:val="1214"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预算执行情况(万元)</w:t>
            </w: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32"/>
                <w:szCs w:val="32"/>
                <w:lang w:eastAsia="zh-CN"/>
              </w:rPr>
            </w:pPr>
            <w:r>
              <w:rPr>
                <w:rFonts w:hint="eastAsia" w:ascii="仿宋" w:hAnsi="仿宋" w:eastAsia="仿宋" w:cs="仿宋"/>
                <w:sz w:val="32"/>
                <w:szCs w:val="32"/>
                <w:lang w:val="en-US" w:eastAsia="zh-CN"/>
              </w:rPr>
              <w:t>9.5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000000"/>
                <w:sz w:val="32"/>
                <w:szCs w:val="32"/>
                <w:lang w:eastAsia="zh-CN"/>
              </w:rPr>
            </w:pPr>
            <w:r>
              <w:rPr>
                <w:rFonts w:hint="eastAsia" w:ascii="仿宋" w:hAnsi="仿宋" w:eastAsia="仿宋" w:cs="仿宋"/>
                <w:sz w:val="32"/>
                <w:szCs w:val="32"/>
                <w:lang w:val="en-US" w:eastAsia="zh-CN"/>
              </w:rPr>
              <w:t>9.5</w:t>
            </w:r>
          </w:p>
        </w:tc>
      </w:tr>
      <w:tr>
        <w:tblPrEx>
          <w:tblCellMar>
            <w:top w:w="0" w:type="dxa"/>
            <w:left w:w="0" w:type="dxa"/>
            <w:bottom w:w="0" w:type="dxa"/>
            <w:right w:w="0" w:type="dxa"/>
          </w:tblCellMar>
        </w:tblPrEx>
        <w:trPr>
          <w:trHeight w:val="1118"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32"/>
                <w:szCs w:val="32"/>
                <w:lang w:eastAsia="zh-CN"/>
              </w:rPr>
            </w:pPr>
            <w:r>
              <w:rPr>
                <w:rFonts w:hint="eastAsia" w:ascii="仿宋" w:hAnsi="仿宋" w:eastAsia="仿宋" w:cs="仿宋"/>
                <w:sz w:val="32"/>
                <w:szCs w:val="32"/>
                <w:lang w:val="en-US" w:eastAsia="zh-CN"/>
              </w:rPr>
              <w:t>9.5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sz w:val="32"/>
                <w:szCs w:val="32"/>
                <w:lang w:val="en-US" w:eastAsia="zh-CN"/>
              </w:rPr>
              <w:t>9.5</w:t>
            </w:r>
          </w:p>
        </w:tc>
      </w:tr>
      <w:tr>
        <w:tblPrEx>
          <w:tblCellMar>
            <w:top w:w="0" w:type="dxa"/>
            <w:left w:w="0" w:type="dxa"/>
            <w:bottom w:w="0" w:type="dxa"/>
            <w:right w:w="0" w:type="dxa"/>
          </w:tblCellMar>
        </w:tblPrEx>
        <w:trPr>
          <w:trHeight w:val="1227"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r>
      <w:tr>
        <w:tblPrEx>
          <w:tblCellMar>
            <w:top w:w="0" w:type="dxa"/>
            <w:left w:w="0" w:type="dxa"/>
            <w:bottom w:w="0" w:type="dxa"/>
            <w:right w:w="0" w:type="dxa"/>
          </w:tblCellMar>
        </w:tblPrEx>
        <w:trPr>
          <w:trHeight w:val="952"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年度目标完成情况</w:t>
            </w:r>
          </w:p>
        </w:tc>
        <w:tc>
          <w:tcPr>
            <w:tcW w:w="4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实际完成目标</w:t>
            </w:r>
          </w:p>
        </w:tc>
      </w:tr>
      <w:tr>
        <w:tblPrEx>
          <w:tblCellMar>
            <w:top w:w="0" w:type="dxa"/>
            <w:left w:w="0" w:type="dxa"/>
            <w:bottom w:w="0" w:type="dxa"/>
            <w:right w:w="0" w:type="dxa"/>
          </w:tblCellMar>
        </w:tblPrEx>
        <w:trPr>
          <w:trHeight w:val="115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4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预计投入</w:t>
            </w:r>
            <w:r>
              <w:rPr>
                <w:rFonts w:hint="eastAsia" w:ascii="仿宋" w:hAnsi="仿宋" w:eastAsia="仿宋" w:cs="仿宋"/>
                <w:sz w:val="32"/>
                <w:szCs w:val="32"/>
                <w:lang w:val="en-US" w:eastAsia="zh-CN"/>
              </w:rPr>
              <w:t>9.5</w:t>
            </w:r>
            <w:r>
              <w:rPr>
                <w:rFonts w:hint="eastAsia" w:ascii="仿宋" w:hAnsi="仿宋" w:eastAsia="仿宋" w:cs="仿宋"/>
                <w:color w:val="000000"/>
                <w:sz w:val="32"/>
                <w:szCs w:val="32"/>
                <w:lang w:val="en-US" w:eastAsia="zh-CN"/>
              </w:rPr>
              <w:t>万，涉及1个项目，维修及校园文化建设</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全年执行</w:t>
            </w:r>
            <w:r>
              <w:rPr>
                <w:rFonts w:hint="eastAsia" w:ascii="仿宋" w:hAnsi="仿宋" w:eastAsia="仿宋" w:cs="仿宋"/>
                <w:sz w:val="32"/>
                <w:szCs w:val="32"/>
                <w:lang w:val="en-US" w:eastAsia="zh-CN"/>
              </w:rPr>
              <w:t>9.5</w:t>
            </w:r>
            <w:r>
              <w:rPr>
                <w:rFonts w:hint="eastAsia" w:ascii="仿宋" w:hAnsi="仿宋" w:eastAsia="仿宋" w:cs="仿宋"/>
                <w:color w:val="000000"/>
                <w:sz w:val="32"/>
                <w:szCs w:val="32"/>
                <w:lang w:val="en-US" w:eastAsia="zh-CN"/>
              </w:rPr>
              <w:t>万，涉及1个项目，顺利完成维修及校园文化建设</w:t>
            </w:r>
          </w:p>
        </w:tc>
      </w:tr>
      <w:tr>
        <w:tblPrEx>
          <w:tblCellMar>
            <w:top w:w="0" w:type="dxa"/>
            <w:left w:w="0" w:type="dxa"/>
            <w:bottom w:w="0" w:type="dxa"/>
            <w:right w:w="0" w:type="dxa"/>
          </w:tblCellMar>
        </w:tblPrEx>
        <w:trPr>
          <w:trHeight w:val="1042" w:hRule="atLeast"/>
          <w:jc w:val="center"/>
        </w:trPr>
        <w:tc>
          <w:tcPr>
            <w:tcW w:w="78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绩效指标完成情况</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产出指标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数量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在校学生人数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2020年9月并入牛华初级中学   </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2020年9月并入牛华初级中学  </w:t>
            </w:r>
          </w:p>
        </w:tc>
      </w:tr>
      <w:tr>
        <w:tblPrEx>
          <w:tblCellMar>
            <w:top w:w="0" w:type="dxa"/>
            <w:left w:w="0" w:type="dxa"/>
            <w:bottom w:w="0" w:type="dxa"/>
            <w:right w:w="0" w:type="dxa"/>
          </w:tblCellMar>
        </w:tblPrEx>
        <w:trPr>
          <w:trHeight w:val="1297"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项目预算成本</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960" w:firstLineChars="300"/>
              <w:jc w:val="both"/>
              <w:textAlignment w:val="center"/>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9.5</w:t>
            </w:r>
          </w:p>
        </w:tc>
      </w:tr>
      <w:tr>
        <w:tblPrEx>
          <w:tblCellMar>
            <w:top w:w="0" w:type="dxa"/>
            <w:left w:w="0" w:type="dxa"/>
            <w:bottom w:w="0" w:type="dxa"/>
            <w:right w:w="0" w:type="dxa"/>
          </w:tblCellMar>
        </w:tblPrEx>
        <w:trPr>
          <w:trHeight w:val="1297"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质量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校园安全率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100%</w:t>
            </w:r>
          </w:p>
        </w:tc>
      </w:tr>
      <w:tr>
        <w:tblPrEx>
          <w:tblCellMar>
            <w:top w:w="0" w:type="dxa"/>
            <w:left w:w="0" w:type="dxa"/>
            <w:bottom w:w="0" w:type="dxa"/>
            <w:right w:w="0" w:type="dxa"/>
          </w:tblCellMar>
        </w:tblPrEx>
        <w:trPr>
          <w:trHeight w:val="1055"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质量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教师师资力量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持续提升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持续提升</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32"/>
                <w:szCs w:val="32"/>
                <w:lang w:bidi="ar"/>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项目完成是否在计划时间内</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是</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可持续影响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是否能带来有力可持续影响</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是</w:t>
            </w:r>
          </w:p>
        </w:tc>
      </w:tr>
      <w:tr>
        <w:tblPrEx>
          <w:tblCellMar>
            <w:top w:w="0" w:type="dxa"/>
            <w:left w:w="0" w:type="dxa"/>
            <w:bottom w:w="0" w:type="dxa"/>
            <w:right w:w="0" w:type="dxa"/>
          </w:tblCellMar>
        </w:tblPrEx>
        <w:trPr>
          <w:trHeight w:val="1050" w:hRule="atLeast"/>
          <w:jc w:val="center"/>
        </w:trPr>
        <w:tc>
          <w:tcPr>
            <w:tcW w:w="78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学生家长满意度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r>
        <w:rPr>
          <w:rFonts w:hint="eastAsia" w:ascii="仿宋" w:hAnsi="仿宋" w:eastAsia="仿宋" w:cs="仿宋"/>
          <w:sz w:val="32"/>
          <w:szCs w:val="32"/>
        </w:rPr>
        <w:t>2.部门绩效评价结果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本部门按要求对2020年部门整体支出绩效评价情况开展自评，《乐山市五通桥区新云乡初级中学部门2020年部门整体支出绩效评价报告》见附件（附件1）。</w:t>
      </w:r>
    </w:p>
    <w:p>
      <w:pPr>
        <w:widowControl/>
        <w:ind w:firstLine="640" w:firstLineChars="200"/>
        <w:jc w:val="left"/>
        <w:rPr>
          <w:rFonts w:hint="eastAsia" w:ascii="仿宋" w:hAnsi="仿宋" w:eastAsia="仿宋" w:cs="仿宋"/>
          <w:b/>
          <w:color w:val="000000"/>
          <w:sz w:val="32"/>
          <w:szCs w:val="32"/>
        </w:rPr>
      </w:pPr>
      <w:r>
        <w:rPr>
          <w:rFonts w:hint="eastAsia" w:ascii="仿宋" w:hAnsi="仿宋" w:eastAsia="仿宋" w:cs="仿宋"/>
          <w:sz w:val="32"/>
          <w:szCs w:val="32"/>
        </w:rPr>
        <w:t>本部门自行组织对</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项目开展了绩效评价，《</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项目2020年绩效评价报告》见附件（附件2）。</w:t>
      </w:r>
    </w:p>
    <w:p>
      <w:pPr>
        <w:widowControl/>
        <w:jc w:val="left"/>
        <w:rPr>
          <w:rFonts w:hint="eastAsia" w:ascii="仿宋" w:hAnsi="仿宋" w:eastAsia="仿宋" w:cs="仿宋"/>
          <w:b/>
          <w:color w:val="000000"/>
          <w:sz w:val="32"/>
          <w:szCs w:val="32"/>
        </w:rPr>
      </w:pPr>
    </w:p>
    <w:p>
      <w:pPr>
        <w:widowControl/>
        <w:jc w:val="left"/>
        <w:rPr>
          <w:rFonts w:hint="eastAsia" w:ascii="仿宋" w:hAnsi="仿宋" w:eastAsia="仿宋" w:cs="仿宋"/>
          <w:b/>
          <w:color w:val="000000"/>
          <w:sz w:val="32"/>
          <w:szCs w:val="32"/>
        </w:rPr>
      </w:pPr>
    </w:p>
    <w:p>
      <w:pPr>
        <w:widowControl/>
        <w:jc w:val="left"/>
        <w:rPr>
          <w:rFonts w:hint="eastAsia" w:ascii="仿宋" w:hAnsi="仿宋" w:eastAsia="仿宋" w:cs="仿宋"/>
          <w:b/>
          <w:color w:val="000000"/>
          <w:sz w:val="32"/>
          <w:szCs w:val="32"/>
        </w:rPr>
      </w:pPr>
    </w:p>
    <w:p>
      <w:pPr>
        <w:widowControl/>
        <w:jc w:val="left"/>
        <w:rPr>
          <w:rFonts w:hint="eastAsia" w:ascii="仿宋" w:hAnsi="仿宋" w:eastAsia="仿宋" w:cs="仿宋"/>
          <w:b/>
          <w:color w:val="000000"/>
          <w:sz w:val="32"/>
          <w:szCs w:val="32"/>
        </w:rPr>
      </w:pPr>
    </w:p>
    <w:p>
      <w:pPr>
        <w:widowControl/>
        <w:jc w:val="left"/>
        <w:rPr>
          <w:rFonts w:hint="eastAsia" w:ascii="仿宋" w:hAnsi="仿宋" w:eastAsia="仿宋" w:cs="仿宋"/>
          <w:b/>
          <w:color w:val="000000"/>
          <w:sz w:val="32"/>
          <w:szCs w:val="32"/>
        </w:rPr>
      </w:pPr>
    </w:p>
    <w:p>
      <w:pPr>
        <w:widowControl/>
        <w:jc w:val="left"/>
        <w:rPr>
          <w:rFonts w:hint="eastAsia" w:ascii="仿宋" w:hAnsi="仿宋" w:eastAsia="仿宋" w:cs="仿宋"/>
          <w:b/>
          <w:color w:val="000000"/>
          <w:sz w:val="32"/>
          <w:szCs w:val="32"/>
        </w:rPr>
      </w:pPr>
    </w:p>
    <w:p>
      <w:pPr>
        <w:widowControl/>
        <w:jc w:val="left"/>
        <w:rPr>
          <w:rFonts w:hint="eastAsia" w:ascii="仿宋" w:hAnsi="仿宋" w:eastAsia="仿宋" w:cs="仿宋"/>
          <w:b/>
          <w:color w:val="000000"/>
          <w:sz w:val="32"/>
          <w:szCs w:val="32"/>
        </w:rPr>
      </w:pPr>
    </w:p>
    <w:p>
      <w:pPr>
        <w:widowControl/>
        <w:jc w:val="left"/>
        <w:rPr>
          <w:rFonts w:hint="eastAsia" w:ascii="仿宋" w:hAnsi="仿宋" w:eastAsia="仿宋" w:cs="仿宋"/>
          <w:b/>
          <w:color w:val="000000"/>
          <w:sz w:val="32"/>
          <w:szCs w:val="32"/>
        </w:rPr>
      </w:pPr>
    </w:p>
    <w:p>
      <w:pPr>
        <w:widowControl/>
        <w:jc w:val="left"/>
        <w:rPr>
          <w:rFonts w:hint="eastAsia" w:ascii="仿宋" w:hAnsi="仿宋" w:eastAsia="仿宋" w:cs="仿宋"/>
          <w:b/>
          <w:color w:val="000000"/>
          <w:sz w:val="32"/>
          <w:szCs w:val="32"/>
        </w:rPr>
      </w:pPr>
    </w:p>
    <w:p>
      <w:pPr>
        <w:widowControl/>
        <w:jc w:val="left"/>
        <w:rPr>
          <w:rFonts w:hint="eastAsia" w:ascii="仿宋" w:hAnsi="仿宋" w:eastAsia="仿宋" w:cs="仿宋"/>
          <w:b/>
          <w:color w:val="000000"/>
          <w:sz w:val="32"/>
          <w:szCs w:val="32"/>
        </w:rPr>
      </w:pPr>
    </w:p>
    <w:p>
      <w:pPr>
        <w:widowControl/>
        <w:jc w:val="left"/>
        <w:rPr>
          <w:rFonts w:hint="eastAsia" w:ascii="仿宋" w:hAnsi="仿宋" w:eastAsia="仿宋" w:cs="仿宋"/>
          <w:b/>
          <w:color w:val="000000"/>
          <w:sz w:val="32"/>
          <w:szCs w:val="32"/>
        </w:rPr>
      </w:pPr>
    </w:p>
    <w:p>
      <w:pPr>
        <w:widowControl/>
        <w:jc w:val="left"/>
        <w:rPr>
          <w:rFonts w:hint="eastAsia" w:ascii="仿宋" w:hAnsi="仿宋" w:eastAsia="仿宋" w:cs="仿宋"/>
          <w:b/>
          <w:color w:val="000000"/>
          <w:sz w:val="32"/>
          <w:szCs w:val="32"/>
        </w:rPr>
      </w:pPr>
    </w:p>
    <w:p>
      <w:pPr>
        <w:widowControl/>
        <w:jc w:val="left"/>
        <w:rPr>
          <w:rFonts w:hint="eastAsia" w:ascii="仿宋" w:hAnsi="仿宋" w:eastAsia="仿宋" w:cs="仿宋"/>
          <w:b/>
          <w:color w:val="000000"/>
          <w:sz w:val="32"/>
          <w:szCs w:val="32"/>
        </w:rPr>
      </w:pPr>
    </w:p>
    <w:p>
      <w:pPr>
        <w:widowControl/>
        <w:jc w:val="left"/>
        <w:rPr>
          <w:rFonts w:hint="eastAsia" w:ascii="仿宋" w:hAnsi="仿宋" w:eastAsia="仿宋" w:cs="仿宋"/>
          <w:b/>
          <w:color w:val="000000"/>
          <w:sz w:val="32"/>
          <w:szCs w:val="32"/>
        </w:rPr>
      </w:pPr>
    </w:p>
    <w:p>
      <w:pPr>
        <w:widowControl/>
        <w:jc w:val="left"/>
        <w:rPr>
          <w:rFonts w:hint="eastAsia" w:ascii="仿宋" w:hAnsi="仿宋" w:eastAsia="仿宋" w:cs="仿宋"/>
          <w:b/>
          <w:color w:val="000000"/>
          <w:sz w:val="32"/>
          <w:szCs w:val="32"/>
        </w:rPr>
      </w:pPr>
    </w:p>
    <w:p>
      <w:pPr>
        <w:widowControl/>
        <w:jc w:val="left"/>
        <w:rPr>
          <w:rFonts w:hint="eastAsia" w:ascii="仿宋" w:hAnsi="仿宋" w:eastAsia="仿宋" w:cs="仿宋"/>
          <w:b/>
          <w:color w:val="000000"/>
          <w:sz w:val="32"/>
          <w:szCs w:val="32"/>
        </w:rPr>
      </w:pPr>
    </w:p>
    <w:p>
      <w:pPr>
        <w:widowControl/>
        <w:jc w:val="left"/>
        <w:rPr>
          <w:rFonts w:hint="eastAsia" w:ascii="仿宋" w:hAnsi="仿宋" w:eastAsia="仿宋" w:cs="仿宋"/>
          <w:b/>
          <w:color w:val="000000"/>
          <w:sz w:val="32"/>
          <w:szCs w:val="32"/>
        </w:rPr>
      </w:pPr>
    </w:p>
    <w:p>
      <w:pPr>
        <w:widowControl/>
        <w:jc w:val="left"/>
        <w:rPr>
          <w:rFonts w:hint="eastAsia" w:ascii="仿宋" w:hAnsi="仿宋" w:eastAsia="仿宋" w:cs="仿宋"/>
          <w:b/>
          <w:color w:val="000000"/>
          <w:sz w:val="32"/>
          <w:szCs w:val="32"/>
        </w:rPr>
      </w:pPr>
    </w:p>
    <w:p>
      <w:pPr>
        <w:numPr>
          <w:ilvl w:val="0"/>
          <w:numId w:val="3"/>
        </w:numPr>
        <w:spacing w:line="600" w:lineRule="exact"/>
        <w:ind w:firstLine="660" w:firstLineChars="150"/>
        <w:jc w:val="center"/>
        <w:outlineLvl w:val="0"/>
        <w:rPr>
          <w:rStyle w:val="14"/>
          <w:rFonts w:ascii="黑体" w:hAnsi="黑体" w:eastAsia="黑体"/>
          <w:b w:val="0"/>
        </w:rPr>
      </w:pPr>
      <w:bookmarkStart w:id="90" w:name="_Toc9577"/>
      <w:bookmarkStart w:id="91" w:name="_Toc15396613"/>
      <w:bookmarkStart w:id="92" w:name="_Toc15377225"/>
      <w:r>
        <w:rPr>
          <w:rFonts w:hint="eastAsia" w:ascii="黑体" w:hAnsi="黑体" w:eastAsia="黑体"/>
          <w:color w:val="000000"/>
          <w:sz w:val="44"/>
          <w:szCs w:val="44"/>
        </w:rPr>
        <w:t>名</w:t>
      </w:r>
      <w:r>
        <w:rPr>
          <w:rStyle w:val="14"/>
          <w:rFonts w:hint="eastAsia" w:ascii="黑体" w:hAnsi="黑体" w:eastAsia="黑体"/>
          <w:b w:val="0"/>
        </w:rPr>
        <w:t>词解释</w:t>
      </w:r>
      <w:bookmarkEnd w:id="90"/>
      <w:bookmarkEnd w:id="91"/>
      <w:bookmarkEnd w:id="92"/>
    </w:p>
    <w:p>
      <w:pPr>
        <w:spacing w:line="600" w:lineRule="exact"/>
        <w:jc w:val="left"/>
        <w:rPr>
          <w:rFonts w:ascii="宋体"/>
          <w:b/>
          <w:color w:val="000000"/>
          <w:sz w:val="44"/>
          <w:szCs w:val="44"/>
        </w:rPr>
      </w:pPr>
    </w:p>
    <w:p>
      <w:pPr>
        <w:pStyle w:val="17"/>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2</w:t>
      </w:r>
      <w:r>
        <w:rPr>
          <w:rFonts w:hint="eastAsia" w:ascii="仿宋" w:hAnsi="仿宋" w:eastAsia="仿宋" w:cs="仿宋"/>
          <w:sz w:val="32"/>
          <w:szCs w:val="32"/>
        </w:rPr>
        <w:t>.其他收入：指单位取得的除上述收入以外的各项收入。主要是</w:t>
      </w:r>
      <w:r>
        <w:rPr>
          <w:rFonts w:hint="eastAsia" w:ascii="仿宋" w:hAnsi="仿宋" w:eastAsia="仿宋" w:cs="仿宋"/>
          <w:sz w:val="32"/>
          <w:szCs w:val="32"/>
          <w:lang w:val="en-US" w:eastAsia="zh-CN"/>
        </w:rPr>
        <w:t>利息收入</w:t>
      </w:r>
      <w:r>
        <w:rPr>
          <w:rFonts w:hint="eastAsia" w:ascii="仿宋" w:hAnsi="仿宋" w:eastAsia="仿宋" w:cs="仿宋"/>
          <w:sz w:val="32"/>
          <w:szCs w:val="32"/>
        </w:rPr>
        <w:t xml:space="preserve">等。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3</w:t>
      </w:r>
      <w:r>
        <w:rPr>
          <w:rFonts w:hint="eastAsia" w:ascii="仿宋" w:hAnsi="仿宋" w:eastAsia="仿宋" w:cs="仿宋"/>
          <w:sz w:val="32"/>
          <w:szCs w:val="32"/>
        </w:rPr>
        <w:t xml:space="preserve">.使用非财政拨款结余：指事业单位使用以前年度积累的非财政拨款结余弥补当年收支差额的金额。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4</w:t>
      </w:r>
      <w:r>
        <w:rPr>
          <w:rFonts w:hint="eastAsia" w:ascii="仿宋" w:hAnsi="仿宋" w:eastAsia="仿宋" w:cs="仿宋"/>
          <w:sz w:val="32"/>
          <w:szCs w:val="32"/>
        </w:rPr>
        <w:t xml:space="preserve">.年初结转和结余：指以前年度尚未完成、结转到本年按有关规定继续使用的资金。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5</w:t>
      </w:r>
      <w:r>
        <w:rPr>
          <w:rFonts w:hint="eastAsia" w:ascii="仿宋" w:hAnsi="仿宋" w:eastAsia="仿宋" w:cs="仿宋"/>
          <w:sz w:val="32"/>
          <w:szCs w:val="32"/>
        </w:rPr>
        <w:t>.结余分配：指事业单位按照会计制度规定缴纳的所得税、提取的专用结余以及转入非财政拨款结余的金额等。</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6</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eastAsia" w:ascii="仿宋" w:hAnsi="仿宋" w:eastAsia="仿宋" w:cs="仿宋"/>
          <w:b w:val="0"/>
          <w:bCs w:val="0"/>
          <w:color w:val="000000"/>
          <w:spacing w:val="0"/>
          <w:w w:val="100"/>
          <w:position w:val="0"/>
          <w:sz w:val="32"/>
          <w:szCs w:val="32"/>
        </w:rPr>
      </w:pPr>
      <w:bookmarkStart w:id="93" w:name="_Toc15396614"/>
      <w:bookmarkStart w:id="94" w:name="_Toc15377226"/>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w:t>
      </w:r>
      <w:r>
        <w:rPr>
          <w:rFonts w:hint="eastAsia" w:ascii="仿宋" w:hAnsi="仿宋" w:eastAsia="仿宋" w:cs="仿宋"/>
          <w:b w:val="0"/>
          <w:bCs w:val="0"/>
          <w:color w:val="000000"/>
          <w:sz w:val="32"/>
          <w:szCs w:val="32"/>
        </w:rPr>
        <w:t>教育（类）普通教育（款）初中教育（项）：指</w:t>
      </w:r>
      <w:r>
        <w:rPr>
          <w:rFonts w:hint="eastAsia" w:ascii="仿宋" w:hAnsi="仿宋" w:eastAsia="仿宋" w:cs="仿宋"/>
          <w:b w:val="0"/>
          <w:bCs w:val="0"/>
          <w:color w:val="000000"/>
          <w:spacing w:val="0"/>
          <w:w w:val="100"/>
          <w:position w:val="0"/>
          <w:sz w:val="32"/>
          <w:szCs w:val="32"/>
        </w:rPr>
        <w:t>反映各部门举办的初中教育支出。政府各部门对社会中介 组织等举办的初中教育的资助，如捐赠、补贴等，也在本科 目中反映。</w:t>
      </w:r>
    </w:p>
    <w:p>
      <w:pPr>
        <w:ind w:firstLine="640" w:firstLineChars="200"/>
        <w:rPr>
          <w:rFonts w:hint="eastAsia" w:ascii="仿宋" w:hAnsi="仿宋" w:eastAsia="仿宋" w:cs="仿宋"/>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 w:hAnsi="仿宋" w:eastAsia="仿宋" w:cs="仿宋"/>
          <w:color w:val="000000"/>
          <w:sz w:val="32"/>
          <w:szCs w:val="32"/>
        </w:rPr>
        <w:t>社会保障和就业支出（类）行政事业单位养老支出（款）机关事业单位基本养老保险缴费支出（项）：指反映机关事业单位实施养老保险制度由单位缴纳的基本老保险费支出。</w:t>
      </w:r>
    </w:p>
    <w:p>
      <w:pPr>
        <w:ind w:firstLine="640" w:firstLineChars="200"/>
        <w:rPr>
          <w:rFonts w:hint="eastAsia" w:ascii="仿宋" w:hAnsi="仿宋" w:eastAsia="仿宋" w:cs="仿宋"/>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 w:hAnsi="仿宋" w:eastAsia="仿宋" w:cs="仿宋"/>
          <w:color w:val="000000"/>
          <w:sz w:val="32"/>
          <w:szCs w:val="32"/>
        </w:rPr>
        <w:t>社会保障和就业支出（类）行政事业单位养老支出（款）机关事业单位职业年金缴费支出（项）：指反映机关事业单位实施养老保险制度由单位实际缴纳的业年金支出。</w:t>
      </w:r>
    </w:p>
    <w:p>
      <w:pPr>
        <w:ind w:firstLine="640" w:firstLineChars="200"/>
        <w:rPr>
          <w:rFonts w:hint="eastAsia" w:ascii="仿宋" w:hAnsi="仿宋" w:eastAsia="仿宋" w:cs="仿宋"/>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 w:hAnsi="仿宋" w:eastAsia="仿宋" w:cs="仿宋"/>
          <w:color w:val="000000"/>
          <w:sz w:val="32"/>
          <w:szCs w:val="32"/>
        </w:rPr>
        <w:t>社会保障和就业支出（类）行政事业单位养老支出（款）其他行政事业单位养老支出（项）：指反映除上述项目以外其他用于行政事业单位养老方面的支出。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 w:hAnsi="仿宋" w:eastAsia="仿宋" w:cs="仿宋"/>
          <w:color w:val="000000"/>
          <w:sz w:val="32"/>
          <w:szCs w:val="32"/>
        </w:rPr>
        <w:t>卫生健康支出（类）行政事业单位医疗（款）事业单位医疗（项）：指反映财政部门安排的事业单位基本医疗保险缴费经费，未 参加医疗保险的事业单位的公费医疗经费，按国家规定享受 离休人员待遇的医疗经费。</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 w:hAnsi="仿宋" w:eastAsia="仿宋" w:cs="仿宋"/>
          <w:color w:val="000000"/>
          <w:sz w:val="32"/>
          <w:szCs w:val="32"/>
        </w:rPr>
        <w:t>住房保障支出（类）住房改革支出（款）住房公积金（项）：指反映行政事业单位按人力资源和社会保障部、财政部规定 的基本工资和津贴补贴以及规定比例为职工缴纳的住房公 积金。</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 xml:space="preserve">.项目支出：指在基本支出之外为完成特定行政任务和事业发展目标所发生的支出。 </w:t>
      </w:r>
    </w:p>
    <w:p>
      <w:pPr>
        <w:pStyle w:val="17"/>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hAnsi="仿宋" w:cs="仿宋"/>
          <w:sz w:val="32"/>
          <w:szCs w:val="32"/>
          <w:lang w:val="en-US" w:eastAsia="zh-CN"/>
        </w:rPr>
        <w:t>5</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0"/>
        <w:rPr>
          <w:rStyle w:val="14"/>
          <w:rFonts w:ascii="黑体" w:hAnsi="黑体" w:eastAsia="黑体"/>
          <w:b w:val="0"/>
        </w:rPr>
      </w:pPr>
      <w:bookmarkStart w:id="95" w:name="_Toc6599"/>
      <w:r>
        <w:rPr>
          <w:rFonts w:hint="eastAsia" w:ascii="黑体" w:hAnsi="黑体" w:eastAsia="黑体"/>
          <w:color w:val="000000"/>
          <w:sz w:val="44"/>
          <w:szCs w:val="44"/>
        </w:rPr>
        <w:t>第</w:t>
      </w:r>
      <w:r>
        <w:rPr>
          <w:rStyle w:val="14"/>
          <w:rFonts w:hint="eastAsia" w:ascii="黑体" w:hAnsi="黑体" w:eastAsia="黑体"/>
          <w:b w:val="0"/>
        </w:rPr>
        <w:t>四部分</w:t>
      </w:r>
      <w:r>
        <w:rPr>
          <w:rStyle w:val="14"/>
          <w:rFonts w:ascii="黑体" w:hAnsi="黑体" w:eastAsia="黑体"/>
          <w:b w:val="0"/>
        </w:rPr>
        <w:t xml:space="preserve"> </w:t>
      </w:r>
      <w:r>
        <w:rPr>
          <w:rStyle w:val="14"/>
          <w:rFonts w:hint="eastAsia" w:ascii="黑体" w:hAnsi="黑体" w:eastAsia="黑体"/>
          <w:b w:val="0"/>
        </w:rPr>
        <w:t>附件</w:t>
      </w:r>
      <w:bookmarkEnd w:id="93"/>
      <w:bookmarkEnd w:id="95"/>
    </w:p>
    <w:p>
      <w:pPr>
        <w:spacing w:line="600" w:lineRule="exact"/>
        <w:jc w:val="left"/>
        <w:outlineLvl w:val="0"/>
        <w:rPr>
          <w:rFonts w:ascii="方正小标宋简体" w:hAnsi="方正小标宋简体" w:eastAsia="方正小标宋简体" w:cs="方正小标宋简体"/>
          <w:sz w:val="32"/>
          <w:szCs w:val="32"/>
        </w:rPr>
      </w:pPr>
      <w:bookmarkStart w:id="96" w:name="_Toc31900"/>
      <w:r>
        <w:rPr>
          <w:rFonts w:hint="eastAsia" w:ascii="黑体" w:hAnsi="黑体" w:eastAsia="黑体" w:cs="黑体"/>
          <w:sz w:val="32"/>
          <w:szCs w:val="32"/>
        </w:rPr>
        <w:t>附件</w:t>
      </w:r>
      <w:r>
        <w:rPr>
          <w:rFonts w:ascii="黑体" w:hAnsi="黑体" w:eastAsia="黑体" w:cs="黑体"/>
          <w:sz w:val="32"/>
          <w:szCs w:val="32"/>
        </w:rPr>
        <w:t>1</w:t>
      </w:r>
      <w:bookmarkEnd w:id="96"/>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四川省乐山市五通桥区新云乡初级中学</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部门概况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（一）机构组成</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乐山市五通桥区新云乡初级中学</w:t>
      </w:r>
      <w:r>
        <w:rPr>
          <w:rFonts w:hint="eastAsia" w:ascii="仿宋" w:hAnsi="仿宋" w:eastAsia="仿宋" w:cs="仿宋"/>
          <w:sz w:val="32"/>
          <w:szCs w:val="32"/>
        </w:rPr>
        <w:t>属一级预算单位，无下属二级单位。</w:t>
      </w:r>
    </w:p>
    <w:p>
      <w:pPr>
        <w:widowControl/>
        <w:numPr>
          <w:ilvl w:val="0"/>
          <w:numId w:val="4"/>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机构职能</w:t>
      </w:r>
    </w:p>
    <w:p>
      <w:pPr>
        <w:ind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乐山市五通桥区新云乡初级中学</w:t>
      </w:r>
      <w:r>
        <w:rPr>
          <w:rFonts w:hint="eastAsia" w:ascii="仿宋" w:hAnsi="仿宋" w:eastAsia="仿宋" w:cs="仿宋"/>
          <w:sz w:val="32"/>
          <w:szCs w:val="32"/>
        </w:rPr>
        <w:t>其主要职能是实施初中义务教育，促进基础教育发展。 初中学历教育。认真贯彻执行党的路线、方针、政策和上级领导部门及学校党委、行政的各项指示、决定，组织安排党委各种会议和重要活动</w:t>
      </w:r>
      <w:r>
        <w:rPr>
          <w:rFonts w:hint="eastAsia" w:ascii="仿宋" w:hAnsi="仿宋" w:eastAsia="仿宋" w:cs="仿宋"/>
          <w:sz w:val="32"/>
          <w:szCs w:val="32"/>
          <w:lang w:eastAsia="zh-CN"/>
        </w:rPr>
        <w:t>。</w:t>
      </w:r>
    </w:p>
    <w:p>
      <w:pPr>
        <w:widowControl/>
        <w:numPr>
          <w:ilvl w:val="0"/>
          <w:numId w:val="4"/>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人员概况</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乐山市五通桥区新云乡初级中学</w:t>
      </w:r>
      <w:r>
        <w:rPr>
          <w:rFonts w:hint="eastAsia" w:ascii="仿宋" w:hAnsi="仿宋" w:eastAsia="仿宋" w:cs="仿宋"/>
          <w:sz w:val="32"/>
          <w:szCs w:val="32"/>
          <w:lang w:val="en-US" w:eastAsia="zh-CN"/>
        </w:rPr>
        <w:t>年末在职人数14人</w:t>
      </w:r>
      <w:r>
        <w:rPr>
          <w:rFonts w:hint="eastAsia" w:ascii="仿宋" w:hAnsi="仿宋" w:eastAsia="仿宋" w:cs="仿宋"/>
          <w:sz w:val="32"/>
          <w:szCs w:val="32"/>
        </w:rPr>
        <w:t>。</w:t>
      </w:r>
    </w:p>
    <w:p>
      <w:pPr>
        <w:widowControl/>
        <w:adjustRightInd w:val="0"/>
        <w:snapToGrid w:val="0"/>
        <w:spacing w:line="580" w:lineRule="exact"/>
        <w:ind w:firstLine="960" w:firstLineChars="3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（一）部门财政资金收入情况</w:t>
      </w:r>
    </w:p>
    <w:p>
      <w:pPr>
        <w:spacing w:line="600" w:lineRule="exact"/>
        <w:ind w:firstLine="640"/>
        <w:rPr>
          <w:rFonts w:hint="eastAsia" w:ascii="仿宋_GB2312" w:hAnsi="宋体" w:eastAsia="仿宋_GB2312" w:cs="宋体"/>
          <w:color w:val="000000"/>
          <w:kern w:val="0"/>
          <w:sz w:val="32"/>
          <w:szCs w:val="32"/>
          <w:shd w:val="clear" w:color="auto" w:fill="FFFFFF"/>
          <w:lang w:val="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入204.82万元</w:t>
      </w:r>
      <w:r>
        <w:rPr>
          <w:rFonts w:hint="eastAsia" w:ascii="仿宋" w:hAnsi="仿宋" w:eastAsia="仿宋"/>
          <w:color w:val="000000"/>
          <w:sz w:val="32"/>
          <w:szCs w:val="32"/>
        </w:rPr>
        <w:t>。与</w:t>
      </w:r>
      <w:r>
        <w:rPr>
          <w:rFonts w:hint="eastAsia" w:ascii="仿宋" w:hAnsi="仿宋" w:eastAsia="仿宋"/>
          <w:color w:val="000000"/>
          <w:sz w:val="32"/>
          <w:szCs w:val="32"/>
          <w:lang w:eastAsia="zh-CN"/>
        </w:rPr>
        <w:t>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val="en-US" w:eastAsia="zh-CN"/>
        </w:rPr>
        <w:t>入增加9.29万元、增加4.75</w:t>
      </w:r>
      <w:r>
        <w:rPr>
          <w:rFonts w:ascii="仿宋" w:hAnsi="仿宋" w:eastAsia="仿宋"/>
          <w:color w:val="000000"/>
          <w:sz w:val="32"/>
          <w:szCs w:val="32"/>
        </w:rPr>
        <w:t>%</w:t>
      </w:r>
      <w:r>
        <w:rPr>
          <w:rFonts w:hint="eastAsia" w:ascii="仿宋" w:hAnsi="仿宋" w:eastAsia="仿宋"/>
          <w:color w:val="000000"/>
          <w:sz w:val="32"/>
          <w:szCs w:val="32"/>
        </w:rPr>
        <w:t>。</w:t>
      </w:r>
    </w:p>
    <w:p>
      <w:pPr>
        <w:widowControl/>
        <w:numPr>
          <w:ilvl w:val="0"/>
          <w:numId w:val="0"/>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（二）部门财政资金支出情况。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基本支出</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20</w:t>
      </w:r>
      <w:r>
        <w:rPr>
          <w:rFonts w:hint="eastAsia" w:ascii="仿宋" w:hAnsi="仿宋" w:eastAsia="仿宋" w:cs="仿宋"/>
          <w:i w:val="0"/>
          <w:iCs w:val="0"/>
          <w:caps w:val="0"/>
          <w:color w:val="333333"/>
          <w:spacing w:val="0"/>
          <w:sz w:val="32"/>
          <w:szCs w:val="32"/>
          <w:lang w:val="en-US" w:eastAsia="zh-CN"/>
        </w:rPr>
        <w:t>20</w:t>
      </w:r>
      <w:r>
        <w:rPr>
          <w:rFonts w:hint="eastAsia" w:ascii="仿宋" w:hAnsi="仿宋" w:eastAsia="仿宋" w:cs="仿宋"/>
          <w:i w:val="0"/>
          <w:iCs w:val="0"/>
          <w:caps w:val="0"/>
          <w:color w:val="333333"/>
          <w:spacing w:val="0"/>
          <w:sz w:val="32"/>
          <w:szCs w:val="32"/>
        </w:rPr>
        <w:t>年1</w:t>
      </w:r>
      <w:r>
        <w:rPr>
          <w:rFonts w:hint="eastAsia" w:ascii="仿宋" w:hAnsi="仿宋" w:eastAsia="仿宋" w:cs="仿宋"/>
          <w:i w:val="0"/>
          <w:iCs w:val="0"/>
          <w:caps w:val="0"/>
          <w:color w:val="333333"/>
          <w:spacing w:val="0"/>
          <w:sz w:val="32"/>
          <w:szCs w:val="32"/>
          <w:lang w:val="en-US" w:eastAsia="zh-CN"/>
        </w:rPr>
        <w:t>2</w:t>
      </w:r>
      <w:r>
        <w:rPr>
          <w:rFonts w:hint="eastAsia" w:ascii="仿宋" w:hAnsi="仿宋" w:eastAsia="仿宋" w:cs="仿宋"/>
          <w:i w:val="0"/>
          <w:iCs w:val="0"/>
          <w:caps w:val="0"/>
          <w:color w:val="333333"/>
          <w:spacing w:val="0"/>
          <w:sz w:val="32"/>
          <w:szCs w:val="32"/>
        </w:rPr>
        <w:t>月止基本支出</w:t>
      </w:r>
      <w:r>
        <w:rPr>
          <w:rFonts w:hint="eastAsia" w:ascii="仿宋" w:hAnsi="仿宋" w:eastAsia="仿宋" w:cs="仿宋"/>
          <w:i w:val="0"/>
          <w:iCs w:val="0"/>
          <w:caps w:val="0"/>
          <w:color w:val="333333"/>
          <w:spacing w:val="0"/>
          <w:sz w:val="32"/>
          <w:szCs w:val="32"/>
          <w:lang w:val="en-US" w:eastAsia="zh-CN"/>
        </w:rPr>
        <w:t>195.32</w:t>
      </w:r>
      <w:r>
        <w:rPr>
          <w:rFonts w:hint="eastAsia" w:ascii="仿宋" w:hAnsi="仿宋" w:eastAsia="仿宋" w:cs="仿宋"/>
          <w:i w:val="0"/>
          <w:iCs w:val="0"/>
          <w:caps w:val="0"/>
          <w:color w:val="333333"/>
          <w:spacing w:val="0"/>
          <w:sz w:val="32"/>
          <w:szCs w:val="32"/>
        </w:rPr>
        <w:t>万元，其中：人员经费支出</w:t>
      </w:r>
      <w:r>
        <w:rPr>
          <w:rFonts w:hint="eastAsia" w:ascii="仿宋" w:hAnsi="仿宋" w:eastAsia="仿宋" w:cs="仿宋"/>
          <w:i w:val="0"/>
          <w:iCs w:val="0"/>
          <w:caps w:val="0"/>
          <w:color w:val="333333"/>
          <w:spacing w:val="0"/>
          <w:sz w:val="32"/>
          <w:szCs w:val="32"/>
          <w:lang w:val="en-US" w:eastAsia="zh-CN"/>
        </w:rPr>
        <w:t>189.82</w:t>
      </w:r>
      <w:r>
        <w:rPr>
          <w:rFonts w:hint="eastAsia" w:ascii="仿宋" w:hAnsi="仿宋" w:eastAsia="仿宋" w:cs="仿宋"/>
          <w:i w:val="0"/>
          <w:iCs w:val="0"/>
          <w:caps w:val="0"/>
          <w:color w:val="333333"/>
          <w:spacing w:val="0"/>
          <w:sz w:val="32"/>
          <w:szCs w:val="32"/>
        </w:rPr>
        <w:t>万元、商品和服务支出</w:t>
      </w:r>
      <w:r>
        <w:rPr>
          <w:rFonts w:hint="eastAsia" w:ascii="仿宋" w:hAnsi="仿宋" w:eastAsia="仿宋" w:cs="仿宋"/>
          <w:i w:val="0"/>
          <w:iCs w:val="0"/>
          <w:caps w:val="0"/>
          <w:color w:val="333333"/>
          <w:spacing w:val="0"/>
          <w:sz w:val="32"/>
          <w:szCs w:val="32"/>
          <w:lang w:val="en-US" w:eastAsia="zh-CN"/>
        </w:rPr>
        <w:t>5.5</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工会经费</w:t>
      </w:r>
      <w:r>
        <w:rPr>
          <w:rFonts w:hint="eastAsia" w:ascii="仿宋" w:hAnsi="仿宋" w:eastAsia="仿宋" w:cs="仿宋"/>
          <w:i w:val="0"/>
          <w:iCs w:val="0"/>
          <w:caps w:val="0"/>
          <w:color w:val="333333"/>
          <w:spacing w:val="0"/>
          <w:sz w:val="32"/>
          <w:szCs w:val="32"/>
        </w:rPr>
        <w:t>、</w:t>
      </w:r>
      <w:r>
        <w:rPr>
          <w:rFonts w:hint="eastAsia" w:ascii="仿宋" w:hAnsi="仿宋" w:eastAsia="仿宋" w:cs="仿宋"/>
          <w:i w:val="0"/>
          <w:iCs w:val="0"/>
          <w:caps w:val="0"/>
          <w:color w:val="333333"/>
          <w:spacing w:val="0"/>
          <w:sz w:val="32"/>
          <w:szCs w:val="32"/>
          <w:lang w:eastAsia="zh-CN"/>
        </w:rPr>
        <w:t>福利费</w:t>
      </w:r>
      <w:r>
        <w:rPr>
          <w:rFonts w:hint="eastAsia" w:ascii="仿宋" w:hAnsi="仿宋" w:eastAsia="仿宋" w:cs="仿宋"/>
          <w:i w:val="0"/>
          <w:iCs w:val="0"/>
          <w:caps w:val="0"/>
          <w:color w:val="333333"/>
          <w:spacing w:val="0"/>
          <w:sz w:val="32"/>
          <w:szCs w:val="32"/>
        </w:rPr>
        <w:t>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
          <w:i w:val="0"/>
          <w:iCs w:val="0"/>
          <w:caps w:val="0"/>
          <w:color w:val="333333"/>
          <w:spacing w:val="0"/>
          <w:sz w:val="32"/>
          <w:szCs w:val="32"/>
        </w:rPr>
        <w:t>专项支出</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本年下拨专项资金</w:t>
      </w:r>
      <w:r>
        <w:rPr>
          <w:rFonts w:hint="eastAsia" w:ascii="仿宋" w:hAnsi="仿宋" w:eastAsia="仿宋" w:cs="仿宋"/>
          <w:i w:val="0"/>
          <w:iCs w:val="0"/>
          <w:caps w:val="0"/>
          <w:color w:val="333333"/>
          <w:spacing w:val="0"/>
          <w:sz w:val="32"/>
          <w:szCs w:val="32"/>
          <w:lang w:val="en-US" w:eastAsia="zh-CN"/>
        </w:rPr>
        <w:t>9.5</w:t>
      </w:r>
      <w:r>
        <w:rPr>
          <w:rFonts w:hint="eastAsia" w:ascii="仿宋" w:hAnsi="仿宋" w:eastAsia="仿宋" w:cs="仿宋"/>
          <w:i w:val="0"/>
          <w:iCs w:val="0"/>
          <w:caps w:val="0"/>
          <w:color w:val="333333"/>
          <w:spacing w:val="0"/>
          <w:sz w:val="32"/>
          <w:szCs w:val="32"/>
        </w:rPr>
        <w:t>万元，专项资金实行“专人管理、专线使用、专账核算”，按照《专项资金使用办法》、《专项资金管理制度》、《财务管理制度》等制度，该资金用于</w:t>
      </w:r>
      <w:r>
        <w:rPr>
          <w:rFonts w:hint="eastAsia" w:ascii="仿宋" w:hAnsi="仿宋" w:eastAsia="仿宋" w:cs="仿宋"/>
          <w:i w:val="0"/>
          <w:iCs w:val="0"/>
          <w:caps w:val="0"/>
          <w:color w:val="333333"/>
          <w:spacing w:val="0"/>
          <w:sz w:val="32"/>
          <w:szCs w:val="32"/>
          <w:lang w:eastAsia="zh-CN"/>
        </w:rPr>
        <w:t>学校正常运行</w:t>
      </w:r>
      <w:r>
        <w:rPr>
          <w:rFonts w:hint="eastAsia" w:ascii="仿宋" w:hAnsi="仿宋" w:eastAsia="仿宋" w:cs="仿宋"/>
          <w:i w:val="0"/>
          <w:iCs w:val="0"/>
          <w:caps w:val="0"/>
          <w:color w:val="333333"/>
          <w:spacing w:val="0"/>
          <w:sz w:val="32"/>
          <w:szCs w:val="32"/>
        </w:rPr>
        <w:t>。共投入资金</w:t>
      </w:r>
      <w:r>
        <w:rPr>
          <w:rFonts w:hint="eastAsia" w:ascii="仿宋" w:hAnsi="仿宋" w:eastAsia="仿宋" w:cs="仿宋"/>
          <w:i w:val="0"/>
          <w:iCs w:val="0"/>
          <w:caps w:val="0"/>
          <w:color w:val="333333"/>
          <w:spacing w:val="0"/>
          <w:sz w:val="32"/>
          <w:szCs w:val="32"/>
          <w:lang w:val="en-US" w:eastAsia="zh-CN"/>
        </w:rPr>
        <w:t>9.5</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 w:cs="Times New Roman"/>
          <w:i w:val="0"/>
          <w:iCs w:val="0"/>
          <w:caps w:val="0"/>
          <w:color w:val="333333"/>
          <w:spacing w:val="0"/>
          <w:sz w:val="21"/>
          <w:szCs w:val="21"/>
          <w:highlight w:val="none"/>
          <w:lang w:val="en-US" w:eastAsia="zh-CN"/>
        </w:rPr>
      </w:pPr>
      <w:r>
        <w:rPr>
          <w:rFonts w:hint="eastAsia" w:ascii="仿宋" w:hAnsi="仿宋" w:eastAsia="仿宋" w:cs="仿宋"/>
          <w:i w:val="0"/>
          <w:iCs w:val="0"/>
          <w:caps w:val="0"/>
          <w:color w:val="333333"/>
          <w:spacing w:val="0"/>
          <w:sz w:val="32"/>
          <w:szCs w:val="32"/>
        </w:rPr>
        <w:t>（一）</w:t>
      </w:r>
      <w:r>
        <w:rPr>
          <w:rFonts w:hint="eastAsia" w:ascii="仿宋" w:hAnsi="仿宋" w:eastAsia="仿宋" w:cs="仿宋"/>
          <w:i w:val="0"/>
          <w:iCs w:val="0"/>
          <w:caps w:val="0"/>
          <w:color w:val="333333"/>
          <w:spacing w:val="0"/>
          <w:sz w:val="32"/>
          <w:szCs w:val="32"/>
          <w:highlight w:val="none"/>
          <w:lang w:val="en-US" w:eastAsia="zh-CN"/>
        </w:rPr>
        <w:t>部门预算管理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20</w:t>
      </w:r>
      <w:r>
        <w:rPr>
          <w:rFonts w:hint="eastAsia" w:ascii="仿宋" w:hAnsi="仿宋" w:eastAsia="仿宋" w:cs="仿宋"/>
          <w:i w:val="0"/>
          <w:iCs w:val="0"/>
          <w:caps w:val="0"/>
          <w:color w:val="333333"/>
          <w:spacing w:val="0"/>
          <w:sz w:val="32"/>
          <w:szCs w:val="32"/>
          <w:lang w:val="en-US" w:eastAsia="zh-CN"/>
        </w:rPr>
        <w:t>20</w:t>
      </w:r>
      <w:r>
        <w:rPr>
          <w:rFonts w:hint="eastAsia" w:ascii="仿宋" w:hAnsi="仿宋" w:eastAsia="仿宋" w:cs="仿宋"/>
          <w:i w:val="0"/>
          <w:iCs w:val="0"/>
          <w:caps w:val="0"/>
          <w:color w:val="333333"/>
          <w:spacing w:val="0"/>
          <w:sz w:val="32"/>
          <w:szCs w:val="32"/>
        </w:rPr>
        <w:t>年</w:t>
      </w:r>
      <w:r>
        <w:rPr>
          <w:rFonts w:hint="eastAsia" w:ascii="仿宋" w:hAnsi="仿宋" w:eastAsia="仿宋" w:cs="仿宋"/>
          <w:i w:val="0"/>
          <w:iCs w:val="0"/>
          <w:caps w:val="0"/>
          <w:color w:val="333333"/>
          <w:spacing w:val="0"/>
          <w:sz w:val="32"/>
          <w:szCs w:val="32"/>
          <w:lang w:eastAsia="zh-CN"/>
        </w:rPr>
        <w:t>四川省乐山市五通桥区新云乡初级中学</w:t>
      </w:r>
      <w:r>
        <w:rPr>
          <w:rFonts w:hint="eastAsia" w:ascii="仿宋" w:hAnsi="仿宋" w:eastAsia="仿宋" w:cs="仿宋"/>
          <w:i w:val="0"/>
          <w:iCs w:val="0"/>
          <w:caps w:val="0"/>
          <w:color w:val="333333"/>
          <w:spacing w:val="0"/>
          <w:sz w:val="32"/>
          <w:szCs w:val="32"/>
        </w:rPr>
        <w:t>整体支出按照财政局下达的预算批复，对于基本支出中的工资福利支出、对个人和家庭补助支出按照实际在职人员及进度均衡支付；对于商品及服务支出（日常公用经费）按照年初预算执行，实现内部报告审批制度，实时监控支出情况；对于项目支出的经费使用情况进行监督检查；严格遵循厉行节约的精神，按规定开支“三公”经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工作经费安排严格按照年初预算来执行，有效防止了超预算；认真学习财经法规，严格执行财经纪律，防止了违法违纪行为的发生。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 w:cs="Times New Roman"/>
          <w:i w:val="0"/>
          <w:iCs w:val="0"/>
          <w:caps w:val="0"/>
          <w:color w:val="333333"/>
          <w:spacing w:val="0"/>
          <w:sz w:val="32"/>
          <w:szCs w:val="32"/>
          <w:highlight w:val="none"/>
          <w:lang w:val="en-US" w:eastAsia="zh-CN"/>
        </w:rPr>
      </w:pPr>
      <w:r>
        <w:rPr>
          <w:rFonts w:hint="eastAsia" w:ascii="仿宋" w:hAnsi="仿宋" w:eastAsia="仿宋" w:cs="仿宋"/>
          <w:i w:val="0"/>
          <w:iCs w:val="0"/>
          <w:caps w:val="0"/>
          <w:color w:val="333333"/>
          <w:spacing w:val="0"/>
          <w:sz w:val="32"/>
          <w:szCs w:val="32"/>
        </w:rPr>
        <w:t>（二）</w:t>
      </w:r>
      <w:r>
        <w:rPr>
          <w:rFonts w:hint="eastAsia" w:ascii="仿宋" w:hAnsi="仿宋" w:eastAsia="仿宋" w:cs="仿宋"/>
          <w:i w:val="0"/>
          <w:iCs w:val="0"/>
          <w:caps w:val="0"/>
          <w:color w:val="333333"/>
          <w:spacing w:val="0"/>
          <w:sz w:val="32"/>
          <w:szCs w:val="32"/>
          <w:highlight w:val="none"/>
          <w:lang w:val="en-US" w:eastAsia="zh-CN"/>
        </w:rPr>
        <w:t>应用结果情况</w:t>
      </w:r>
    </w:p>
    <w:p>
      <w:r>
        <w:rPr>
          <w:rFonts w:hint="eastAsia" w:ascii="仿宋" w:hAnsi="仿宋" w:eastAsia="仿宋" w:cs="仿宋"/>
          <w:i w:val="0"/>
          <w:iCs w:val="0"/>
          <w:caps w:val="0"/>
          <w:color w:val="333333"/>
          <w:spacing w:val="0"/>
          <w:sz w:val="32"/>
          <w:szCs w:val="32"/>
        </w:rPr>
        <w:t>推进了专项工作落实</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财政监督检查、专项资金检查、违规发放津补贴的自查等多项管理工作，确保了专项资金在使用和管理上单独核算、专款专用</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保障了</w:t>
      </w: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有效运转</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严格按照厉行节约的要求，精打细算，规范</w:t>
      </w: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运转管理工作，进一步公务用车、公务接待等方面加强集中管理，提高服务质量，降低运行成本，合理配置，提高保障能力</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具备正确的办学理念并内化为行动习惯，规划科学的办学目标，特有的学校文化氛围，推陈出新的能力，科学管理理念与方法，学校队伍建设等的办学理念。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w:t>
      </w:r>
      <w:r>
        <w:rPr>
          <w:rFonts w:hint="eastAsia" w:ascii="仿宋" w:hAnsi="仿宋" w:eastAsia="仿宋" w:cs="仿宋"/>
          <w:color w:val="000000"/>
          <w:kern w:val="0"/>
          <w:sz w:val="32"/>
          <w:szCs w:val="32"/>
          <w:shd w:val="clear" w:color="auto" w:fill="FFFFFF"/>
          <w:lang w:val="zh-CN"/>
        </w:rPr>
        <w:t>评价结论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51"/>
        <w:jc w:val="both"/>
        <w:rPr>
          <w:rFonts w:hint="eastAsia" w:ascii="仿宋" w:hAnsi="仿宋" w:eastAsia="仿宋" w:cs="仿宋"/>
          <w:i w:val="0"/>
          <w:iCs w:val="0"/>
          <w:caps w:val="0"/>
          <w:color w:val="333333"/>
          <w:spacing w:val="0"/>
          <w:sz w:val="32"/>
          <w:szCs w:val="32"/>
          <w:lang w:val="zh-CN"/>
        </w:rPr>
      </w:pPr>
      <w:r>
        <w:rPr>
          <w:rFonts w:hint="eastAsia" w:ascii="仿宋" w:hAnsi="仿宋" w:eastAsia="仿宋" w:cs="仿宋"/>
          <w:i w:val="0"/>
          <w:iCs w:val="0"/>
          <w:caps w:val="0"/>
          <w:color w:val="333333"/>
          <w:spacing w:val="0"/>
          <w:sz w:val="32"/>
          <w:szCs w:val="32"/>
        </w:rPr>
        <w:t>按照财政部门整体支出绩效评价指标细则，我</w:t>
      </w:r>
      <w:r>
        <w:rPr>
          <w:rFonts w:hint="eastAsia" w:ascii="仿宋" w:hAnsi="仿宋" w:eastAsia="仿宋" w:cs="仿宋"/>
          <w:i w:val="0"/>
          <w:iCs w:val="0"/>
          <w:caps w:val="0"/>
          <w:color w:val="333333"/>
          <w:spacing w:val="0"/>
          <w:sz w:val="32"/>
          <w:szCs w:val="32"/>
          <w:lang w:eastAsia="zh-CN"/>
        </w:rPr>
        <w:t>校</w:t>
      </w:r>
      <w:r>
        <w:rPr>
          <w:rFonts w:hint="eastAsia" w:ascii="仿宋" w:hAnsi="仿宋" w:eastAsia="仿宋" w:cs="仿宋"/>
          <w:i w:val="0"/>
          <w:iCs w:val="0"/>
          <w:caps w:val="0"/>
          <w:color w:val="333333"/>
          <w:spacing w:val="0"/>
          <w:sz w:val="32"/>
          <w:szCs w:val="32"/>
        </w:rPr>
        <w:t>自评得分</w:t>
      </w:r>
      <w:r>
        <w:rPr>
          <w:rFonts w:hint="eastAsia" w:ascii="仿宋" w:hAnsi="仿宋" w:eastAsia="仿宋" w:cs="仿宋"/>
          <w:i w:val="0"/>
          <w:iCs w:val="0"/>
          <w:caps w:val="0"/>
          <w:color w:val="333333"/>
          <w:spacing w:val="0"/>
          <w:sz w:val="32"/>
          <w:szCs w:val="32"/>
          <w:highlight w:val="none"/>
          <w:lang w:val="en-US" w:eastAsia="zh-CN"/>
        </w:rPr>
        <w:t>100</w:t>
      </w:r>
      <w:r>
        <w:rPr>
          <w:rFonts w:hint="eastAsia" w:ascii="仿宋" w:hAnsi="仿宋" w:eastAsia="仿宋" w:cs="仿宋"/>
          <w:i w:val="0"/>
          <w:iCs w:val="0"/>
          <w:caps w:val="0"/>
          <w:color w:val="333333"/>
          <w:spacing w:val="0"/>
          <w:sz w:val="32"/>
          <w:szCs w:val="32"/>
        </w:rPr>
        <w:t>分，总体评</w:t>
      </w:r>
      <w:r>
        <w:rPr>
          <w:rFonts w:hint="eastAsia" w:ascii="仿宋" w:hAnsi="仿宋" w:eastAsia="仿宋" w:cs="仿宋"/>
          <w:i w:val="0"/>
          <w:iCs w:val="0"/>
          <w:caps w:val="0"/>
          <w:color w:val="333333"/>
          <w:spacing w:val="0"/>
          <w:sz w:val="32"/>
          <w:szCs w:val="32"/>
          <w:lang w:eastAsia="zh-CN"/>
        </w:rPr>
        <w:t>分为优</w:t>
      </w:r>
      <w:r>
        <w:rPr>
          <w:rFonts w:hint="eastAsia" w:ascii="仿宋" w:hAnsi="仿宋" w:eastAsia="仿宋" w:cs="仿宋"/>
          <w:i w:val="0"/>
          <w:iCs w:val="0"/>
          <w:caps w:val="0"/>
          <w:color w:val="333333"/>
          <w:spacing w:val="0"/>
          <w:sz w:val="32"/>
          <w:szCs w:val="32"/>
        </w:rPr>
        <w:t>。</w:t>
      </w:r>
    </w:p>
    <w:p>
      <w:pPr>
        <w:widowControl/>
        <w:numPr>
          <w:ilvl w:val="0"/>
          <w:numId w:val="0"/>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en-US" w:eastAsia="zh-CN"/>
        </w:rPr>
        <w:t>(二)</w:t>
      </w:r>
      <w:r>
        <w:rPr>
          <w:rFonts w:hint="eastAsia" w:ascii="仿宋" w:hAnsi="仿宋" w:eastAsia="仿宋" w:cs="仿宋"/>
          <w:color w:val="000000"/>
          <w:kern w:val="0"/>
          <w:sz w:val="32"/>
          <w:szCs w:val="32"/>
          <w:shd w:val="clear" w:color="auto" w:fill="FFFFFF"/>
          <w:lang w:val="zh-CN"/>
        </w:rPr>
        <w:t>存在问题</w:t>
      </w:r>
    </w:p>
    <w:p>
      <w:pPr>
        <w:widowControl/>
        <w:adjustRightInd w:val="0"/>
        <w:snapToGrid w:val="0"/>
        <w:spacing w:line="580" w:lineRule="exact"/>
        <w:ind w:firstLine="1600" w:firstLineChars="5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无</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w:t>
      </w:r>
      <w:r>
        <w:rPr>
          <w:rFonts w:hint="eastAsia" w:ascii="仿宋" w:hAnsi="仿宋" w:eastAsia="仿宋" w:cs="仿宋"/>
          <w:color w:val="000000"/>
          <w:kern w:val="0"/>
          <w:sz w:val="32"/>
          <w:szCs w:val="32"/>
          <w:shd w:val="clear" w:color="auto" w:fill="FFFFFF"/>
          <w:lang w:val="zh-CN"/>
        </w:rPr>
        <w:t>改进建议</w:t>
      </w:r>
    </w:p>
    <w:p>
      <w:pPr>
        <w:spacing w:line="580" w:lineRule="exact"/>
        <w:ind w:firstLine="1600" w:firstLineChars="5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spacing w:line="580" w:lineRule="exact"/>
        <w:ind w:firstLine="1600" w:firstLineChars="500"/>
        <w:rPr>
          <w:rFonts w:hint="eastAsia" w:ascii="仿宋" w:hAnsi="仿宋" w:eastAsia="仿宋" w:cs="仿宋"/>
          <w:sz w:val="32"/>
          <w:szCs w:val="32"/>
          <w:lang w:eastAsia="zh-CN"/>
        </w:rPr>
      </w:pPr>
    </w:p>
    <w:p>
      <w:pPr>
        <w:spacing w:line="580" w:lineRule="exact"/>
        <w:ind w:firstLine="1600" w:firstLineChars="500"/>
        <w:rPr>
          <w:rFonts w:hint="eastAsia" w:ascii="仿宋" w:hAnsi="仿宋" w:eastAsia="仿宋" w:cs="仿宋"/>
          <w:sz w:val="32"/>
          <w:szCs w:val="32"/>
          <w:lang w:eastAsia="zh-CN"/>
        </w:rPr>
      </w:pPr>
    </w:p>
    <w:p>
      <w:pPr>
        <w:spacing w:line="580" w:lineRule="exact"/>
        <w:ind w:firstLine="1600" w:firstLineChars="500"/>
        <w:rPr>
          <w:rFonts w:hint="eastAsia" w:ascii="仿宋" w:hAnsi="仿宋" w:eastAsia="仿宋" w:cs="仿宋"/>
          <w:sz w:val="32"/>
          <w:szCs w:val="32"/>
          <w:lang w:eastAsia="zh-CN"/>
        </w:rPr>
      </w:pPr>
    </w:p>
    <w:p>
      <w:pPr>
        <w:spacing w:line="580" w:lineRule="exact"/>
        <w:ind w:firstLine="1600" w:firstLineChars="500"/>
        <w:rPr>
          <w:rFonts w:hint="eastAsia" w:ascii="仿宋" w:hAnsi="仿宋" w:eastAsia="仿宋" w:cs="仿宋"/>
          <w:sz w:val="32"/>
          <w:szCs w:val="32"/>
          <w:lang w:eastAsia="zh-CN"/>
        </w:rPr>
      </w:pPr>
    </w:p>
    <w:p>
      <w:pPr>
        <w:spacing w:line="580" w:lineRule="exact"/>
        <w:ind w:firstLine="1600" w:firstLineChars="500"/>
        <w:rPr>
          <w:rFonts w:hint="eastAsia" w:ascii="仿宋" w:hAnsi="仿宋" w:eastAsia="仿宋" w:cs="仿宋"/>
          <w:sz w:val="32"/>
          <w:szCs w:val="32"/>
          <w:lang w:eastAsia="zh-CN"/>
        </w:rPr>
      </w:pPr>
    </w:p>
    <w:p>
      <w:pPr>
        <w:spacing w:line="580" w:lineRule="exact"/>
        <w:ind w:firstLine="1600" w:firstLineChars="500"/>
        <w:rPr>
          <w:rFonts w:hint="eastAsia" w:ascii="仿宋" w:hAnsi="仿宋" w:eastAsia="仿宋" w:cs="仿宋"/>
          <w:sz w:val="32"/>
          <w:szCs w:val="32"/>
          <w:lang w:eastAsia="zh-CN"/>
        </w:rPr>
      </w:pPr>
    </w:p>
    <w:p>
      <w:pPr>
        <w:spacing w:line="580" w:lineRule="exact"/>
        <w:ind w:firstLine="1600" w:firstLineChars="500"/>
        <w:rPr>
          <w:rFonts w:hint="eastAsia" w:ascii="仿宋" w:hAnsi="仿宋" w:eastAsia="仿宋" w:cs="仿宋"/>
          <w:sz w:val="32"/>
          <w:szCs w:val="32"/>
          <w:lang w:eastAsia="zh-CN"/>
        </w:rPr>
      </w:pPr>
    </w:p>
    <w:p>
      <w:pPr>
        <w:spacing w:line="580" w:lineRule="exact"/>
        <w:ind w:firstLine="1600" w:firstLineChars="500"/>
        <w:rPr>
          <w:rFonts w:hint="eastAsia" w:ascii="仿宋" w:hAnsi="仿宋" w:eastAsia="仿宋" w:cs="仿宋"/>
          <w:sz w:val="32"/>
          <w:szCs w:val="32"/>
          <w:lang w:eastAsia="zh-CN"/>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四川省乐山市五通桥区新云乡初级中学</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en-US" w:eastAsia="zh-CN"/>
        </w:rPr>
        <w:t>生均公用经费</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项目基本情况</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color w:val="000000"/>
          <w:kern w:val="0"/>
          <w:sz w:val="32"/>
          <w:szCs w:val="32"/>
          <w:shd w:val="clear" w:color="auto" w:fill="FFFFFF"/>
          <w:lang w:val="en-US" w:eastAsia="zh-CN"/>
        </w:rPr>
        <w:t>项目职能：</w:t>
      </w:r>
    </w:p>
    <w:p>
      <w:pPr>
        <w:ind w:firstLineChars="200"/>
        <w:rPr>
          <w:rFonts w:hint="eastAsia" w:ascii="仿宋" w:hAnsi="仿宋" w:eastAsia="仿宋" w:cs="仿宋"/>
          <w:sz w:val="32"/>
          <w:szCs w:val="32"/>
          <w:lang w:val="zh-CN"/>
        </w:rPr>
      </w:pPr>
      <w:r>
        <w:rPr>
          <w:rFonts w:hint="eastAsia" w:ascii="仿宋" w:hAnsi="仿宋" w:eastAsia="仿宋" w:cs="仿宋"/>
          <w:sz w:val="32"/>
          <w:szCs w:val="32"/>
        </w:rPr>
        <w:t>坚持“依法治校，以人为本，培养基础性、发展性人才”的办学理念，狠抓外树形象，内提质量工程，积极推进素质教育，着力纯正校风学风，其教育教学质量居区中上水平。认真贯彻执行党的路线、方针、政策和上级领导部门及学校党委、行政的各项指示、决定。</w:t>
      </w:r>
      <w:r>
        <w:rPr>
          <w:rFonts w:hint="eastAsia" w:ascii="仿宋" w:hAnsi="仿宋" w:eastAsia="仿宋" w:cs="仿宋"/>
          <w:sz w:val="32"/>
          <w:szCs w:val="32"/>
          <w:lang w:eastAsia="zh-CN"/>
        </w:rPr>
        <w:t>用于</w:t>
      </w:r>
      <w:r>
        <w:rPr>
          <w:rFonts w:hint="eastAsia" w:ascii="仿宋" w:hAnsi="仿宋" w:eastAsia="仿宋" w:cs="仿宋"/>
          <w:sz w:val="32"/>
          <w:szCs w:val="32"/>
          <w:lang w:val="zh-CN"/>
        </w:rPr>
        <w:t>义务教育阶段的中央省区级公用经费、义务教育学校随班就读学生公用经费</w:t>
      </w:r>
      <w:bookmarkStart w:id="140" w:name="_GoBack"/>
      <w:bookmarkEnd w:id="140"/>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2．项目立项、资金申报的依据</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用于学校全</w:t>
      </w:r>
      <w:r>
        <w:rPr>
          <w:rFonts w:hint="eastAsia" w:ascii="仿宋" w:hAnsi="仿宋" w:eastAsia="仿宋" w:cs="仿宋"/>
          <w:sz w:val="32"/>
          <w:szCs w:val="32"/>
          <w:highlight w:val="none"/>
          <w:lang w:val="en-US" w:eastAsia="zh-CN"/>
        </w:rPr>
        <w:t>年教育教学正常运转支出</w:t>
      </w:r>
      <w:r>
        <w:rPr>
          <w:rFonts w:hint="eastAsia" w:ascii="仿宋" w:hAnsi="仿宋" w:eastAsia="仿宋" w:cs="仿宋"/>
          <w:sz w:val="32"/>
          <w:szCs w:val="32"/>
          <w:lang w:val="en-US" w:eastAsia="zh-CN"/>
        </w:rPr>
        <w:t>。</w:t>
      </w:r>
    </w:p>
    <w:p>
      <w:pPr>
        <w:numPr>
          <w:ilvl w:val="0"/>
          <w:numId w:val="5"/>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numPr>
          <w:ilvl w:val="0"/>
          <w:numId w:val="0"/>
        </w:numPr>
        <w:spacing w:line="560" w:lineRule="exact"/>
        <w:ind w:leftChars="200"/>
        <w:jc w:val="left"/>
        <w:rPr>
          <w:rFonts w:hint="eastAsia" w:ascii="仿宋" w:hAnsi="仿宋" w:eastAsia="仿宋" w:cs="仿宋"/>
          <w:sz w:val="32"/>
          <w:szCs w:val="32"/>
          <w:lang w:val="zh-CN"/>
        </w:rPr>
      </w:pPr>
      <w:r>
        <w:rPr>
          <w:rFonts w:hint="eastAsia" w:ascii="仿宋" w:hAnsi="仿宋" w:eastAsia="仿宋" w:cs="仿宋"/>
          <w:sz w:val="32"/>
          <w:szCs w:val="32"/>
          <w:lang w:val="en-US" w:eastAsia="zh-CN"/>
        </w:rPr>
        <w:t xml:space="preserve"> 根据学校实际情况，在保运转基础上纳入年初预算</w:t>
      </w:r>
      <w:r>
        <w:rPr>
          <w:rFonts w:hint="eastAsia" w:ascii="仿宋_GB2312" w:eastAsia="仿宋_GB2312"/>
          <w:sz w:val="32"/>
          <w:szCs w:val="32"/>
          <w:lang w:val="en-US" w:eastAsia="zh-CN"/>
        </w:rPr>
        <w:t>。</w:t>
      </w:r>
    </w:p>
    <w:p>
      <w:pPr>
        <w:numPr>
          <w:ilvl w:val="0"/>
          <w:numId w:val="5"/>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该项目资金由区级配套财政资金及上级财政</w:t>
      </w:r>
      <w:r>
        <w:rPr>
          <w:rFonts w:hint="eastAsia" w:ascii="仿宋" w:hAnsi="仿宋" w:eastAsia="仿宋" w:cs="仿宋"/>
          <w:sz w:val="32"/>
          <w:szCs w:val="32"/>
          <w:lang w:val="zh-CN"/>
        </w:rPr>
        <w:t>资金</w:t>
      </w:r>
      <w:r>
        <w:rPr>
          <w:rFonts w:hint="eastAsia" w:ascii="仿宋" w:hAnsi="仿宋" w:eastAsia="仿宋" w:cs="仿宋"/>
          <w:sz w:val="32"/>
          <w:szCs w:val="32"/>
          <w:lang w:val="en-US"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sz w:val="32"/>
          <w:szCs w:val="32"/>
          <w:lang w:val="zh-CN"/>
        </w:rPr>
        <w:t>项目主要内容</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2020年预计投入9.5万，涉及1个项目，用于学校正常教育教学任务。</w:t>
      </w:r>
    </w:p>
    <w:p>
      <w:pPr>
        <w:numPr>
          <w:ilvl w:val="0"/>
          <w:numId w:val="6"/>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项目应实现的具体绩效目标，包括目标的量化、细化情况以及项目实施进度计划等。</w:t>
      </w:r>
    </w:p>
    <w:p>
      <w:pPr>
        <w:numPr>
          <w:ilvl w:val="0"/>
          <w:numId w:val="0"/>
        </w:numPr>
        <w:adjustRightInd w:val="0"/>
        <w:snapToGrid w:val="0"/>
        <w:spacing w:line="600" w:lineRule="exact"/>
        <w:rPr>
          <w:rFonts w:hint="eastAsia" w:ascii="仿宋" w:hAnsi="仿宋" w:eastAsia="仿宋" w:cs="仿宋"/>
          <w:sz w:val="32"/>
          <w:szCs w:val="32"/>
          <w:lang w:val="en-US" w:eastAsia="zh-CN"/>
        </w:rPr>
      </w:pPr>
      <w:r>
        <w:rPr>
          <w:rFonts w:hint="eastAsia" w:ascii="仿宋_GB2312" w:hAnsi="宋体" w:eastAsia="仿宋_GB2312"/>
          <w:sz w:val="32"/>
          <w:szCs w:val="32"/>
          <w:lang w:val="en-US" w:eastAsia="zh-CN"/>
        </w:rPr>
        <w:t xml:space="preserve">  </w:t>
      </w:r>
      <w:r>
        <w:rPr>
          <w:rFonts w:hint="eastAsia" w:ascii="仿宋" w:hAnsi="仿宋" w:eastAsia="仿宋" w:cs="仿宋"/>
          <w:sz w:val="32"/>
          <w:szCs w:val="32"/>
          <w:lang w:val="en-US" w:eastAsia="zh-CN"/>
        </w:rPr>
        <w:t xml:space="preserve">  2020年五通桥区新云乡初级中学按照财政局下达的预算批复，对于商品及服务支出（日常公用经费）按照年初预算执行，实现内部报告审批制度，实时监控支出情况；对于项目支出的经费使用情况进行监督检查。</w:t>
      </w:r>
    </w:p>
    <w:p>
      <w:pPr>
        <w:numPr>
          <w:ilvl w:val="0"/>
          <w:numId w:val="6"/>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经绩效自评表分析，申报内容与实际相符，申报目标合理可行。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项目自评步骤及方法</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_GB2312" w:hAnsi="宋体" w:eastAsia="仿宋_GB2312"/>
          <w:sz w:val="32"/>
          <w:szCs w:val="32"/>
          <w:lang w:val="en-US" w:eastAsia="zh-CN"/>
        </w:rPr>
        <w:t xml:space="preserve"> </w:t>
      </w:r>
      <w:r>
        <w:rPr>
          <w:rFonts w:hint="eastAsia" w:ascii="仿宋" w:hAnsi="仿宋" w:eastAsia="仿宋" w:cs="仿宋"/>
          <w:sz w:val="32"/>
          <w:szCs w:val="32"/>
          <w:lang w:val="en-US" w:eastAsia="zh-CN"/>
        </w:rPr>
        <w:t xml:space="preserve"> 项目绩效自评采用资金执行进度和项目执行进度相结合办法组织实施，通过项目主管部门相关监督和考核科室对项目各项具体绩效目标完成情况进行分析研判得出项目执行总体执行情况。</w:t>
      </w:r>
    </w:p>
    <w:p>
      <w:pPr>
        <w:adjustRightInd w:val="0"/>
        <w:snapToGrid w:val="0"/>
        <w:spacing w:line="600" w:lineRule="exact"/>
        <w:ind w:firstLine="720"/>
        <w:rPr>
          <w:rFonts w:ascii="仿宋_GB2312" w:hAnsi="宋体" w:eastAsia="仿宋_GB2312"/>
          <w:sz w:val="32"/>
          <w:szCs w:val="32"/>
          <w:lang w:val="zh-CN"/>
        </w:rPr>
      </w:pP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年初预算县级配套财政拨款资金，经财政“一上”、“二上”审核通过后进行项目资金划拨，根据单位实际支出情况，调整预算，保障学校生均公用经费正常运行。</w:t>
      </w:r>
    </w:p>
    <w:p>
      <w:pPr>
        <w:adjustRightInd w:val="0"/>
        <w:snapToGrid w:val="0"/>
        <w:spacing w:line="600" w:lineRule="exact"/>
        <w:ind w:firstLine="720"/>
        <w:rPr>
          <w:rFonts w:hint="eastAsia" w:ascii="仿宋" w:hAnsi="仿宋" w:eastAsia="仿宋" w:cs="仿宋"/>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资金计划、到位及使用情况。</w:t>
      </w:r>
    </w:p>
    <w:p>
      <w:pPr>
        <w:adjustRightInd w:val="0"/>
        <w:snapToGrid w:val="0"/>
        <w:spacing w:line="600" w:lineRule="exact"/>
        <w:ind w:firstLine="720"/>
        <w:rPr>
          <w:rFonts w:hint="eastAsia" w:ascii="仿宋" w:hAnsi="仿宋" w:eastAsia="仿宋" w:cs="仿宋"/>
          <w:sz w:val="32"/>
          <w:szCs w:val="32"/>
          <w:highlight w:val="none"/>
          <w:lang w:val="zh-CN" w:eastAsia="zh-CN"/>
        </w:rPr>
      </w:pPr>
      <w:r>
        <w:rPr>
          <w:rFonts w:hint="eastAsia" w:ascii="仿宋_GB2312" w:hAnsi="宋体" w:eastAsia="仿宋_GB2312" w:cs="Times New Roman"/>
          <w:sz w:val="32"/>
          <w:szCs w:val="32"/>
          <w:lang w:val="zh-CN" w:eastAsia="zh-CN"/>
        </w:rPr>
        <w:t>1．</w:t>
      </w:r>
      <w:r>
        <w:rPr>
          <w:rFonts w:hint="eastAsia" w:ascii="仿宋" w:hAnsi="仿宋" w:eastAsia="仿宋" w:cs="仿宋"/>
          <w:sz w:val="32"/>
          <w:szCs w:val="32"/>
          <w:lang w:val="zh-CN" w:eastAsia="zh-CN"/>
        </w:rPr>
        <w:t>资金计划：该项目资金由区级配套财政资金划拨及上级财政资</w:t>
      </w:r>
      <w:r>
        <w:rPr>
          <w:rFonts w:hint="eastAsia" w:ascii="仿宋" w:hAnsi="仿宋" w:eastAsia="仿宋" w:cs="仿宋"/>
          <w:sz w:val="32"/>
          <w:szCs w:val="32"/>
          <w:highlight w:val="none"/>
          <w:lang w:val="zh-CN" w:eastAsia="zh-CN"/>
        </w:rPr>
        <w:t>金</w:t>
      </w:r>
      <w:r>
        <w:rPr>
          <w:rFonts w:hint="eastAsia" w:ascii="仿宋" w:hAnsi="仿宋" w:eastAsia="仿宋" w:cs="仿宋"/>
          <w:sz w:val="32"/>
          <w:szCs w:val="32"/>
          <w:highlight w:val="none"/>
          <w:lang w:val="en-US" w:eastAsia="zh-CN"/>
        </w:rPr>
        <w:t>纳入年初预算</w:t>
      </w:r>
      <w:r>
        <w:rPr>
          <w:rFonts w:hint="eastAsia" w:ascii="仿宋" w:hAnsi="仿宋" w:eastAsia="仿宋" w:cs="仿宋"/>
          <w:sz w:val="32"/>
          <w:szCs w:val="32"/>
          <w:highlight w:val="none"/>
          <w:lang w:val="zh-CN" w:eastAsia="zh-CN"/>
        </w:rPr>
        <w:t>。</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2．资金到位：截止评价时点该项目财政</w:t>
      </w:r>
      <w:r>
        <w:rPr>
          <w:rFonts w:hint="eastAsia" w:ascii="仿宋" w:hAnsi="仿宋" w:eastAsia="仿宋" w:cs="仿宋"/>
          <w:sz w:val="32"/>
          <w:szCs w:val="32"/>
          <w:highlight w:val="none"/>
          <w:lang w:val="en-US" w:eastAsia="zh-CN"/>
        </w:rPr>
        <w:t>拨付</w:t>
      </w:r>
      <w:r>
        <w:rPr>
          <w:rFonts w:hint="eastAsia" w:ascii="仿宋" w:hAnsi="仿宋" w:eastAsia="仿宋" w:cs="仿宋"/>
          <w:sz w:val="32"/>
          <w:szCs w:val="32"/>
          <w:highlight w:val="none"/>
          <w:lang w:val="zh-CN" w:eastAsia="zh-CN"/>
        </w:rPr>
        <w:t>项</w:t>
      </w:r>
      <w:r>
        <w:rPr>
          <w:rFonts w:hint="eastAsia" w:ascii="仿宋" w:hAnsi="仿宋" w:eastAsia="仿宋" w:cs="仿宋"/>
          <w:sz w:val="32"/>
          <w:szCs w:val="32"/>
          <w:lang w:val="zh-CN" w:eastAsia="zh-CN"/>
        </w:rPr>
        <w:t>目资金</w:t>
      </w:r>
      <w:r>
        <w:rPr>
          <w:rFonts w:hint="eastAsia" w:ascii="仿宋" w:hAnsi="仿宋" w:eastAsia="仿宋" w:cs="仿宋"/>
          <w:sz w:val="32"/>
          <w:szCs w:val="32"/>
          <w:lang w:val="en-US" w:eastAsia="zh-CN"/>
        </w:rPr>
        <w:t>9.5</w:t>
      </w:r>
      <w:r>
        <w:rPr>
          <w:rFonts w:hint="eastAsia" w:ascii="仿宋" w:hAnsi="仿宋" w:eastAsia="仿宋" w:cs="仿宋"/>
          <w:sz w:val="32"/>
          <w:szCs w:val="32"/>
          <w:lang w:val="zh-CN" w:eastAsia="zh-CN"/>
        </w:rPr>
        <w:t>万元，预算资金到位</w:t>
      </w:r>
      <w:r>
        <w:rPr>
          <w:rFonts w:hint="eastAsia" w:ascii="仿宋" w:hAnsi="仿宋" w:eastAsia="仿宋" w:cs="仿宋"/>
          <w:sz w:val="32"/>
          <w:szCs w:val="32"/>
          <w:lang w:val="en-US" w:eastAsia="zh-CN"/>
        </w:rPr>
        <w:t>9.5</w:t>
      </w:r>
      <w:r>
        <w:rPr>
          <w:rFonts w:hint="eastAsia" w:ascii="仿宋" w:hAnsi="仿宋" w:eastAsia="仿宋" w:cs="仿宋"/>
          <w:sz w:val="32"/>
          <w:szCs w:val="32"/>
          <w:lang w:val="zh-CN" w:eastAsia="zh-CN"/>
        </w:rPr>
        <w:t>万元，到位率100%。</w:t>
      </w:r>
    </w:p>
    <w:p>
      <w:pPr>
        <w:adjustRightInd w:val="0"/>
        <w:snapToGrid w:val="0"/>
        <w:spacing w:line="600" w:lineRule="exact"/>
        <w:ind w:firstLine="720"/>
        <w:rPr>
          <w:rFonts w:hint="eastAsia" w:ascii="仿宋" w:hAnsi="仿宋" w:eastAsia="仿宋" w:cs="仿宋"/>
          <w:sz w:val="32"/>
          <w:szCs w:val="32"/>
          <w:highlight w:val="none"/>
          <w:lang w:val="zh-CN" w:eastAsia="zh-CN"/>
        </w:rPr>
      </w:pPr>
      <w:r>
        <w:rPr>
          <w:rFonts w:hint="eastAsia" w:ascii="仿宋" w:hAnsi="仿宋" w:eastAsia="仿宋" w:cs="仿宋"/>
          <w:sz w:val="32"/>
          <w:szCs w:val="32"/>
          <w:lang w:val="zh-CN" w:eastAsia="zh-CN"/>
        </w:rPr>
        <w:t>3．资金使用：该项资</w:t>
      </w:r>
      <w:r>
        <w:rPr>
          <w:rFonts w:hint="eastAsia" w:ascii="仿宋" w:hAnsi="仿宋" w:eastAsia="仿宋" w:cs="仿宋"/>
          <w:sz w:val="32"/>
          <w:szCs w:val="32"/>
          <w:highlight w:val="none"/>
          <w:lang w:val="zh-CN" w:eastAsia="zh-CN"/>
        </w:rPr>
        <w:t>金用于</w:t>
      </w:r>
      <w:r>
        <w:rPr>
          <w:rFonts w:hint="eastAsia" w:ascii="仿宋" w:hAnsi="仿宋" w:eastAsia="仿宋" w:cs="仿宋"/>
          <w:sz w:val="32"/>
          <w:szCs w:val="32"/>
          <w:highlight w:val="none"/>
          <w:lang w:val="en-US" w:eastAsia="zh-CN"/>
        </w:rPr>
        <w:t>保障学校正常教育教学秩序开展，严格按财经制度及主管部门相关要求进行每笔支出</w:t>
      </w:r>
      <w:r>
        <w:rPr>
          <w:rFonts w:hint="eastAsia" w:ascii="仿宋" w:hAnsi="仿宋" w:eastAsia="仿宋" w:cs="仿宋"/>
          <w:sz w:val="32"/>
          <w:szCs w:val="32"/>
          <w:highlight w:val="none"/>
          <w:lang w:val="zh-CN" w:eastAsia="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项目财务管理情况</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该项目财务管理制度健全，严格执行财务管理制度，账务处理及时，会计核算规范等。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项目组织架构及实施流程</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五通桥区新云乡初级中学成立项目建设工作的领导小组，项目建设工作由</w:t>
      </w:r>
      <w:r>
        <w:rPr>
          <w:rFonts w:hint="eastAsia" w:ascii="仿宋" w:hAnsi="仿宋" w:eastAsia="仿宋" w:cs="仿宋"/>
          <w:sz w:val="32"/>
          <w:szCs w:val="32"/>
          <w:highlight w:val="none"/>
          <w:lang w:val="zh-CN"/>
        </w:rPr>
        <w:t>党委会集体</w:t>
      </w:r>
      <w:r>
        <w:rPr>
          <w:rFonts w:hint="eastAsia" w:ascii="仿宋" w:hAnsi="仿宋" w:eastAsia="仿宋" w:cs="仿宋"/>
          <w:sz w:val="32"/>
          <w:szCs w:val="32"/>
          <w:lang w:val="zh-CN"/>
        </w:rPr>
        <w:t>研究决定，由分管领导具体负责实施。</w:t>
      </w:r>
    </w:p>
    <w:p>
      <w:pPr>
        <w:numPr>
          <w:ilvl w:val="0"/>
          <w:numId w:val="7"/>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项目管理情况</w:t>
      </w:r>
    </w:p>
    <w:p>
      <w:pPr>
        <w:numPr>
          <w:ilvl w:val="0"/>
          <w:numId w:val="0"/>
        </w:numPr>
        <w:adjustRightInd w:val="0"/>
        <w:snapToGrid w:val="0"/>
        <w:spacing w:line="600" w:lineRule="exact"/>
        <w:ind w:firstLine="640" w:firstLineChars="200"/>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加强对项目的监督管理，采取事前、事中、事后相结合，日常监督和专项监督相结合的方式，对项目财务行为实施全过程监督管理。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项目完成情况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全年执行</w:t>
      </w:r>
      <w:r>
        <w:rPr>
          <w:rFonts w:hint="eastAsia" w:ascii="仿宋" w:hAnsi="仿宋" w:eastAsia="仿宋" w:cs="仿宋"/>
          <w:sz w:val="32"/>
          <w:szCs w:val="32"/>
          <w:lang w:val="en-US" w:eastAsia="zh-CN"/>
        </w:rPr>
        <w:t>9.5</w:t>
      </w:r>
      <w:r>
        <w:rPr>
          <w:rFonts w:hint="eastAsia" w:ascii="仿宋" w:hAnsi="仿宋" w:eastAsia="仿宋" w:cs="仿宋"/>
          <w:sz w:val="32"/>
          <w:szCs w:val="32"/>
          <w:lang w:val="zh-CN"/>
        </w:rPr>
        <w:t>万，涉及1个项目，顺利完成教育教学任务，学校办学条件有所提升。</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项目效益情况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保障了学校师生正常教育教学秩序，为师生提供了健康校园环境。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评价结论</w:t>
      </w:r>
    </w:p>
    <w:p>
      <w:pPr>
        <w:adjustRightInd w:val="0"/>
        <w:snapToGrid w:val="0"/>
        <w:spacing w:line="600" w:lineRule="exact"/>
        <w:ind w:firstLine="640" w:firstLineChars="200"/>
        <w:rPr>
          <w:rFonts w:hint="eastAsia" w:ascii="仿宋" w:hAnsi="仿宋" w:eastAsia="仿宋" w:cs="仿宋"/>
          <w:sz w:val="32"/>
          <w:szCs w:val="32"/>
          <w:bdr w:val="single" w:color="auto" w:sz="4" w:space="0"/>
          <w:lang w:val="zh-CN"/>
        </w:rPr>
      </w:pPr>
      <w:r>
        <w:rPr>
          <w:rFonts w:hint="eastAsia" w:ascii="仿宋" w:hAnsi="仿宋" w:eastAsia="仿宋" w:cs="仿宋"/>
          <w:sz w:val="32"/>
          <w:szCs w:val="32"/>
          <w:lang w:val="zh-CN"/>
        </w:rPr>
        <w:t>按照财政部门整体支出绩效评价指标细则，我校自评得分</w:t>
      </w:r>
      <w:r>
        <w:rPr>
          <w:rFonts w:hint="eastAsia" w:ascii="仿宋" w:hAnsi="仿宋" w:eastAsia="仿宋" w:cs="仿宋"/>
          <w:sz w:val="32"/>
          <w:szCs w:val="32"/>
          <w:lang w:val="en-US" w:eastAsia="zh-CN"/>
        </w:rPr>
        <w:t>100分，</w:t>
      </w:r>
      <w:r>
        <w:rPr>
          <w:rFonts w:hint="eastAsia" w:ascii="仿宋" w:hAnsi="仿宋" w:eastAsia="仿宋" w:cs="仿宋"/>
          <w:i w:val="0"/>
          <w:iCs w:val="0"/>
          <w:caps w:val="0"/>
          <w:color w:val="333333"/>
          <w:spacing w:val="0"/>
          <w:sz w:val="32"/>
          <w:szCs w:val="32"/>
        </w:rPr>
        <w:t>总体评</w:t>
      </w:r>
      <w:r>
        <w:rPr>
          <w:rFonts w:hint="eastAsia" w:ascii="仿宋" w:hAnsi="仿宋" w:eastAsia="仿宋" w:cs="仿宋"/>
          <w:i w:val="0"/>
          <w:iCs w:val="0"/>
          <w:caps w:val="0"/>
          <w:color w:val="333333"/>
          <w:spacing w:val="0"/>
          <w:sz w:val="32"/>
          <w:szCs w:val="32"/>
          <w:lang w:eastAsia="zh-CN"/>
        </w:rPr>
        <w:t>分为优</w:t>
      </w:r>
      <w:r>
        <w:rPr>
          <w:rFonts w:hint="eastAsia" w:ascii="仿宋" w:hAnsi="仿宋" w:eastAsia="仿宋" w:cs="仿宋"/>
          <w:sz w:val="32"/>
          <w:szCs w:val="32"/>
          <w:lang w:val="en-US" w:eastAsia="zh-CN"/>
        </w:rPr>
        <w:t>。</w:t>
      </w:r>
    </w:p>
    <w:p>
      <w:pPr>
        <w:adjustRightInd w:val="0"/>
        <w:snapToGrid w:val="0"/>
        <w:spacing w:line="600" w:lineRule="exact"/>
        <w:ind w:firstLine="643" w:firstLineChars="200"/>
        <w:rPr>
          <w:rFonts w:hint="eastAsia" w:ascii="仿宋" w:hAnsi="仿宋" w:eastAsia="仿宋" w:cs="仿宋"/>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存在的问题</w:t>
      </w:r>
    </w:p>
    <w:p>
      <w:pPr>
        <w:adjustRightInd w:val="0"/>
        <w:snapToGrid w:val="0"/>
        <w:spacing w:line="600" w:lineRule="exact"/>
        <w:ind w:firstLine="1920" w:firstLineChars="6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相关建议</w:t>
      </w:r>
    </w:p>
    <w:p>
      <w:pPr>
        <w:spacing w:line="580" w:lineRule="exact"/>
        <w:ind w:firstLine="1929" w:firstLineChars="603"/>
        <w:rPr>
          <w:rFonts w:hint="eastAsia" w:ascii="仿宋" w:hAnsi="仿宋" w:eastAsia="仿宋" w:cs="仿宋"/>
          <w:sz w:val="32"/>
          <w:szCs w:val="32"/>
          <w:lang w:val="zh-CN"/>
        </w:rPr>
      </w:pPr>
      <w:r>
        <w:rPr>
          <w:rFonts w:hint="eastAsia" w:ascii="仿宋" w:hAnsi="仿宋" w:eastAsia="仿宋" w:cs="仿宋"/>
          <w:sz w:val="32"/>
          <w:szCs w:val="32"/>
          <w:lang w:val="zh-CN"/>
        </w:rPr>
        <w:t>无</w:t>
      </w:r>
    </w:p>
    <w:p>
      <w:pPr>
        <w:spacing w:line="580" w:lineRule="exact"/>
        <w:ind w:firstLine="640"/>
        <w:rPr>
          <w:rFonts w:ascii="仿宋_GB2312" w:hAnsi="仿宋_GB2312" w:eastAsia="仿宋_GB2312" w:cs="仿宋_GB2312"/>
          <w:sz w:val="32"/>
          <w:szCs w:val="32"/>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numPr>
          <w:ilvl w:val="0"/>
          <w:numId w:val="0"/>
        </w:numPr>
        <w:spacing w:line="600" w:lineRule="exact"/>
        <w:ind w:leftChars="150"/>
        <w:jc w:val="center"/>
        <w:outlineLvl w:val="0"/>
        <w:rPr>
          <w:rStyle w:val="14"/>
          <w:rFonts w:hint="eastAsia" w:ascii="黑体" w:hAnsi="黑体" w:eastAsia="黑体"/>
          <w:b w:val="0"/>
        </w:rPr>
      </w:pPr>
      <w:bookmarkStart w:id="97" w:name="_Toc6849"/>
      <w:bookmarkStart w:id="98" w:name="_Toc15396618"/>
      <w:r>
        <w:rPr>
          <w:rStyle w:val="14"/>
          <w:rFonts w:hint="eastAsia" w:ascii="黑体" w:hAnsi="黑体" w:eastAsia="黑体"/>
          <w:b w:val="0"/>
          <w:lang w:val="en-US" w:eastAsia="zh-CN"/>
        </w:rPr>
        <w:t xml:space="preserve">第五部分  </w:t>
      </w:r>
      <w:r>
        <w:rPr>
          <w:rStyle w:val="14"/>
          <w:rFonts w:hint="eastAsia" w:ascii="黑体" w:hAnsi="黑体" w:eastAsia="黑体"/>
          <w:b w:val="0"/>
        </w:rPr>
        <w:t>附表</w:t>
      </w:r>
      <w:bookmarkEnd w:id="94"/>
      <w:bookmarkEnd w:id="97"/>
      <w:bookmarkEnd w:id="98"/>
      <w:bookmarkStart w:id="99" w:name="_Toc15396619"/>
    </w:p>
    <w:bookmarkEnd w:id="99"/>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0" w:name="_Toc30727"/>
      <w:bookmarkStart w:id="101" w:name="_Toc6422"/>
      <w:r>
        <w:rPr>
          <w:rFonts w:hint="eastAsia" w:ascii="仿宋" w:hAnsi="仿宋" w:eastAsia="仿宋"/>
          <w:b w:val="0"/>
          <w:bCs/>
          <w:color w:val="000000"/>
        </w:rPr>
        <w:t>一、收</w:t>
      </w:r>
      <w:r>
        <w:rPr>
          <w:rStyle w:val="18"/>
          <w:rFonts w:hint="eastAsia" w:ascii="仿宋" w:hAnsi="仿宋" w:eastAsia="仿宋"/>
          <w:b w:val="0"/>
          <w:bCs/>
        </w:rPr>
        <w:t>入支出决算总表</w:t>
      </w:r>
      <w:bookmarkEnd w:id="100"/>
      <w:bookmarkEnd w:id="101"/>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2" w:name="_Toc6493"/>
      <w:bookmarkStart w:id="103" w:name="_Toc19894"/>
      <w:bookmarkStart w:id="104" w:name="_Toc15396620"/>
      <w:r>
        <w:rPr>
          <w:rFonts w:hint="eastAsia" w:ascii="仿宋" w:hAnsi="仿宋" w:eastAsia="仿宋"/>
          <w:b w:val="0"/>
          <w:bCs/>
          <w:color w:val="000000"/>
        </w:rPr>
        <w:t>二、收</w:t>
      </w:r>
      <w:r>
        <w:rPr>
          <w:rStyle w:val="18"/>
          <w:rFonts w:hint="eastAsia" w:ascii="仿宋" w:hAnsi="仿宋" w:eastAsia="仿宋"/>
          <w:b w:val="0"/>
          <w:bCs/>
        </w:rPr>
        <w:t>入决算表</w:t>
      </w:r>
      <w:bookmarkEnd w:id="102"/>
      <w:bookmarkEnd w:id="103"/>
      <w:bookmarkEnd w:id="10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5" w:name="_Toc15396621"/>
      <w:bookmarkStart w:id="106" w:name="_Toc13097"/>
      <w:bookmarkStart w:id="107" w:name="_Toc23752"/>
      <w:r>
        <w:rPr>
          <w:rStyle w:val="18"/>
          <w:rFonts w:hint="eastAsia" w:ascii="仿宋" w:hAnsi="仿宋" w:eastAsia="仿宋"/>
          <w:b w:val="0"/>
          <w:bCs/>
        </w:rPr>
        <w:t>三、</w:t>
      </w:r>
      <w:r>
        <w:rPr>
          <w:rFonts w:hint="eastAsia" w:ascii="仿宋" w:hAnsi="仿宋" w:eastAsia="仿宋"/>
          <w:b w:val="0"/>
          <w:bCs/>
          <w:color w:val="000000"/>
        </w:rPr>
        <w:t>支</w:t>
      </w:r>
      <w:r>
        <w:rPr>
          <w:rStyle w:val="18"/>
          <w:rFonts w:hint="eastAsia" w:ascii="仿宋" w:hAnsi="仿宋" w:eastAsia="仿宋"/>
          <w:b w:val="0"/>
          <w:bCs/>
        </w:rPr>
        <w:t>出决算表</w:t>
      </w:r>
      <w:bookmarkEnd w:id="105"/>
      <w:bookmarkEnd w:id="106"/>
      <w:bookmarkEnd w:id="107"/>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8" w:name="_Toc581"/>
      <w:bookmarkStart w:id="109" w:name="_Toc3504"/>
      <w:bookmarkStart w:id="110" w:name="_Toc15396622"/>
      <w:r>
        <w:rPr>
          <w:rStyle w:val="18"/>
          <w:rFonts w:hint="eastAsia" w:ascii="仿宋" w:hAnsi="仿宋" w:eastAsia="仿宋"/>
          <w:b w:val="0"/>
          <w:bCs/>
        </w:rPr>
        <w:t>四、</w:t>
      </w:r>
      <w:r>
        <w:rPr>
          <w:rFonts w:hint="eastAsia" w:ascii="仿宋" w:hAnsi="仿宋" w:eastAsia="仿宋"/>
          <w:b w:val="0"/>
          <w:bCs/>
          <w:color w:val="000000"/>
        </w:rPr>
        <w:t>财</w:t>
      </w:r>
      <w:r>
        <w:rPr>
          <w:rStyle w:val="18"/>
          <w:rFonts w:hint="eastAsia" w:ascii="仿宋" w:hAnsi="仿宋" w:eastAsia="仿宋"/>
          <w:b w:val="0"/>
          <w:bCs/>
        </w:rPr>
        <w:t>政拨款收入支出决算总表</w:t>
      </w:r>
      <w:bookmarkEnd w:id="108"/>
      <w:bookmarkEnd w:id="109"/>
      <w:bookmarkEnd w:id="110"/>
    </w:p>
    <w:p>
      <w:pPr>
        <w:pStyle w:val="3"/>
        <w:keepNext/>
        <w:keepLines/>
        <w:pageBreakBefore w:val="0"/>
        <w:widowControl w:val="0"/>
        <w:kinsoku/>
        <w:wordWrap/>
        <w:overflowPunct/>
        <w:topLinePunct w:val="0"/>
        <w:autoSpaceDE/>
        <w:autoSpaceDN/>
        <w:bidi w:val="0"/>
        <w:adjustRightInd/>
        <w:snapToGrid/>
        <w:spacing w:line="580" w:lineRule="exact"/>
        <w:textAlignment w:val="auto"/>
        <w:rPr>
          <w:rStyle w:val="18"/>
          <w:rFonts w:ascii="仿宋" w:hAnsi="仿宋" w:eastAsia="仿宋"/>
          <w:b w:val="0"/>
          <w:bCs/>
        </w:rPr>
      </w:pPr>
      <w:bookmarkStart w:id="111" w:name="_Toc15396623"/>
      <w:bookmarkStart w:id="112" w:name="_Toc14914"/>
      <w:bookmarkStart w:id="113" w:name="_Toc30002"/>
      <w:r>
        <w:rPr>
          <w:rStyle w:val="18"/>
          <w:rFonts w:hint="eastAsia" w:ascii="仿宋" w:hAnsi="仿宋" w:eastAsia="仿宋"/>
          <w:b w:val="0"/>
          <w:bCs/>
        </w:rPr>
        <w:t>五、</w:t>
      </w:r>
      <w:r>
        <w:rPr>
          <w:rFonts w:hint="eastAsia" w:ascii="仿宋" w:hAnsi="仿宋" w:eastAsia="仿宋"/>
          <w:b w:val="0"/>
          <w:bCs/>
          <w:color w:val="000000"/>
        </w:rPr>
        <w:t>财</w:t>
      </w:r>
      <w:r>
        <w:rPr>
          <w:rStyle w:val="18"/>
          <w:rFonts w:hint="eastAsia" w:ascii="仿宋" w:hAnsi="仿宋" w:eastAsia="仿宋"/>
          <w:b w:val="0"/>
          <w:bCs/>
        </w:rPr>
        <w:t>政拨款支出决算明细表</w:t>
      </w:r>
      <w:bookmarkEnd w:id="111"/>
      <w:bookmarkEnd w:id="112"/>
      <w:bookmarkEnd w:id="113"/>
      <w:bookmarkStart w:id="114" w:name="_Toc1539662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5" w:name="_Toc30537"/>
      <w:bookmarkStart w:id="116" w:name="_Toc19691"/>
      <w:r>
        <w:rPr>
          <w:rStyle w:val="18"/>
          <w:rFonts w:hint="eastAsia" w:ascii="仿宋" w:hAnsi="仿宋" w:eastAsia="仿宋"/>
          <w:b w:val="0"/>
          <w:bCs/>
        </w:rPr>
        <w:t>六、</w:t>
      </w:r>
      <w:r>
        <w:rPr>
          <w:rFonts w:hint="eastAsia" w:ascii="仿宋" w:hAnsi="仿宋" w:eastAsia="仿宋"/>
          <w:b w:val="0"/>
          <w:bCs/>
          <w:color w:val="000000"/>
        </w:rPr>
        <w:t>一</w:t>
      </w:r>
      <w:r>
        <w:rPr>
          <w:rStyle w:val="18"/>
          <w:rFonts w:hint="eastAsia" w:ascii="仿宋" w:hAnsi="仿宋" w:eastAsia="仿宋"/>
          <w:b w:val="0"/>
          <w:bCs/>
        </w:rPr>
        <w:t>般公共预算财政拨款支出决算表</w:t>
      </w:r>
      <w:bookmarkEnd w:id="114"/>
      <w:bookmarkEnd w:id="115"/>
      <w:bookmarkEnd w:id="116"/>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7" w:name="_Toc15396625"/>
      <w:bookmarkStart w:id="118" w:name="_Toc21097"/>
      <w:bookmarkStart w:id="119" w:name="_Toc25647"/>
      <w:r>
        <w:rPr>
          <w:rStyle w:val="18"/>
          <w:rFonts w:hint="eastAsia" w:ascii="仿宋" w:hAnsi="仿宋" w:eastAsia="仿宋"/>
          <w:b w:val="0"/>
          <w:bCs/>
        </w:rPr>
        <w:t>七、</w:t>
      </w:r>
      <w:r>
        <w:rPr>
          <w:rFonts w:hint="eastAsia" w:ascii="仿宋" w:hAnsi="仿宋" w:eastAsia="仿宋"/>
          <w:b w:val="0"/>
          <w:bCs/>
          <w:color w:val="000000"/>
        </w:rPr>
        <w:t>一</w:t>
      </w:r>
      <w:r>
        <w:rPr>
          <w:rStyle w:val="18"/>
          <w:rFonts w:hint="eastAsia" w:ascii="仿宋" w:hAnsi="仿宋" w:eastAsia="仿宋"/>
          <w:b w:val="0"/>
          <w:bCs/>
        </w:rPr>
        <w:t>般公共预算财政拨款支出决算明细表</w:t>
      </w:r>
      <w:bookmarkEnd w:id="117"/>
      <w:bookmarkEnd w:id="118"/>
      <w:bookmarkEnd w:id="119"/>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0" w:name="_Toc15396626"/>
      <w:bookmarkStart w:id="121" w:name="_Toc1757"/>
      <w:bookmarkStart w:id="122" w:name="_Toc10119"/>
      <w:r>
        <w:rPr>
          <w:rStyle w:val="18"/>
          <w:rFonts w:hint="eastAsia" w:ascii="仿宋" w:hAnsi="仿宋" w:eastAsia="仿宋"/>
          <w:b w:val="0"/>
          <w:bCs/>
        </w:rPr>
        <w:t>八、</w:t>
      </w:r>
      <w:r>
        <w:rPr>
          <w:rFonts w:hint="eastAsia" w:ascii="仿宋" w:hAnsi="仿宋" w:eastAsia="仿宋"/>
          <w:b w:val="0"/>
          <w:bCs/>
          <w:color w:val="000000"/>
        </w:rPr>
        <w:t>一</w:t>
      </w:r>
      <w:r>
        <w:rPr>
          <w:rStyle w:val="18"/>
          <w:rFonts w:hint="eastAsia" w:ascii="仿宋" w:hAnsi="仿宋" w:eastAsia="仿宋"/>
          <w:b w:val="0"/>
          <w:bCs/>
        </w:rPr>
        <w:t>般公共预算财政拨款基本支出决算表</w:t>
      </w:r>
      <w:bookmarkEnd w:id="120"/>
      <w:bookmarkEnd w:id="121"/>
      <w:bookmarkEnd w:id="122"/>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3" w:name="_Toc25272"/>
      <w:bookmarkStart w:id="124" w:name="_Toc15396627"/>
      <w:bookmarkStart w:id="125" w:name="_Toc21697"/>
      <w:r>
        <w:rPr>
          <w:rStyle w:val="18"/>
          <w:rFonts w:hint="eastAsia" w:ascii="仿宋" w:hAnsi="仿宋" w:eastAsia="仿宋"/>
          <w:b w:val="0"/>
          <w:bCs/>
        </w:rPr>
        <w:t>九、</w:t>
      </w:r>
      <w:r>
        <w:rPr>
          <w:rFonts w:hint="eastAsia" w:ascii="仿宋" w:hAnsi="仿宋" w:eastAsia="仿宋"/>
          <w:b w:val="0"/>
          <w:bCs/>
          <w:color w:val="000000"/>
        </w:rPr>
        <w:t>一</w:t>
      </w:r>
      <w:r>
        <w:rPr>
          <w:rStyle w:val="18"/>
          <w:rFonts w:hint="eastAsia" w:ascii="仿宋" w:hAnsi="仿宋" w:eastAsia="仿宋"/>
          <w:b w:val="0"/>
          <w:bCs/>
        </w:rPr>
        <w:t>般公共预算财政拨款项目支出决算表</w:t>
      </w:r>
      <w:bookmarkEnd w:id="123"/>
      <w:bookmarkEnd w:id="124"/>
      <w:bookmarkEnd w:id="125"/>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6" w:name="_Toc17265"/>
      <w:bookmarkStart w:id="127" w:name="_Toc28481"/>
      <w:bookmarkStart w:id="128" w:name="_Toc15396628"/>
      <w:r>
        <w:rPr>
          <w:rStyle w:val="18"/>
          <w:rFonts w:hint="eastAsia" w:ascii="仿宋" w:hAnsi="仿宋" w:eastAsia="仿宋"/>
          <w:b w:val="0"/>
          <w:bCs/>
        </w:rPr>
        <w:t>十、</w:t>
      </w:r>
      <w:r>
        <w:rPr>
          <w:rFonts w:hint="eastAsia" w:ascii="仿宋" w:hAnsi="仿宋" w:eastAsia="仿宋"/>
          <w:b w:val="0"/>
          <w:bCs/>
          <w:color w:val="000000"/>
        </w:rPr>
        <w:t>一</w:t>
      </w:r>
      <w:r>
        <w:rPr>
          <w:rStyle w:val="18"/>
          <w:rFonts w:hint="eastAsia" w:ascii="仿宋" w:hAnsi="仿宋" w:eastAsia="仿宋"/>
          <w:b w:val="0"/>
          <w:bCs/>
        </w:rPr>
        <w:t>般公共预算财政拨款“三公”经费支出决算表</w:t>
      </w:r>
      <w:bookmarkEnd w:id="126"/>
      <w:bookmarkEnd w:id="127"/>
      <w:bookmarkEnd w:id="128"/>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9" w:name="_Toc15396629"/>
      <w:bookmarkStart w:id="130" w:name="_Toc25751"/>
      <w:bookmarkStart w:id="131" w:name="_Toc24938"/>
      <w:r>
        <w:rPr>
          <w:rStyle w:val="18"/>
          <w:rFonts w:hint="eastAsia" w:ascii="仿宋" w:hAnsi="仿宋" w:eastAsia="仿宋"/>
          <w:b w:val="0"/>
          <w:bCs/>
        </w:rPr>
        <w:t>十一、</w:t>
      </w:r>
      <w:r>
        <w:rPr>
          <w:rFonts w:hint="eastAsia" w:ascii="仿宋" w:hAnsi="仿宋" w:eastAsia="仿宋"/>
          <w:b w:val="0"/>
          <w:bCs/>
          <w:color w:val="000000"/>
        </w:rPr>
        <w:t>政</w:t>
      </w:r>
      <w:r>
        <w:rPr>
          <w:rStyle w:val="18"/>
          <w:rFonts w:hint="eastAsia" w:ascii="仿宋" w:hAnsi="仿宋" w:eastAsia="仿宋"/>
          <w:b w:val="0"/>
          <w:bCs/>
        </w:rPr>
        <w:t>府性基金预算财政拨款收入支出决算表</w:t>
      </w:r>
      <w:bookmarkEnd w:id="129"/>
      <w:bookmarkEnd w:id="130"/>
      <w:bookmarkEnd w:id="131"/>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32" w:name="_Toc15396630"/>
      <w:bookmarkStart w:id="133" w:name="_Toc3423"/>
      <w:bookmarkStart w:id="134" w:name="_Toc5794"/>
      <w:r>
        <w:rPr>
          <w:rStyle w:val="18"/>
          <w:rFonts w:hint="eastAsia" w:ascii="仿宋" w:hAnsi="仿宋" w:eastAsia="仿宋"/>
          <w:b w:val="0"/>
          <w:bCs/>
        </w:rPr>
        <w:t>十二、</w:t>
      </w:r>
      <w:r>
        <w:rPr>
          <w:rFonts w:hint="eastAsia" w:ascii="仿宋" w:hAnsi="仿宋" w:eastAsia="仿宋"/>
          <w:b w:val="0"/>
          <w:bCs/>
          <w:color w:val="000000"/>
        </w:rPr>
        <w:t>政</w:t>
      </w:r>
      <w:r>
        <w:rPr>
          <w:rStyle w:val="18"/>
          <w:rFonts w:hint="eastAsia" w:ascii="仿宋" w:hAnsi="仿宋" w:eastAsia="仿宋"/>
          <w:b w:val="0"/>
          <w:bCs/>
        </w:rPr>
        <w:t>府性基金预算财政拨款“三公”经费支出决算表</w:t>
      </w:r>
      <w:bookmarkEnd w:id="132"/>
      <w:bookmarkEnd w:id="133"/>
      <w:bookmarkEnd w:id="134"/>
    </w:p>
    <w:p>
      <w:pPr>
        <w:pStyle w:val="3"/>
        <w:keepNext/>
        <w:keepLines/>
        <w:pageBreakBefore w:val="0"/>
        <w:widowControl w:val="0"/>
        <w:kinsoku/>
        <w:wordWrap/>
        <w:overflowPunct/>
        <w:topLinePunct w:val="0"/>
        <w:autoSpaceDE/>
        <w:autoSpaceDN/>
        <w:bidi w:val="0"/>
        <w:adjustRightInd/>
        <w:snapToGrid/>
        <w:spacing w:line="580" w:lineRule="exact"/>
        <w:textAlignment w:val="auto"/>
        <w:rPr>
          <w:rStyle w:val="18"/>
          <w:rFonts w:ascii="仿宋" w:hAnsi="仿宋" w:eastAsia="仿宋"/>
          <w:b w:val="0"/>
          <w:bCs/>
        </w:rPr>
      </w:pPr>
      <w:bookmarkStart w:id="135" w:name="_Toc25020"/>
      <w:bookmarkStart w:id="136" w:name="_Toc27620"/>
      <w:bookmarkStart w:id="137" w:name="_Toc15396631"/>
      <w:r>
        <w:rPr>
          <w:rStyle w:val="18"/>
          <w:rFonts w:hint="eastAsia" w:ascii="仿宋" w:hAnsi="仿宋" w:eastAsia="仿宋"/>
          <w:b w:val="0"/>
          <w:bCs/>
        </w:rPr>
        <w:t>十三、</w:t>
      </w:r>
      <w:r>
        <w:rPr>
          <w:rFonts w:hint="eastAsia" w:ascii="仿宋" w:hAnsi="仿宋" w:eastAsia="仿宋"/>
          <w:b w:val="0"/>
          <w:bCs/>
          <w:color w:val="000000"/>
        </w:rPr>
        <w:t>国</w:t>
      </w:r>
      <w:r>
        <w:rPr>
          <w:rStyle w:val="18"/>
          <w:rFonts w:hint="eastAsia" w:ascii="仿宋" w:hAnsi="仿宋" w:eastAsia="仿宋"/>
          <w:b w:val="0"/>
          <w:bCs/>
        </w:rPr>
        <w:t>有资本经营预算财政拨款收入支出决算表</w:t>
      </w:r>
      <w:bookmarkEnd w:id="135"/>
      <w:bookmarkEnd w:id="136"/>
      <w:bookmarkEnd w:id="137"/>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38" w:name="_Toc11289"/>
      <w:bookmarkStart w:id="139" w:name="_Toc14256"/>
      <w:r>
        <w:rPr>
          <w:rStyle w:val="18"/>
          <w:rFonts w:hint="eastAsia" w:ascii="仿宋" w:hAnsi="仿宋" w:eastAsia="仿宋"/>
          <w:b w:val="0"/>
          <w:bCs/>
        </w:rPr>
        <w:t>十四、</w:t>
      </w:r>
      <w:r>
        <w:rPr>
          <w:rFonts w:hint="eastAsia" w:ascii="仿宋" w:hAnsi="仿宋" w:eastAsia="仿宋"/>
          <w:b w:val="0"/>
          <w:bCs/>
          <w:color w:val="000000"/>
        </w:rPr>
        <w:t>国</w:t>
      </w:r>
      <w:r>
        <w:rPr>
          <w:rStyle w:val="18"/>
          <w:rFonts w:hint="eastAsia" w:ascii="仿宋" w:hAnsi="仿宋" w:eastAsia="仿宋"/>
          <w:b w:val="0"/>
          <w:bCs/>
        </w:rPr>
        <w:t>有资本经营预算财政拨款支出决算表</w:t>
      </w:r>
      <w:bookmarkEnd w:id="138"/>
      <w:bookmarkEnd w:id="139"/>
    </w:p>
    <w:p>
      <w:pPr>
        <w:rPr>
          <w:rFonts w:hint="eastAsia" w:eastAsiaTheme="minorEastAsia"/>
          <w:lang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1EA98A"/>
    <w:multiLevelType w:val="singleLevel"/>
    <w:tmpl w:val="AA1EA98A"/>
    <w:lvl w:ilvl="0" w:tentative="0">
      <w:start w:val="3"/>
      <w:numFmt w:val="decimal"/>
      <w:suff w:val="nothing"/>
      <w:lvlText w:val="%1．"/>
      <w:lvlJc w:val="left"/>
    </w:lvl>
  </w:abstractNum>
  <w:abstractNum w:abstractNumId="1">
    <w:nsid w:val="BDD8C250"/>
    <w:multiLevelType w:val="singleLevel"/>
    <w:tmpl w:val="BDD8C250"/>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3">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2CB9D25F"/>
    <w:multiLevelType w:val="singleLevel"/>
    <w:tmpl w:val="2CB9D25F"/>
    <w:lvl w:ilvl="0" w:tentative="0">
      <w:start w:val="2"/>
      <w:numFmt w:val="chineseCounting"/>
      <w:suff w:val="nothing"/>
      <w:lvlText w:val="（%1）"/>
      <w:lvlJc w:val="left"/>
      <w:rPr>
        <w:rFonts w:hint="eastAsia"/>
      </w:rPr>
    </w:lvl>
  </w:abstractNum>
  <w:abstractNum w:abstractNumId="6">
    <w:nsid w:val="65B2F012"/>
    <w:multiLevelType w:val="singleLevel"/>
    <w:tmpl w:val="65B2F012"/>
    <w:lvl w:ilvl="0" w:tentative="0">
      <w:start w:val="2"/>
      <w:numFmt w:val="decimal"/>
      <w:suff w:val="nothing"/>
      <w:lvlText w:val="%1．"/>
      <w:lvlJc w:val="left"/>
    </w:lvl>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66DB"/>
    <w:rsid w:val="00624AEE"/>
    <w:rsid w:val="00B26018"/>
    <w:rsid w:val="00DF6ECF"/>
    <w:rsid w:val="010D2661"/>
    <w:rsid w:val="01B64868"/>
    <w:rsid w:val="01BC5869"/>
    <w:rsid w:val="01C11E30"/>
    <w:rsid w:val="01E3205D"/>
    <w:rsid w:val="02A66FA5"/>
    <w:rsid w:val="02E065BA"/>
    <w:rsid w:val="02E93779"/>
    <w:rsid w:val="03BA2E11"/>
    <w:rsid w:val="03BC23B4"/>
    <w:rsid w:val="047D2B2F"/>
    <w:rsid w:val="04857E38"/>
    <w:rsid w:val="04D12053"/>
    <w:rsid w:val="05287A32"/>
    <w:rsid w:val="052A6E74"/>
    <w:rsid w:val="056A49CC"/>
    <w:rsid w:val="058420F1"/>
    <w:rsid w:val="0612567A"/>
    <w:rsid w:val="06951C7E"/>
    <w:rsid w:val="069A6762"/>
    <w:rsid w:val="06E55597"/>
    <w:rsid w:val="074B32FE"/>
    <w:rsid w:val="07604836"/>
    <w:rsid w:val="07721D91"/>
    <w:rsid w:val="07A662F0"/>
    <w:rsid w:val="07AD05A0"/>
    <w:rsid w:val="07CD7C0C"/>
    <w:rsid w:val="08716D5B"/>
    <w:rsid w:val="089844FD"/>
    <w:rsid w:val="089A28A1"/>
    <w:rsid w:val="08CC033C"/>
    <w:rsid w:val="09186640"/>
    <w:rsid w:val="0945458E"/>
    <w:rsid w:val="09C430F7"/>
    <w:rsid w:val="09CB7031"/>
    <w:rsid w:val="09D407DB"/>
    <w:rsid w:val="0A5510C7"/>
    <w:rsid w:val="0B0D441B"/>
    <w:rsid w:val="0B0D49A2"/>
    <w:rsid w:val="0B225F17"/>
    <w:rsid w:val="0B2267BB"/>
    <w:rsid w:val="0BFC6B85"/>
    <w:rsid w:val="0C285864"/>
    <w:rsid w:val="0C303F38"/>
    <w:rsid w:val="0C6F1C0B"/>
    <w:rsid w:val="0C7869F8"/>
    <w:rsid w:val="0C8913FF"/>
    <w:rsid w:val="0C943154"/>
    <w:rsid w:val="0D511AC8"/>
    <w:rsid w:val="0D7063F4"/>
    <w:rsid w:val="0DB17B37"/>
    <w:rsid w:val="0E9F0C06"/>
    <w:rsid w:val="0EB547B9"/>
    <w:rsid w:val="0F081218"/>
    <w:rsid w:val="0F40628C"/>
    <w:rsid w:val="0F561A43"/>
    <w:rsid w:val="0F735599"/>
    <w:rsid w:val="0F96152D"/>
    <w:rsid w:val="104F5FF3"/>
    <w:rsid w:val="105967B7"/>
    <w:rsid w:val="1061082F"/>
    <w:rsid w:val="107172A0"/>
    <w:rsid w:val="10C30504"/>
    <w:rsid w:val="10F24AC0"/>
    <w:rsid w:val="112962C2"/>
    <w:rsid w:val="11383E35"/>
    <w:rsid w:val="118D3F5F"/>
    <w:rsid w:val="11A650B1"/>
    <w:rsid w:val="12F101C7"/>
    <w:rsid w:val="13C14374"/>
    <w:rsid w:val="13D51776"/>
    <w:rsid w:val="13E41CDB"/>
    <w:rsid w:val="141A66B9"/>
    <w:rsid w:val="143953BC"/>
    <w:rsid w:val="14836C7B"/>
    <w:rsid w:val="14B06E34"/>
    <w:rsid w:val="15316F8B"/>
    <w:rsid w:val="15441BB6"/>
    <w:rsid w:val="158B2B38"/>
    <w:rsid w:val="15DA618C"/>
    <w:rsid w:val="16385338"/>
    <w:rsid w:val="1639537D"/>
    <w:rsid w:val="16544B70"/>
    <w:rsid w:val="16665107"/>
    <w:rsid w:val="16AC0C91"/>
    <w:rsid w:val="16ED63D3"/>
    <w:rsid w:val="172214AF"/>
    <w:rsid w:val="17E0018E"/>
    <w:rsid w:val="17FE1A10"/>
    <w:rsid w:val="1887488F"/>
    <w:rsid w:val="194046CD"/>
    <w:rsid w:val="19A509E8"/>
    <w:rsid w:val="19A87E02"/>
    <w:rsid w:val="19C42560"/>
    <w:rsid w:val="1AD35EA8"/>
    <w:rsid w:val="1AEC5330"/>
    <w:rsid w:val="1B466AD6"/>
    <w:rsid w:val="1B91706E"/>
    <w:rsid w:val="1C2365C6"/>
    <w:rsid w:val="1CB219C3"/>
    <w:rsid w:val="1CFF3D79"/>
    <w:rsid w:val="1D2A6AA0"/>
    <w:rsid w:val="1D8B46EB"/>
    <w:rsid w:val="1DD045F0"/>
    <w:rsid w:val="1DD51D3B"/>
    <w:rsid w:val="1DD75B38"/>
    <w:rsid w:val="1DDF10B1"/>
    <w:rsid w:val="1E217132"/>
    <w:rsid w:val="1E421890"/>
    <w:rsid w:val="1ECE0F03"/>
    <w:rsid w:val="1F91291C"/>
    <w:rsid w:val="201B24C0"/>
    <w:rsid w:val="202030ED"/>
    <w:rsid w:val="20482E83"/>
    <w:rsid w:val="2167349A"/>
    <w:rsid w:val="21C54CAA"/>
    <w:rsid w:val="220E1D61"/>
    <w:rsid w:val="224D0AF4"/>
    <w:rsid w:val="22E30753"/>
    <w:rsid w:val="22E37CED"/>
    <w:rsid w:val="245931E9"/>
    <w:rsid w:val="24B1088C"/>
    <w:rsid w:val="24B12015"/>
    <w:rsid w:val="24C877E1"/>
    <w:rsid w:val="25736D7C"/>
    <w:rsid w:val="258940D8"/>
    <w:rsid w:val="25E351D6"/>
    <w:rsid w:val="27065C97"/>
    <w:rsid w:val="27267E43"/>
    <w:rsid w:val="27306953"/>
    <w:rsid w:val="27EE54D6"/>
    <w:rsid w:val="281A68C5"/>
    <w:rsid w:val="28312D27"/>
    <w:rsid w:val="284E5E4B"/>
    <w:rsid w:val="290415B0"/>
    <w:rsid w:val="290E2754"/>
    <w:rsid w:val="290F015E"/>
    <w:rsid w:val="293F3240"/>
    <w:rsid w:val="296B3F4B"/>
    <w:rsid w:val="29DB7B33"/>
    <w:rsid w:val="2A412F8F"/>
    <w:rsid w:val="2A903862"/>
    <w:rsid w:val="2B2A381E"/>
    <w:rsid w:val="2B350CAD"/>
    <w:rsid w:val="2B9A4747"/>
    <w:rsid w:val="2BBD3CB4"/>
    <w:rsid w:val="2C412B3E"/>
    <w:rsid w:val="2CC52668"/>
    <w:rsid w:val="2CC92BF1"/>
    <w:rsid w:val="2CD202A6"/>
    <w:rsid w:val="2CD24DD2"/>
    <w:rsid w:val="2CE324C0"/>
    <w:rsid w:val="2D4466DA"/>
    <w:rsid w:val="2D700FEE"/>
    <w:rsid w:val="2DE36CBE"/>
    <w:rsid w:val="2DEB660B"/>
    <w:rsid w:val="2E154B85"/>
    <w:rsid w:val="2E9D416D"/>
    <w:rsid w:val="2FA53D1E"/>
    <w:rsid w:val="300517CD"/>
    <w:rsid w:val="30434438"/>
    <w:rsid w:val="309375FE"/>
    <w:rsid w:val="30AD22F7"/>
    <w:rsid w:val="30B1294E"/>
    <w:rsid w:val="30CF551D"/>
    <w:rsid w:val="31AF05DF"/>
    <w:rsid w:val="327D7A45"/>
    <w:rsid w:val="32C01F73"/>
    <w:rsid w:val="32DE5329"/>
    <w:rsid w:val="33361DB0"/>
    <w:rsid w:val="33C57E9A"/>
    <w:rsid w:val="33CE604C"/>
    <w:rsid w:val="33EC34ED"/>
    <w:rsid w:val="3445531D"/>
    <w:rsid w:val="34895F9A"/>
    <w:rsid w:val="34FC40CF"/>
    <w:rsid w:val="35801574"/>
    <w:rsid w:val="358062DE"/>
    <w:rsid w:val="358A6C92"/>
    <w:rsid w:val="35D5318A"/>
    <w:rsid w:val="3619770F"/>
    <w:rsid w:val="361E077F"/>
    <w:rsid w:val="36206041"/>
    <w:rsid w:val="368D3F86"/>
    <w:rsid w:val="36CA6C86"/>
    <w:rsid w:val="37206344"/>
    <w:rsid w:val="37694D62"/>
    <w:rsid w:val="37880EF2"/>
    <w:rsid w:val="381B1E02"/>
    <w:rsid w:val="383276CB"/>
    <w:rsid w:val="386246B4"/>
    <w:rsid w:val="388D3D04"/>
    <w:rsid w:val="38EC5765"/>
    <w:rsid w:val="38F45326"/>
    <w:rsid w:val="39115282"/>
    <w:rsid w:val="392B51C6"/>
    <w:rsid w:val="3951677D"/>
    <w:rsid w:val="39853D7E"/>
    <w:rsid w:val="39B03EBF"/>
    <w:rsid w:val="39EB0E26"/>
    <w:rsid w:val="39EF201E"/>
    <w:rsid w:val="39FC3F49"/>
    <w:rsid w:val="3A14361B"/>
    <w:rsid w:val="3A520D8A"/>
    <w:rsid w:val="3A584D11"/>
    <w:rsid w:val="3A994E53"/>
    <w:rsid w:val="3A9C74E9"/>
    <w:rsid w:val="3A9E6709"/>
    <w:rsid w:val="3AAB0341"/>
    <w:rsid w:val="3B25291B"/>
    <w:rsid w:val="3B453E63"/>
    <w:rsid w:val="3DEE5631"/>
    <w:rsid w:val="3E213369"/>
    <w:rsid w:val="3E327B54"/>
    <w:rsid w:val="3F1B770F"/>
    <w:rsid w:val="3F313D50"/>
    <w:rsid w:val="3FCB3A13"/>
    <w:rsid w:val="40194187"/>
    <w:rsid w:val="401A5546"/>
    <w:rsid w:val="40D22E6D"/>
    <w:rsid w:val="413E7F3E"/>
    <w:rsid w:val="414301E2"/>
    <w:rsid w:val="415C5722"/>
    <w:rsid w:val="41CE67C7"/>
    <w:rsid w:val="421D161B"/>
    <w:rsid w:val="425809C0"/>
    <w:rsid w:val="42737A05"/>
    <w:rsid w:val="42B816ED"/>
    <w:rsid w:val="42F158BA"/>
    <w:rsid w:val="431C0FD2"/>
    <w:rsid w:val="43571052"/>
    <w:rsid w:val="436D57D0"/>
    <w:rsid w:val="43B04E41"/>
    <w:rsid w:val="44417BA6"/>
    <w:rsid w:val="4467570E"/>
    <w:rsid w:val="44D6172B"/>
    <w:rsid w:val="44F14737"/>
    <w:rsid w:val="45130843"/>
    <w:rsid w:val="45A4657F"/>
    <w:rsid w:val="45E13E67"/>
    <w:rsid w:val="45E32B66"/>
    <w:rsid w:val="45F77353"/>
    <w:rsid w:val="462A775C"/>
    <w:rsid w:val="46B25424"/>
    <w:rsid w:val="47450513"/>
    <w:rsid w:val="47813CC2"/>
    <w:rsid w:val="487873CB"/>
    <w:rsid w:val="48A16ECC"/>
    <w:rsid w:val="48A71754"/>
    <w:rsid w:val="48E56D2A"/>
    <w:rsid w:val="49003C66"/>
    <w:rsid w:val="496A01DE"/>
    <w:rsid w:val="497F1F4E"/>
    <w:rsid w:val="4A367631"/>
    <w:rsid w:val="4A4A697E"/>
    <w:rsid w:val="4A840933"/>
    <w:rsid w:val="4B1E4CBE"/>
    <w:rsid w:val="4B3B6A1C"/>
    <w:rsid w:val="4BD82429"/>
    <w:rsid w:val="4BED3CEC"/>
    <w:rsid w:val="4C483AB6"/>
    <w:rsid w:val="4CB83F31"/>
    <w:rsid w:val="4D605DC6"/>
    <w:rsid w:val="4D687FF9"/>
    <w:rsid w:val="4DA27727"/>
    <w:rsid w:val="4E7E138A"/>
    <w:rsid w:val="4E937E91"/>
    <w:rsid w:val="4F654691"/>
    <w:rsid w:val="4F8708C6"/>
    <w:rsid w:val="502335D3"/>
    <w:rsid w:val="507F49AE"/>
    <w:rsid w:val="50D949D3"/>
    <w:rsid w:val="50ED543A"/>
    <w:rsid w:val="5114508A"/>
    <w:rsid w:val="5138364D"/>
    <w:rsid w:val="51736AE0"/>
    <w:rsid w:val="51F27CA8"/>
    <w:rsid w:val="52223986"/>
    <w:rsid w:val="526D72E2"/>
    <w:rsid w:val="528A52AB"/>
    <w:rsid w:val="529A0C32"/>
    <w:rsid w:val="53487391"/>
    <w:rsid w:val="534C0289"/>
    <w:rsid w:val="53793167"/>
    <w:rsid w:val="53B22A58"/>
    <w:rsid w:val="541334FF"/>
    <w:rsid w:val="54156BE1"/>
    <w:rsid w:val="541C090B"/>
    <w:rsid w:val="54EE1A60"/>
    <w:rsid w:val="55F43131"/>
    <w:rsid w:val="565A7838"/>
    <w:rsid w:val="565B4B06"/>
    <w:rsid w:val="56974D41"/>
    <w:rsid w:val="56AB3A5E"/>
    <w:rsid w:val="56D94A3F"/>
    <w:rsid w:val="56F9130E"/>
    <w:rsid w:val="574A3ACB"/>
    <w:rsid w:val="576E6004"/>
    <w:rsid w:val="586179DB"/>
    <w:rsid w:val="588538D5"/>
    <w:rsid w:val="58A747AE"/>
    <w:rsid w:val="594B68C7"/>
    <w:rsid w:val="596737E5"/>
    <w:rsid w:val="59BF27D2"/>
    <w:rsid w:val="59C40752"/>
    <w:rsid w:val="5A0E3745"/>
    <w:rsid w:val="5AB173A5"/>
    <w:rsid w:val="5B9260B6"/>
    <w:rsid w:val="5BC31761"/>
    <w:rsid w:val="5BE572BC"/>
    <w:rsid w:val="5C575077"/>
    <w:rsid w:val="5C727176"/>
    <w:rsid w:val="5C9516E9"/>
    <w:rsid w:val="5C9D01B4"/>
    <w:rsid w:val="5D0E671C"/>
    <w:rsid w:val="5D305D26"/>
    <w:rsid w:val="5D3E4A7C"/>
    <w:rsid w:val="5DB35D09"/>
    <w:rsid w:val="5DDA1BCF"/>
    <w:rsid w:val="5E1D2BD4"/>
    <w:rsid w:val="5E240C08"/>
    <w:rsid w:val="5E654F36"/>
    <w:rsid w:val="5E7264B1"/>
    <w:rsid w:val="5F9547CF"/>
    <w:rsid w:val="5FD97134"/>
    <w:rsid w:val="5FEA5DB4"/>
    <w:rsid w:val="6036614A"/>
    <w:rsid w:val="606833B6"/>
    <w:rsid w:val="60D15139"/>
    <w:rsid w:val="60E3289B"/>
    <w:rsid w:val="611F6C92"/>
    <w:rsid w:val="6146457C"/>
    <w:rsid w:val="61626DF7"/>
    <w:rsid w:val="61D70DA1"/>
    <w:rsid w:val="61EE6B79"/>
    <w:rsid w:val="620571AE"/>
    <w:rsid w:val="6225548C"/>
    <w:rsid w:val="62516F4D"/>
    <w:rsid w:val="62ED6C1F"/>
    <w:rsid w:val="632945F3"/>
    <w:rsid w:val="63D0089C"/>
    <w:rsid w:val="642037B7"/>
    <w:rsid w:val="645012F1"/>
    <w:rsid w:val="64CB46E0"/>
    <w:rsid w:val="64D35C2C"/>
    <w:rsid w:val="652D054C"/>
    <w:rsid w:val="65BD2857"/>
    <w:rsid w:val="66027103"/>
    <w:rsid w:val="6603187B"/>
    <w:rsid w:val="66B4327E"/>
    <w:rsid w:val="66BE27A7"/>
    <w:rsid w:val="670C2D8E"/>
    <w:rsid w:val="67224C0A"/>
    <w:rsid w:val="67CC031E"/>
    <w:rsid w:val="67DD406C"/>
    <w:rsid w:val="68063136"/>
    <w:rsid w:val="685714B9"/>
    <w:rsid w:val="685D75BF"/>
    <w:rsid w:val="68875EE9"/>
    <w:rsid w:val="68DD0BCA"/>
    <w:rsid w:val="69416B39"/>
    <w:rsid w:val="69453A20"/>
    <w:rsid w:val="695735C6"/>
    <w:rsid w:val="69C32BEC"/>
    <w:rsid w:val="69FD6115"/>
    <w:rsid w:val="6A195FD9"/>
    <w:rsid w:val="6B511E04"/>
    <w:rsid w:val="6C297CB8"/>
    <w:rsid w:val="6C5253BE"/>
    <w:rsid w:val="6C8E0D31"/>
    <w:rsid w:val="6C906037"/>
    <w:rsid w:val="6C9C715A"/>
    <w:rsid w:val="6CB23495"/>
    <w:rsid w:val="6CF971EF"/>
    <w:rsid w:val="6D085172"/>
    <w:rsid w:val="6D9D7B5F"/>
    <w:rsid w:val="6DC86816"/>
    <w:rsid w:val="6E1075D5"/>
    <w:rsid w:val="6E453EF3"/>
    <w:rsid w:val="6E7E0683"/>
    <w:rsid w:val="6F0B67DB"/>
    <w:rsid w:val="6F874265"/>
    <w:rsid w:val="6F941740"/>
    <w:rsid w:val="6FA01EF0"/>
    <w:rsid w:val="709110D4"/>
    <w:rsid w:val="70F466ED"/>
    <w:rsid w:val="718F16A6"/>
    <w:rsid w:val="71BE5748"/>
    <w:rsid w:val="72461A15"/>
    <w:rsid w:val="72B96F51"/>
    <w:rsid w:val="73905FA1"/>
    <w:rsid w:val="73943FE5"/>
    <w:rsid w:val="7401533B"/>
    <w:rsid w:val="741371CB"/>
    <w:rsid w:val="742B0080"/>
    <w:rsid w:val="743823AB"/>
    <w:rsid w:val="744D5803"/>
    <w:rsid w:val="74CD6D8F"/>
    <w:rsid w:val="74D14478"/>
    <w:rsid w:val="74D22C28"/>
    <w:rsid w:val="750F40FA"/>
    <w:rsid w:val="75290E51"/>
    <w:rsid w:val="753A0633"/>
    <w:rsid w:val="75474A1D"/>
    <w:rsid w:val="755F0101"/>
    <w:rsid w:val="755F43CF"/>
    <w:rsid w:val="75A50518"/>
    <w:rsid w:val="75BA4B9B"/>
    <w:rsid w:val="75BD3BEA"/>
    <w:rsid w:val="76205F71"/>
    <w:rsid w:val="76AD162B"/>
    <w:rsid w:val="7700067C"/>
    <w:rsid w:val="77301B08"/>
    <w:rsid w:val="77A2095A"/>
    <w:rsid w:val="77EA5FE3"/>
    <w:rsid w:val="783160EF"/>
    <w:rsid w:val="78477399"/>
    <w:rsid w:val="78492F51"/>
    <w:rsid w:val="784F0C6B"/>
    <w:rsid w:val="78672953"/>
    <w:rsid w:val="787705D4"/>
    <w:rsid w:val="78F315F7"/>
    <w:rsid w:val="78FD0927"/>
    <w:rsid w:val="79B770A8"/>
    <w:rsid w:val="79B949EC"/>
    <w:rsid w:val="7A6C528E"/>
    <w:rsid w:val="7B1E4DF2"/>
    <w:rsid w:val="7B8A381D"/>
    <w:rsid w:val="7BE3590F"/>
    <w:rsid w:val="7C38495C"/>
    <w:rsid w:val="7C7067B1"/>
    <w:rsid w:val="7CBE4CC0"/>
    <w:rsid w:val="7CE82EFC"/>
    <w:rsid w:val="7D052EBA"/>
    <w:rsid w:val="7DAA5611"/>
    <w:rsid w:val="7E480657"/>
    <w:rsid w:val="7E494F36"/>
    <w:rsid w:val="7E687550"/>
    <w:rsid w:val="7F574D58"/>
    <w:rsid w:val="7F5C4AF8"/>
    <w:rsid w:val="7F884E25"/>
    <w:rsid w:val="7FA9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99"/>
    <w:rPr>
      <w:rFonts w:cs="Times New Roman"/>
      <w:b/>
    </w:rPr>
  </w:style>
  <w:style w:type="character" w:styleId="13">
    <w:name w:val="Hyperlink"/>
    <w:basedOn w:val="11"/>
    <w:unhideWhenUsed/>
    <w:qFormat/>
    <w:uiPriority w:val="99"/>
    <w:rPr>
      <w:rFonts w:cs="Times New Roman"/>
      <w:color w:val="0000FF"/>
      <w:u w:val="single"/>
    </w:rPr>
  </w:style>
  <w:style w:type="character" w:customStyle="1" w:styleId="14">
    <w:name w:val=" Char Char6"/>
    <w:basedOn w:val="11"/>
    <w:link w:val="2"/>
    <w:qFormat/>
    <w:locked/>
    <w:uiPriority w:val="9"/>
    <w:rPr>
      <w:b/>
      <w:bCs/>
      <w:kern w:val="44"/>
      <w:sz w:val="44"/>
      <w:szCs w:val="44"/>
    </w:rPr>
  </w:style>
  <w:style w:type="character" w:customStyle="1" w:styleId="15">
    <w:name w:val=" Char Char5"/>
    <w:basedOn w:val="11"/>
    <w:link w:val="3"/>
    <w:qFormat/>
    <w:locked/>
    <w:uiPriority w:val="9"/>
    <w:rPr>
      <w:rFonts w:ascii="Cambria" w:hAnsi="Cambria"/>
      <w:b/>
      <w:bCs/>
      <w:sz w:val="32"/>
      <w:szCs w:val="32"/>
    </w:rPr>
  </w:style>
  <w:style w:type="paragraph" w:customStyle="1"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8">
    <w:name w:val="标题 2 字符"/>
    <w:link w:val="3"/>
    <w:qFormat/>
    <w:locked/>
    <w:uiPriority w:val="9"/>
    <w:rPr>
      <w:rFonts w:ascii="Cambria" w:hAnsi="Cambria" w:eastAsia="宋体" w:cs="Times New Roman"/>
      <w:b/>
      <w:bCs/>
      <w:kern w:val="2"/>
      <w:sz w:val="32"/>
      <w:szCs w:val="32"/>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3748906386702"/>
          <c:y val="0.174131111111111"/>
          <c:w val="0.882069553805774"/>
          <c:h val="0.692801481481482"/>
        </c:manualLayout>
      </c:layout>
      <c:barChart>
        <c:barDir val="col"/>
        <c:grouping val="clustered"/>
        <c:varyColors val="0"/>
        <c:ser>
          <c:idx val="0"/>
          <c:order val="0"/>
          <c:tx>
            <c:strRef>
              <c:f>Sheet1!$B$1</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195.55</c:v>
                </c:pt>
                <c:pt idx="1">
                  <c:v>204.84</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Sheet1!$C$2:$C$5</c15:sqref>
                  </c15:fullRef>
                </c:ext>
              </c:extLst>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Sheet1!$D$2:$D$5</c15:sqref>
                  </c15:fullRef>
                </c:ext>
              </c:extLst>
              <c:f>Sheet1!$D$2:$D$3</c:f>
              <c:numCache>
                <c:formatCode>General</c:formatCode>
                <c:ptCount val="2"/>
              </c:numCache>
            </c:numRef>
          </c:val>
        </c:ser>
        <c:dLbls>
          <c:showLegendKey val="0"/>
          <c:showVal val="1"/>
          <c:showCatName val="0"/>
          <c:showSerName val="0"/>
          <c:showPercent val="0"/>
          <c:showBubbleSize val="0"/>
        </c:dLbls>
        <c:gapWidth val="219"/>
        <c:overlap val="-27"/>
        <c:axId val="876570379"/>
        <c:axId val="731084015"/>
      </c:barChart>
      <c:catAx>
        <c:axId val="8765703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1084015"/>
        <c:crosses val="autoZero"/>
        <c:auto val="1"/>
        <c:lblAlgn val="ctr"/>
        <c:lblOffset val="100"/>
        <c:noMultiLvlLbl val="0"/>
      </c:catAx>
      <c:valAx>
        <c:axId val="731084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65703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General</c:formatCode>
                <c:ptCount val="2"/>
                <c:pt idx="0">
                  <c:v>204.82</c:v>
                </c:pt>
                <c:pt idx="1">
                  <c:v>0.02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195.32</c:v>
                </c:pt>
                <c:pt idx="1">
                  <c:v>9.52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195.53</c:v>
                </c:pt>
                <c:pt idx="1">
                  <c:v>204.82</c:v>
                </c:pt>
              </c:numCache>
            </c:numRef>
          </c:val>
        </c:ser>
        <c:dLbls>
          <c:showLegendKey val="0"/>
          <c:showVal val="1"/>
          <c:showCatName val="0"/>
          <c:showSerName val="0"/>
          <c:showPercent val="0"/>
          <c:showBubbleSize val="0"/>
        </c:dLbls>
        <c:gapWidth val="219"/>
        <c:overlap val="-27"/>
        <c:axId val="292170353"/>
        <c:axId val="51845161"/>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2019年</c:v>
                      </c:pt>
                      <c:pt idx="1">
                        <c:v>2020年</c:v>
                      </c:pt>
                    </c:strCache>
                  </c:strRef>
                </c:cat>
                <c:val>
                  <c:numRef>
                    <c:extLst>
                      <c:ext uri="{02D57815-91ED-43cb-92C2-25804820EDAC}">
                        <c15:fullRef>
                          <c15:sqref>Sheet1!$C$2:$C$5</c15:sqref>
                        </c15:fullRef>
                        <c15:formulaRef>
                          <c15:sqref>Sheet1!$C$2:$C$3</c15:sqref>
                        </c15:formulaRef>
                      </c:ext>
                    </c:extLst>
                    <c:numCache>
                      <c:formatCode>General</c:formatCode>
                      <c:ptCount val="2"/>
                    </c:numCache>
                  </c:numRef>
                </c:val>
              </c15:ser>
            </c15:filteredBarSeries>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2019年</c:v>
                      </c:pt>
                      <c:pt idx="1">
                        <c:v>2020年</c:v>
                      </c:pt>
                    </c:strCache>
                  </c:strRef>
                </c:cat>
                <c:val>
                  <c:numRef>
                    <c:extLst>
                      <c:ext uri="{02D57815-91ED-43cb-92C2-25804820EDAC}">
                        <c15:fullRef>
                          <c15:sqref>Sheet1!$D$2:$D$5</c15:sqref>
                        </c15:fullRef>
                        <c15:formulaRef>
                          <c15:sqref>Sheet1!$D$2:$D$3</c15:sqref>
                        </c15:formulaRef>
                      </c:ext>
                    </c:extLst>
                    <c:numCache>
                      <c:formatCode>General</c:formatCode>
                      <c:ptCount val="2"/>
                    </c:numCache>
                  </c:numRef>
                </c:val>
              </c15:ser>
            </c15:filteredBarSeries>
          </c:ext>
        </c:extLst>
      </c:barChart>
      <c:catAx>
        <c:axId val="2921703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45161"/>
        <c:crosses val="autoZero"/>
        <c:auto val="1"/>
        <c:lblAlgn val="ctr"/>
        <c:lblOffset val="100"/>
        <c:noMultiLvlLbl val="0"/>
      </c:catAx>
      <c:valAx>
        <c:axId val="518451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217035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195.53</c:v>
                </c:pt>
                <c:pt idx="1">
                  <c:v>204.82</c:v>
                </c:pt>
              </c:numCache>
            </c:numRef>
          </c:val>
        </c:ser>
        <c:dLbls>
          <c:showLegendKey val="0"/>
          <c:showVal val="1"/>
          <c:showCatName val="0"/>
          <c:showSerName val="0"/>
          <c:showPercent val="0"/>
          <c:showBubbleSize val="0"/>
        </c:dLbls>
        <c:gapWidth val="219"/>
        <c:overlap val="-27"/>
        <c:axId val="455322082"/>
        <c:axId val="984484302"/>
      </c:barChart>
      <c:catAx>
        <c:axId val="4553220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484302"/>
        <c:crosses val="autoZero"/>
        <c:auto val="1"/>
        <c:lblAlgn val="ctr"/>
        <c:lblOffset val="100"/>
        <c:noMultiLvlLbl val="0"/>
      </c:catAx>
      <c:valAx>
        <c:axId val="9844843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3220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149.51</c:v>
                </c:pt>
                <c:pt idx="1">
                  <c:v>32.3</c:v>
                </c:pt>
                <c:pt idx="2">
                  <c:v>7.02</c:v>
                </c:pt>
                <c:pt idx="3">
                  <c:v>15.99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7872</Words>
  <Characters>8344</Characters>
  <Lines>0</Lines>
  <Paragraphs>0</Paragraphs>
  <TotalTime>1</TotalTime>
  <ScaleCrop>false</ScaleCrop>
  <LinksUpToDate>false</LinksUpToDate>
  <CharactersWithSpaces>8488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2021-09-17T15:06:00Z</dcterms:created>
  <dc:creator>cw</dc:creator>
  <cp:lastModifiedBy>admin</cp:lastModifiedBy>
  <dcterms:modified xsi:type="dcterms:W3CDTF">2021-09-30T02:34:21Z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D1A35B3DB791424B8DE8ADFBED7CB66E</vt:lpwstr>
  </property>
</Properties>
</file>