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宋体" w:hAnsi="宋体" w:eastAsia="宋体" w:cs="宋体"/>
          <w:color w:val="000000"/>
          <w:sz w:val="72"/>
          <w:szCs w:val="72"/>
        </w:rPr>
      </w:pPr>
      <w:bookmarkStart w:id="1" w:name="_Toc15377193"/>
      <w:bookmarkStart w:id="2" w:name="_Toc17261"/>
      <w:bookmarkStart w:id="3" w:name="_Toc15396475"/>
      <w:bookmarkStart w:id="4" w:name="_Toc15377425"/>
      <w:bookmarkStart w:id="5" w:name="_Toc23251"/>
      <w:bookmarkStart w:id="6" w:name="_Toc15378441"/>
      <w:bookmarkStart w:id="7" w:name="_Toc15396597"/>
      <w:bookmarkStart w:id="8" w:name="_Toc25610"/>
      <w:r>
        <w:rPr>
          <w:rFonts w:hint="eastAsia" w:ascii="宋体" w:hAnsi="宋体" w:eastAsia="宋体" w:cs="宋体"/>
          <w:color w:val="000000"/>
          <w:sz w:val="72"/>
          <w:szCs w:val="72"/>
        </w:rPr>
        <w:t>2020年度</w:t>
      </w:r>
      <w:bookmarkEnd w:id="1"/>
      <w:bookmarkEnd w:id="2"/>
      <w:bookmarkEnd w:id="3"/>
      <w:bookmarkEnd w:id="4"/>
      <w:bookmarkEnd w:id="5"/>
      <w:bookmarkEnd w:id="6"/>
      <w:bookmarkEnd w:id="7"/>
      <w:bookmarkEnd w:id="8"/>
    </w:p>
    <w:p>
      <w:pPr>
        <w:adjustRightInd w:val="0"/>
        <w:snapToGrid w:val="0"/>
        <w:spacing w:line="360" w:lineRule="auto"/>
        <w:jc w:val="center"/>
        <w:outlineLvl w:val="0"/>
        <w:rPr>
          <w:rFonts w:hint="eastAsia" w:ascii="宋体" w:hAnsi="宋体" w:eastAsia="宋体" w:cs="宋体"/>
          <w:color w:val="000000"/>
          <w:sz w:val="72"/>
          <w:szCs w:val="72"/>
        </w:rPr>
      </w:pPr>
      <w:bookmarkStart w:id="9" w:name="_Toc23395"/>
      <w:bookmarkStart w:id="10" w:name="_Toc23151"/>
      <w:bookmarkStart w:id="11" w:name="_Toc15377426"/>
      <w:bookmarkStart w:id="12" w:name="_Toc15378442"/>
      <w:bookmarkStart w:id="13" w:name="_Toc15377194"/>
      <w:bookmarkStart w:id="14" w:name="_Toc15396598"/>
      <w:bookmarkStart w:id="15" w:name="_Toc15396476"/>
      <w:bookmarkStart w:id="16" w:name="_Toc5872"/>
      <w:r>
        <w:rPr>
          <w:rFonts w:hint="eastAsia" w:ascii="宋体" w:hAnsi="宋体" w:eastAsia="宋体" w:cs="宋体"/>
          <w:color w:val="000000"/>
          <w:sz w:val="72"/>
          <w:szCs w:val="72"/>
        </w:rPr>
        <w:t>四川省</w:t>
      </w:r>
      <w:bookmarkEnd w:id="0"/>
      <w:bookmarkStart w:id="17" w:name="_Toc15306268"/>
      <w:r>
        <w:rPr>
          <w:rFonts w:hint="eastAsia" w:ascii="宋体" w:hAnsi="宋体" w:eastAsia="宋体" w:cs="宋体"/>
          <w:color w:val="000000"/>
          <w:sz w:val="72"/>
          <w:szCs w:val="72"/>
        </w:rPr>
        <w:t>乐山市五通桥区</w:t>
      </w:r>
    </w:p>
    <w:p>
      <w:pPr>
        <w:adjustRightInd w:val="0"/>
        <w:snapToGrid w:val="0"/>
        <w:spacing w:line="360" w:lineRule="auto"/>
        <w:jc w:val="center"/>
        <w:outlineLvl w:val="0"/>
        <w:rPr>
          <w:rFonts w:hint="eastAsia" w:ascii="宋体" w:hAnsi="宋体" w:eastAsia="宋体" w:cs="宋体"/>
          <w:color w:val="000000"/>
          <w:sz w:val="72"/>
          <w:szCs w:val="72"/>
        </w:rPr>
      </w:pPr>
      <w:r>
        <w:rPr>
          <w:rFonts w:hint="eastAsia" w:ascii="宋体" w:hAnsi="宋体" w:cs="宋体"/>
          <w:color w:val="000000"/>
          <w:sz w:val="72"/>
          <w:szCs w:val="72"/>
          <w:lang w:eastAsia="zh-CN"/>
        </w:rPr>
        <w:t>竹根镇建设小学</w:t>
      </w:r>
      <w:r>
        <w:rPr>
          <w:rFonts w:hint="eastAsia" w:ascii="宋体" w:hAnsi="宋体" w:eastAsia="宋体" w:cs="宋体"/>
          <w:color w:val="000000"/>
          <w:sz w:val="72"/>
          <w:szCs w:val="72"/>
        </w:rPr>
        <w:t>部门决算</w:t>
      </w:r>
      <w:bookmarkEnd w:id="9"/>
      <w:bookmarkEnd w:id="10"/>
      <w:bookmarkEnd w:id="11"/>
      <w:bookmarkEnd w:id="12"/>
      <w:bookmarkEnd w:id="13"/>
      <w:bookmarkEnd w:id="14"/>
      <w:bookmarkEnd w:id="15"/>
      <w:bookmarkEnd w:id="16"/>
      <w:bookmarkEnd w:id="17"/>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8"/>
      </w:pPr>
      <w:r>
        <w:rPr>
          <w:rFonts w:hint="eastAsia"/>
        </w:rPr>
        <w:t>公开时间：</w:t>
      </w:r>
      <w:r>
        <w:t>2021</w:t>
      </w:r>
      <w:r>
        <w:rPr>
          <w:rFonts w:hint="eastAsia"/>
        </w:rPr>
        <w:t xml:space="preserve">年 </w:t>
      </w:r>
      <w:r>
        <w:rPr>
          <w:rFonts w:hint="eastAsia"/>
          <w:lang w:val="en-US" w:eastAsia="zh-CN"/>
        </w:rPr>
        <w:t>9</w:t>
      </w:r>
      <w:r>
        <w:rPr>
          <w:rFonts w:hint="eastAsia"/>
        </w:rPr>
        <w:t>月</w:t>
      </w:r>
      <w:r>
        <w:rPr>
          <w:rFonts w:hint="eastAsia"/>
          <w:lang w:val="en-US" w:eastAsia="zh-CN"/>
        </w:rPr>
        <w:t>28</w:t>
      </w:r>
      <w:r>
        <w:rPr>
          <w:rFonts w:hint="eastAsia"/>
        </w:rPr>
        <w:t>日</w:t>
      </w:r>
    </w:p>
    <w:p/>
    <w:sdt>
      <w:sdtPr>
        <w:rPr>
          <w:rFonts w:ascii="宋体" w:hAnsi="宋体" w:eastAsia="宋体" w:cs="Times New Roman"/>
          <w:kern w:val="2"/>
          <w:sz w:val="21"/>
          <w:szCs w:val="24"/>
          <w:lang w:val="en-US" w:eastAsia="zh-CN" w:bidi="ar-SA"/>
        </w:rPr>
        <w:id w:val="147458708"/>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8" w:name="_Toc15396599"/>
          <w:bookmarkStart w:id="19" w:name="_Toc15377196"/>
        </w:p>
        <w:p>
          <w:pPr>
            <w:pStyle w:val="8"/>
            <w:tabs>
              <w:tab w:val="right" w:leader="dot" w:pos="8306"/>
              <w:tab w:val="clear" w:pos="8296"/>
            </w:tabs>
            <w:rPr>
              <w:rFonts w:hint="eastAsia" w:asciiTheme="majorEastAsia" w:hAnsiTheme="majorEastAsia" w:eastAsiaTheme="majorEastAsia" w:cstheme="majorEastAsia"/>
              <w:sz w:val="30"/>
              <w:szCs w:val="30"/>
            </w:rPr>
          </w:pPr>
          <w:r>
            <w:rPr>
              <w:sz w:val="30"/>
              <w:szCs w:val="30"/>
            </w:rPr>
            <w:fldChar w:fldCharType="begin"/>
          </w:r>
          <w:r>
            <w:rPr>
              <w:sz w:val="30"/>
              <w:szCs w:val="30"/>
            </w:rPr>
            <w:instrText xml:space="preserve">TOC \o "1-3" \h \u </w:instrText>
          </w:r>
          <w:r>
            <w:rPr>
              <w:sz w:val="30"/>
              <w:szCs w:val="30"/>
            </w:rPr>
            <w:fldChar w:fldCharType="separate"/>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_Toc25610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2020年度</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_Toc25610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_Toc23395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四川省乐山市五通桥区</w:t>
          </w:r>
          <w:r>
            <w:rPr>
              <w:rFonts w:hint="eastAsia" w:asciiTheme="majorEastAsia" w:hAnsiTheme="majorEastAsia" w:eastAsiaTheme="majorEastAsia" w:cstheme="majorEastAsia"/>
              <w:sz w:val="30"/>
              <w:szCs w:val="30"/>
              <w:lang w:eastAsia="zh-CN"/>
            </w:rPr>
            <w:t>竹根镇建设小学</w:t>
          </w:r>
          <w:r>
            <w:rPr>
              <w:rFonts w:hint="eastAsia" w:asciiTheme="majorEastAsia" w:hAnsiTheme="majorEastAsia" w:eastAsiaTheme="majorEastAsia" w:cstheme="majorEastAsia"/>
              <w:sz w:val="30"/>
              <w:szCs w:val="30"/>
            </w:rPr>
            <w:t>部门决算</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_Toc23395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_Toc8155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第一部分 部门概况</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_Toc8155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_Toc5915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一、基</w:t>
          </w:r>
          <w:r>
            <w:rPr>
              <w:rFonts w:hint="eastAsia" w:asciiTheme="majorEastAsia" w:hAnsiTheme="majorEastAsia" w:eastAsiaTheme="majorEastAsia" w:cstheme="majorEastAsia"/>
              <w:bCs w:val="0"/>
              <w:sz w:val="30"/>
              <w:szCs w:val="30"/>
            </w:rPr>
            <w:t>本职能及主要工作</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_Toc5915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_Toc22232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二、机</w:t>
          </w:r>
          <w:r>
            <w:rPr>
              <w:rFonts w:hint="eastAsia" w:asciiTheme="majorEastAsia" w:hAnsiTheme="majorEastAsia" w:eastAsiaTheme="majorEastAsia" w:cstheme="majorEastAsia"/>
              <w:bCs w:val="0"/>
              <w:sz w:val="30"/>
              <w:szCs w:val="30"/>
            </w:rPr>
            <w:t>构设置</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_Toc22232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7</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_Toc3287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xml:space="preserve">第二部分 </w:t>
          </w:r>
          <w:r>
            <w:rPr>
              <w:rFonts w:hint="eastAsia" w:asciiTheme="majorEastAsia" w:hAnsiTheme="majorEastAsia" w:eastAsiaTheme="majorEastAsia" w:cstheme="majorEastAsia"/>
              <w:bCs w:val="0"/>
              <w:sz w:val="30"/>
              <w:szCs w:val="30"/>
            </w:rPr>
            <w:t>2020年度部门决算情况说明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_Toc3287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_Toc6694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一、 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_Toc6694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8</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_Toc30598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二、 收入决算情况说明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_Toc30598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_Toc21996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三、 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_Toc21996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_Toc991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四、财政拨款收入支出决算总体情况说明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_Toc991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10</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_Toc22660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五、一般公共预算财政拨款支出决算情况说明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_Toc22660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11</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_Toc20807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六、一般公共预算财政拨款基本支出决算情况说明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_Toc20807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_Toc3155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七、“三公”经费财政拨款支出决算情况说明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_Toc3155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14</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_Toc3808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八、政府性基金预算支出决算情况说明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_Toc3808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_Toc16664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九、 国有资本经营预算支出决算情况说明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_Toc16664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_Toc15877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十、其他重要事项的情况说明</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_Toc15877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_Toc2289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第三部分 名词解释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_Toc2289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19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_Toc11717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第四部分 附件</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_Toc11717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_Toc3698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附件1</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_Toc3698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8"/>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_Toc7963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第四部分 附表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_Toc7963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_Toc13437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一、收入支出决算总表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_Toc13437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_Toc16370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二、收入决算表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_Toc16370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_Toc5558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三、支出决算表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_Toc5558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_Toc23348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四、财政拨款收入支出决算总表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_Toc23348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_Toc26829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五、财政拨款支出决算明细表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_Toc26829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_Toc20089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六、一般公共预算财政拨款支出决算表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_Toc20089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_Toc14330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七、一般公共预算财政拨款支出决算明细表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_Toc14330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_Toc6679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八、一般公共预算财政拨款基本支出决算表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_Toc6679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_Toc3412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九、一般公共预算财政拨款项目支出决算表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_Toc3412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_Toc18065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十、一般公共预算财政拨款“三公”经费支出决算表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_Toc18065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_Toc751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十一、政府性基金预算财政拨款收入支出决算表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_Toc751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_Toc29380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十二、政府性基金预算财政拨款“三公”经费支出决算表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_Toc29380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_Toc23785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十三、国有资本经营预算财政拨款收入支出决算表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_Toc23785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pStyle w:val="9"/>
            <w:tabs>
              <w:tab w:val="right" w:leader="dot" w:pos="8306"/>
              <w:tab w:val="clear" w:pos="8296"/>
            </w:tabs>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HYPERLINK \l _Toc14404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bCs/>
              <w:sz w:val="30"/>
              <w:szCs w:val="30"/>
            </w:rPr>
            <w:t>十四、国有资本经营预算财政拨款支出决算表</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_Toc14404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29</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pPr>
            <w:rPr>
              <w:rFonts w:ascii="宋体" w:hAnsi="宋体" w:eastAsia="宋体" w:cs="Times New Roman"/>
              <w:kern w:val="2"/>
              <w:sz w:val="21"/>
              <w:szCs w:val="24"/>
              <w:lang w:val="en-US" w:eastAsia="zh-CN" w:bidi="ar-SA"/>
            </w:rPr>
          </w:pPr>
          <w:r>
            <w:rPr>
              <w:szCs w:val="30"/>
            </w:rPr>
            <w:fldChar w:fldCharType="end"/>
          </w:r>
        </w:p>
      </w:sdtContent>
    </w:sdt>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hint="eastAsia" w:ascii="宋体" w:hAnsi="宋体" w:eastAsia="宋体" w:cs="Times New Roman"/>
          <w:kern w:val="2"/>
          <w:sz w:val="21"/>
          <w:szCs w:val="24"/>
          <w:lang w:val="en-US" w:eastAsia="zh-CN" w:bidi="ar-SA"/>
        </w:rPr>
      </w:pPr>
    </w:p>
    <w:p>
      <w:pPr>
        <w:pStyle w:val="2"/>
        <w:jc w:val="center"/>
        <w:rPr>
          <w:rFonts w:hint="eastAsia" w:ascii="黑体" w:hAnsi="黑体" w:eastAsia="黑体"/>
          <w:b w:val="0"/>
        </w:rPr>
      </w:pPr>
      <w:bookmarkStart w:id="20" w:name="_Toc8155"/>
      <w:r>
        <w:rPr>
          <w:rFonts w:hint="eastAsia" w:ascii="黑体" w:hAnsi="黑体" w:eastAsia="黑体"/>
          <w:b w:val="0"/>
        </w:rPr>
        <w:t>第一部分 部门概况</w:t>
      </w:r>
      <w:bookmarkEnd w:id="18"/>
      <w:bookmarkEnd w:id="19"/>
      <w:bookmarkEnd w:id="20"/>
    </w:p>
    <w:p>
      <w:pPr>
        <w:pStyle w:val="3"/>
        <w:rPr>
          <w:rStyle w:val="16"/>
          <w:rFonts w:ascii="仿宋" w:hAnsi="仿宋" w:eastAsia="仿宋"/>
          <w:b w:val="0"/>
          <w:bCs w:val="0"/>
        </w:rPr>
      </w:pPr>
      <w:bookmarkStart w:id="21" w:name="_Toc5915"/>
      <w:bookmarkStart w:id="22" w:name="_Toc15377197"/>
      <w:bookmarkStart w:id="23" w:name="_Toc15396600"/>
      <w:r>
        <w:rPr>
          <w:rFonts w:hint="eastAsia" w:ascii="黑体" w:hAnsi="黑体" w:eastAsia="黑体"/>
          <w:b w:val="0"/>
          <w:color w:val="000000"/>
        </w:rPr>
        <w:t>一、基</w:t>
      </w:r>
      <w:r>
        <w:rPr>
          <w:rStyle w:val="16"/>
          <w:rFonts w:hint="eastAsia" w:ascii="黑体" w:hAnsi="黑体" w:eastAsia="黑体"/>
          <w:b w:val="0"/>
          <w:bCs w:val="0"/>
        </w:rPr>
        <w:t>本职能及主要工作</w:t>
      </w:r>
      <w:bookmarkEnd w:id="21"/>
      <w:bookmarkEnd w:id="22"/>
      <w:bookmarkEnd w:id="23"/>
    </w:p>
    <w:p>
      <w:pPr>
        <w:pStyle w:val="4"/>
        <w:adjustRightInd w:val="0"/>
        <w:snapToGrid w:val="0"/>
        <w:spacing w:before="93" w:line="600" w:lineRule="exact"/>
        <w:ind w:firstLine="672" w:firstLineChars="210"/>
        <w:outlineLvl w:val="9"/>
        <w:rPr>
          <w:rFonts w:hint="eastAsia" w:ascii="仿宋" w:hAnsi="仿宋" w:eastAsia="仿宋" w:cs="仿宋"/>
          <w:bCs/>
          <w:color w:val="000000"/>
          <w:sz w:val="32"/>
          <w:szCs w:val="32"/>
        </w:rPr>
      </w:pPr>
      <w:bookmarkStart w:id="24" w:name="_Toc2408"/>
      <w:bookmarkStart w:id="25" w:name="_Toc15378445"/>
      <w:bookmarkStart w:id="26" w:name="_Toc15377198"/>
      <w:r>
        <w:rPr>
          <w:rFonts w:hint="eastAsia" w:ascii="仿宋" w:hAnsi="仿宋" w:eastAsia="仿宋" w:cs="仿宋"/>
          <w:bCs/>
          <w:color w:val="000000"/>
          <w:sz w:val="32"/>
          <w:szCs w:val="32"/>
        </w:rPr>
        <w:t>（一）主要职能</w:t>
      </w:r>
      <w:bookmarkEnd w:id="24"/>
      <w:bookmarkEnd w:id="25"/>
      <w:bookmarkEnd w:id="26"/>
      <w:bookmarkStart w:id="27" w:name="_Toc15377199"/>
      <w:bookmarkStart w:id="28" w:name="_Toc15378446"/>
    </w:p>
    <w:p>
      <w:pPr>
        <w:ind w:firstLineChars="200"/>
        <w:rPr>
          <w:rFonts w:hint="eastAsia" w:ascii="仿宋" w:hAnsi="仿宋" w:eastAsia="仿宋" w:cs="仿宋"/>
          <w:sz w:val="32"/>
          <w:szCs w:val="32"/>
        </w:rPr>
      </w:pPr>
      <w:bookmarkStart w:id="29" w:name="_Toc345"/>
      <w:r>
        <w:rPr>
          <w:rFonts w:hint="eastAsia" w:ascii="仿宋" w:hAnsi="仿宋" w:eastAsia="仿宋" w:cs="仿宋"/>
          <w:sz w:val="32"/>
          <w:szCs w:val="32"/>
          <w:lang w:eastAsia="zh-CN"/>
        </w:rPr>
        <w:t>实施小学义务教育，促进基础教育发展。小学学历教育</w:t>
      </w:r>
      <w:r>
        <w:rPr>
          <w:rFonts w:hint="eastAsia" w:ascii="仿宋" w:hAnsi="仿宋" w:eastAsia="仿宋" w:cs="仿宋"/>
          <w:sz w:val="32"/>
          <w:szCs w:val="32"/>
        </w:rPr>
        <w:t>。认真贯彻执行党的路线、方针、政策和上级领导部门及学校党委、行政的各项指示、决定，组织安排党委各种会议和重要活动;组织落实上级领导部门通知的有关会议和活动。</w:t>
      </w:r>
    </w:p>
    <w:p>
      <w:pPr>
        <w:pStyle w:val="4"/>
        <w:adjustRightInd w:val="0"/>
        <w:snapToGrid w:val="0"/>
        <w:spacing w:before="93" w:line="600" w:lineRule="exact"/>
        <w:ind w:firstLine="672" w:firstLineChars="210"/>
        <w:outlineLvl w:val="9"/>
        <w:rPr>
          <w:rFonts w:hint="eastAsia" w:ascii="仿宋" w:hAnsi="仿宋" w:eastAsia="仿宋" w:cs="仿宋"/>
          <w:bCs/>
          <w:color w:val="000000"/>
          <w:sz w:val="32"/>
          <w:szCs w:val="32"/>
        </w:rPr>
      </w:pPr>
      <w:r>
        <w:rPr>
          <w:rFonts w:hint="eastAsia" w:ascii="仿宋" w:hAnsi="仿宋" w:eastAsia="仿宋" w:cs="仿宋"/>
          <w:bCs/>
          <w:color w:val="000000"/>
          <w:sz w:val="32"/>
          <w:szCs w:val="32"/>
        </w:rPr>
        <w:t>（二）2020年重点工作完成情况</w:t>
      </w:r>
      <w:bookmarkEnd w:id="27"/>
      <w:bookmarkEnd w:id="28"/>
      <w:bookmarkEnd w:id="29"/>
    </w:p>
    <w:p>
      <w:pPr>
        <w:ind w:firstLineChars="200"/>
        <w:rPr>
          <w:rFonts w:hint="eastAsia" w:ascii="仿宋" w:hAnsi="仿宋" w:eastAsia="仿宋" w:cs="仿宋"/>
          <w:sz w:val="32"/>
          <w:szCs w:val="32"/>
        </w:rPr>
      </w:pPr>
      <w:bookmarkStart w:id="30" w:name="_Toc15377200"/>
      <w:bookmarkStart w:id="31" w:name="_Toc15396601"/>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加强师德师风建设</w:t>
      </w:r>
    </w:p>
    <w:p>
      <w:pPr>
        <w:ind w:firstLineChars="200"/>
        <w:rPr>
          <w:rFonts w:hint="eastAsia" w:ascii="仿宋" w:hAnsi="仿宋" w:eastAsia="仿宋" w:cs="仿宋"/>
          <w:sz w:val="32"/>
          <w:szCs w:val="32"/>
        </w:rPr>
      </w:pPr>
      <w:r>
        <w:rPr>
          <w:rFonts w:hint="eastAsia" w:ascii="仿宋" w:hAnsi="仿宋" w:eastAsia="仿宋" w:cs="仿宋"/>
          <w:sz w:val="32"/>
          <w:szCs w:val="32"/>
        </w:rPr>
        <w:t xml:space="preserve"> 为贯彻落实习近平总书记关于加强学习、建设学习大国重要指示精神，强化新形势下理论武装和思想教育工作，中宣部开发建设了“学习强国”学习平台。我校全体党员和教师利用该平台随时随地学习，让习近平新时代中国特色社会主义思想</w:t>
      </w:r>
      <w:r>
        <w:rPr>
          <w:rFonts w:hint="eastAsia" w:ascii="仿宋" w:hAnsi="仿宋" w:eastAsia="仿宋" w:cs="仿宋"/>
          <w:sz w:val="32"/>
          <w:szCs w:val="32"/>
          <w:lang w:eastAsia="zh-CN"/>
        </w:rPr>
        <w:t>入</w:t>
      </w:r>
      <w:r>
        <w:rPr>
          <w:rFonts w:hint="eastAsia" w:ascii="仿宋" w:hAnsi="仿宋" w:eastAsia="仿宋" w:cs="仿宋"/>
          <w:sz w:val="32"/>
          <w:szCs w:val="32"/>
        </w:rPr>
        <w:t>脑入心，提升广大干部群众思想觉悟，文明素质、科学素养。</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抓好党员队伍建设</w:t>
      </w:r>
    </w:p>
    <w:p>
      <w:pPr>
        <w:ind w:firstLineChars="200"/>
        <w:rPr>
          <w:rFonts w:hint="eastAsia" w:ascii="仿宋" w:hAnsi="仿宋" w:eastAsia="仿宋" w:cs="仿宋"/>
          <w:sz w:val="32"/>
          <w:szCs w:val="32"/>
        </w:rPr>
      </w:pPr>
      <w:r>
        <w:rPr>
          <w:rFonts w:hint="eastAsia" w:ascii="仿宋" w:hAnsi="仿宋" w:eastAsia="仿宋" w:cs="仿宋"/>
          <w:sz w:val="32"/>
          <w:szCs w:val="32"/>
        </w:rPr>
        <w:t>支部规范开展“三会一课”、“支部书记上党课”、“主题党日”“交心谈心”等活动，用活动推党建，将党建融入日常教学工作，让党员在活动中感受组织的魅力，激发心中的先锋正气，</w:t>
      </w:r>
      <w:bookmarkStart w:id="139" w:name="_GoBack"/>
      <w:r>
        <w:rPr>
          <w:rFonts w:hint="eastAsia" w:ascii="仿宋" w:hAnsi="仿宋" w:eastAsia="仿宋" w:cs="仿宋"/>
          <w:sz w:val="32"/>
          <w:szCs w:val="32"/>
        </w:rPr>
        <w:t>佩戴</w:t>
      </w:r>
      <w:bookmarkEnd w:id="139"/>
      <w:r>
        <w:rPr>
          <w:rFonts w:hint="eastAsia" w:ascii="仿宋" w:hAnsi="仿宋" w:eastAsia="仿宋" w:cs="仿宋"/>
          <w:sz w:val="32"/>
          <w:szCs w:val="32"/>
          <w:lang w:eastAsia="zh-CN"/>
        </w:rPr>
        <w:t>党员徽章</w:t>
      </w:r>
      <w:r>
        <w:rPr>
          <w:rFonts w:hint="eastAsia" w:ascii="仿宋" w:hAnsi="仿宋" w:eastAsia="仿宋" w:cs="仿宋"/>
          <w:sz w:val="32"/>
          <w:szCs w:val="32"/>
        </w:rPr>
        <w:t xml:space="preserve">，让党员身份内化于心外化于行：督促党员老师“学习强国”的学习，坚持每天打卡；做好疫情期间自我隔离和“停课不停学”工作，精心备课，认真开展网上教学活动，引导学生在线学习；组织党员自愿捐款，支持新冠肺炎疫情防控工作；认真学习党史故事100讲……通过一次次的学习讨论，使广大党员不忘入党初心，继续前行，继续书写教育奋斗之笔。 </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抓好教师队伍建设</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①</w:t>
      </w:r>
      <w:r>
        <w:rPr>
          <w:rFonts w:hint="eastAsia" w:ascii="仿宋" w:hAnsi="仿宋" w:eastAsia="仿宋" w:cs="仿宋"/>
          <w:sz w:val="32"/>
          <w:szCs w:val="32"/>
        </w:rPr>
        <w:t xml:space="preserve">开展丰富多彩的校内教研活动。由于本学年受疫情影响，所以学校举行校内各年级、各学科部分教师微型课活动。组内教师们积极参加听课、评课活动。要求听课教师提出“2+1”评课建议，即提出两条优点，一条建议，避免走形式。通过扎实有效的听课评课活动，教师们互相学习，互相帮助，共同进步。 </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②</w:t>
      </w:r>
      <w:r>
        <w:rPr>
          <w:rFonts w:hint="eastAsia" w:ascii="仿宋" w:hAnsi="仿宋" w:eastAsia="仿宋" w:cs="仿宋"/>
          <w:sz w:val="32"/>
          <w:szCs w:val="32"/>
        </w:rPr>
        <w:t xml:space="preserve">“走出去”，积极组织教师参加各级各类培训。为让教师们接触到最新的教育理念，学校积极组织教师参加各级各类培训，如：教材培训、网络远程培训等。 </w:t>
      </w:r>
    </w:p>
    <w:p>
      <w:pPr>
        <w:ind w:firstLineChars="200"/>
        <w:rPr>
          <w:rFonts w:hint="eastAsia" w:ascii="仿宋" w:hAnsi="仿宋" w:eastAsia="仿宋" w:cs="仿宋"/>
          <w:sz w:val="32"/>
          <w:szCs w:val="32"/>
        </w:rPr>
      </w:pPr>
      <w:r>
        <w:rPr>
          <w:rFonts w:hint="eastAsia" w:ascii="仿宋" w:hAnsi="仿宋" w:eastAsia="仿宋" w:cs="仿宋"/>
          <w:sz w:val="32"/>
          <w:szCs w:val="32"/>
          <w:lang w:val="en-US" w:eastAsia="zh-CN"/>
        </w:rPr>
        <w:t>③</w:t>
      </w:r>
      <w:r>
        <w:rPr>
          <w:rFonts w:hint="eastAsia" w:ascii="仿宋" w:hAnsi="仿宋" w:eastAsia="仿宋" w:cs="仿宋"/>
          <w:sz w:val="32"/>
          <w:szCs w:val="32"/>
        </w:rPr>
        <w:t xml:space="preserve">做好常规检查，促教师落实教学细节。 </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 xml:space="preserve">工会工作 我校工会在区教育工会和校党支部的关心领导下，认真学习贯彻市区工会有关工作会议精神，提升民主管理水平，开展各项活动，强化工会基本职责，抓好送温暖工作，规范工会自身建设，为我校教育教学改革和发展尽到了自己的力量。 </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后勤工作 后勤工作必须服务于学校大局和各项教育教学中心工作，因此我校后勤工作人员都能从学校整体工作出发，主动配合学校领导做好学校的各项工作，严格执行“三重一大”制度，广泛听取教职工意见，为学校教育教学的正常开展提供了有力的后勤保障。学校后勤综合管理的好坏，反应在学校财务工作，校产管理、食堂安全管理等多方面。这些工作细致到位才能保障学校各项工作顺利进行。经费管理方面，严把好经费关，坚持 “一支笔”原则开支，票据开支要严格程序，一张票据应有三个以上的人签字，即经办人、审核人和领导意见。从学校大局出发，避免浪费。采购物品做到了货比三家，为学校节约每一分钱，力争把有限的资金用在刀刃上。在校舍校产管理上，做到了帐、表、册心中有数，充分利用集队集会，向学生宣讲爱护学校财产，节约用电用水等内容，定期对校舍进行安全隐患排查，发现问题及时上报维修，消除安全隐患，做到工作细心。</w:t>
      </w:r>
    </w:p>
    <w:p>
      <w:pPr>
        <w:ind w:firstLineChars="200"/>
        <w:rPr>
          <w:rFonts w:hint="eastAsia" w:ascii="仿宋" w:hAnsi="仿宋" w:eastAsia="仿宋" w:cs="仿宋"/>
          <w:sz w:val="32"/>
          <w:szCs w:val="32"/>
        </w:rPr>
      </w:pPr>
      <w:r>
        <w:rPr>
          <w:rFonts w:hint="eastAsia" w:ascii="仿宋" w:hAnsi="仿宋" w:eastAsia="仿宋" w:cs="仿宋"/>
          <w:sz w:val="32"/>
          <w:szCs w:val="32"/>
        </w:rPr>
        <w:t xml:space="preserve">后勤工作千头万绪，还有很多是估计不到的，根据学校的需要，应及时处理，争取把此项工作做好，为学校教育教学和全校体师生服好务。 </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做好过渡工作</w:t>
      </w:r>
    </w:p>
    <w:p>
      <w:pPr>
        <w:ind w:firstLineChars="200"/>
        <w:rPr>
          <w:rFonts w:hint="eastAsia" w:ascii="仿宋" w:hAnsi="仿宋" w:eastAsia="仿宋" w:cs="仿宋"/>
          <w:sz w:val="32"/>
          <w:szCs w:val="32"/>
        </w:rPr>
      </w:pPr>
      <w:r>
        <w:rPr>
          <w:rFonts w:hint="eastAsia" w:ascii="仿宋" w:hAnsi="仿宋" w:eastAsia="仿宋" w:cs="仿宋"/>
          <w:sz w:val="32"/>
          <w:szCs w:val="32"/>
        </w:rPr>
        <w:t>2020年6月12日，中共乐山市五通桥区委机构编制委员会下发了《关于部分学校机构编制调整的批复》（五编委复【2020】6号），批复中指出：“在五通桥区竹根镇建设加挂‘乐山市五通桥区青少年校外活动中心’牌子。负责全区性的学生活动和社会实践活动的总体规划、组织和落实等工作。”建设小学又有了新的使命。2020年11月，区教育局任命黄涛同志为建设小学校长兼校外活动中心主任。黄涛同志开始了学校（中心）的工作规划与筹备。</w:t>
      </w:r>
    </w:p>
    <w:p>
      <w:pPr>
        <w:ind w:firstLineChars="200"/>
        <w:rPr>
          <w:rFonts w:hint="eastAsia" w:ascii="仿宋" w:hAnsi="仿宋" w:eastAsia="仿宋" w:cs="仿宋"/>
          <w:sz w:val="32"/>
          <w:szCs w:val="32"/>
        </w:rPr>
      </w:pPr>
    </w:p>
    <w:p>
      <w:pPr>
        <w:pStyle w:val="3"/>
        <w:rPr>
          <w:rStyle w:val="16"/>
          <w:b w:val="0"/>
          <w:bCs w:val="0"/>
        </w:rPr>
      </w:pPr>
      <w:bookmarkStart w:id="32" w:name="_Toc22232"/>
      <w:r>
        <w:rPr>
          <w:rFonts w:hint="eastAsia" w:ascii="黑体" w:eastAsia="黑体"/>
          <w:b w:val="0"/>
          <w:color w:val="000000"/>
        </w:rPr>
        <w:t>二、</w:t>
      </w:r>
      <w:r>
        <w:rPr>
          <w:rFonts w:hint="eastAsia" w:ascii="黑体" w:hAnsi="黑体" w:eastAsia="黑体"/>
          <w:b w:val="0"/>
          <w:color w:val="000000"/>
        </w:rPr>
        <w:t>机</w:t>
      </w:r>
      <w:r>
        <w:rPr>
          <w:rStyle w:val="16"/>
          <w:rFonts w:hint="eastAsia" w:ascii="黑体" w:hAnsi="黑体" w:eastAsia="黑体"/>
          <w:b w:val="0"/>
          <w:bCs w:val="0"/>
        </w:rPr>
        <w:t>构设置</w:t>
      </w:r>
      <w:bookmarkEnd w:id="30"/>
      <w:bookmarkEnd w:id="31"/>
      <w:bookmarkEnd w:id="32"/>
    </w:p>
    <w:p>
      <w:pPr>
        <w:ind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乐山市五通桥区竹根镇建设小学</w:t>
      </w:r>
      <w:r>
        <w:rPr>
          <w:rFonts w:hint="eastAsia" w:ascii="仿宋" w:hAnsi="仿宋" w:eastAsia="仿宋" w:cs="仿宋"/>
          <w:sz w:val="32"/>
          <w:szCs w:val="32"/>
        </w:rPr>
        <w:t>属一级预算单位，无下属二级单位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设置办公室、教务处、德育处、总务处</w:t>
      </w:r>
      <w:r>
        <w:rPr>
          <w:rFonts w:hint="eastAsia" w:ascii="仿宋" w:hAnsi="仿宋" w:eastAsia="仿宋" w:cs="仿宋"/>
          <w:sz w:val="32"/>
          <w:szCs w:val="32"/>
        </w:rPr>
        <w:t>。</w:t>
      </w:r>
      <w:r>
        <w:rPr>
          <w:rFonts w:hint="eastAsia" w:ascii="仿宋" w:hAnsi="仿宋" w:eastAsia="仿宋" w:cs="仿宋"/>
          <w:sz w:val="32"/>
          <w:szCs w:val="32"/>
          <w:lang w:eastAsia="zh-CN"/>
        </w:rPr>
        <w:t>乐山市五通桥区竹根镇建设小学</w:t>
      </w:r>
      <w:r>
        <w:rPr>
          <w:rFonts w:hint="eastAsia" w:ascii="仿宋" w:hAnsi="仿宋" w:eastAsia="仿宋" w:cs="仿宋"/>
          <w:sz w:val="32"/>
          <w:szCs w:val="32"/>
          <w:lang w:val="en-US" w:eastAsia="zh-CN"/>
        </w:rPr>
        <w:t>年末在职人数9人。</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5"/>
          <w:rFonts w:ascii="黑体" w:hAnsi="黑体" w:eastAsia="黑体"/>
          <w:b w:val="0"/>
          <w:bCs w:val="0"/>
        </w:rPr>
      </w:pPr>
      <w:bookmarkStart w:id="33" w:name="_Toc15377204"/>
      <w:bookmarkStart w:id="34" w:name="_Toc15396602"/>
      <w:bookmarkStart w:id="35" w:name="_Toc3287"/>
      <w:r>
        <w:rPr>
          <w:rFonts w:hint="eastAsia" w:ascii="黑体" w:hAnsi="黑体" w:eastAsia="黑体"/>
          <w:b w:val="0"/>
          <w:color w:val="000000"/>
        </w:rPr>
        <w:t>第二部分</w:t>
      </w:r>
      <w:r>
        <w:rPr>
          <w:rFonts w:ascii="黑体" w:hAnsi="黑体" w:eastAsia="黑体"/>
          <w:color w:val="000000"/>
        </w:rPr>
        <w:t xml:space="preserve"> </w:t>
      </w:r>
      <w:r>
        <w:rPr>
          <w:rStyle w:val="15"/>
          <w:rFonts w:ascii="黑体" w:hAnsi="黑体" w:eastAsia="黑体"/>
          <w:b w:val="0"/>
          <w:bCs w:val="0"/>
        </w:rPr>
        <w:t>2020</w:t>
      </w:r>
      <w:r>
        <w:rPr>
          <w:rStyle w:val="15"/>
          <w:rFonts w:hint="eastAsia" w:ascii="黑体" w:hAnsi="黑体" w:eastAsia="黑体"/>
          <w:b w:val="0"/>
          <w:bCs w:val="0"/>
        </w:rPr>
        <w:t>年度部门决算情况说明</w:t>
      </w:r>
      <w:bookmarkEnd w:id="33"/>
      <w:bookmarkEnd w:id="34"/>
      <w:bookmarkEnd w:id="35"/>
    </w:p>
    <w:p/>
    <w:p>
      <w:pPr>
        <w:pStyle w:val="17"/>
        <w:numPr>
          <w:ilvl w:val="0"/>
          <w:numId w:val="1"/>
        </w:numPr>
        <w:spacing w:line="600" w:lineRule="exact"/>
        <w:ind w:firstLineChars="0"/>
        <w:outlineLvl w:val="1"/>
        <w:rPr>
          <w:rStyle w:val="16"/>
          <w:rFonts w:ascii="黑体" w:hAnsi="黑体" w:eastAsia="黑体"/>
          <w:b w:val="0"/>
        </w:rPr>
      </w:pPr>
      <w:bookmarkStart w:id="36" w:name="_Toc15377205"/>
      <w:bookmarkStart w:id="37" w:name="_Toc6694"/>
      <w:bookmarkStart w:id="38" w:name="_Toc15396603"/>
      <w:r>
        <w:rPr>
          <w:rFonts w:hint="eastAsia" w:ascii="黑体" w:hAnsi="黑体" w:eastAsia="黑体"/>
          <w:color w:val="000000"/>
          <w:sz w:val="32"/>
          <w:szCs w:val="32"/>
        </w:rPr>
        <w:t>收</w:t>
      </w:r>
      <w:r>
        <w:rPr>
          <w:rStyle w:val="16"/>
          <w:rFonts w:hint="eastAsia" w:ascii="黑体" w:hAnsi="黑体" w:eastAsia="黑体"/>
          <w:b w:val="0"/>
        </w:rPr>
        <w:t>入支出决算总体情况说明</w:t>
      </w:r>
      <w:bookmarkEnd w:id="36"/>
      <w:bookmarkEnd w:id="37"/>
      <w:bookmarkEnd w:id="38"/>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出总计171.31万元，</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193.73万元，各减少22.42万元，</w:t>
      </w:r>
      <w:r>
        <w:rPr>
          <w:rFonts w:hint="eastAsia" w:ascii="仿宋" w:hAnsi="仿宋" w:eastAsia="仿宋"/>
          <w:color w:val="000000" w:themeColor="text1"/>
          <w:sz w:val="32"/>
          <w:szCs w:val="32"/>
          <w:lang w:eastAsia="zh-CN"/>
          <w14:textFill>
            <w14:solidFill>
              <w14:schemeClr w14:val="tx1"/>
            </w14:solidFill>
          </w14:textFill>
        </w:rPr>
        <w:t>下降</w:t>
      </w:r>
      <w:r>
        <w:rPr>
          <w:rFonts w:hint="eastAsia" w:ascii="仿宋" w:hAnsi="仿宋" w:eastAsia="仿宋"/>
          <w:color w:val="000000" w:themeColor="text1"/>
          <w:sz w:val="32"/>
          <w:szCs w:val="32"/>
          <w:lang w:val="en-US" w:eastAsia="zh-CN"/>
          <w14:textFill>
            <w14:solidFill>
              <w14:schemeClr w14:val="tx1"/>
            </w14:solidFill>
          </w14:textFill>
        </w:rPr>
        <w:t>11.57</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项目投入减少。</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401320</wp:posOffset>
            </wp:positionH>
            <wp:positionV relativeFrom="paragraph">
              <wp:posOffset>287020</wp:posOffset>
            </wp:positionV>
            <wp:extent cx="5080000" cy="3810000"/>
            <wp:effectExtent l="4445" t="4445" r="8255" b="8255"/>
            <wp:wrapSquare wrapText="bothSides"/>
            <wp:docPr id="7" name="图表 7" descr="7b0a202020202263686172745265734964223a2022343136373636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1280" w:firstLineChars="4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17"/>
        <w:numPr>
          <w:ilvl w:val="0"/>
          <w:numId w:val="1"/>
        </w:numPr>
        <w:spacing w:line="600" w:lineRule="exact"/>
        <w:ind w:firstLineChars="0"/>
        <w:outlineLvl w:val="1"/>
        <w:rPr>
          <w:rStyle w:val="16"/>
          <w:rFonts w:ascii="黑体" w:hAnsi="黑体" w:eastAsia="黑体"/>
          <w:b w:val="0"/>
        </w:rPr>
      </w:pPr>
      <w:bookmarkStart w:id="39" w:name="_Toc15377206"/>
      <w:bookmarkStart w:id="40" w:name="_Toc30598"/>
      <w:bookmarkStart w:id="41" w:name="_Toc15396604"/>
      <w:r>
        <w:rPr>
          <w:rFonts w:hint="eastAsia" w:ascii="黑体" w:hAnsi="黑体" w:eastAsia="黑体"/>
          <w:color w:val="000000"/>
          <w:sz w:val="32"/>
          <w:szCs w:val="32"/>
        </w:rPr>
        <w:t>收</w:t>
      </w:r>
      <w:r>
        <w:rPr>
          <w:rStyle w:val="16"/>
          <w:rFonts w:hint="eastAsia" w:ascii="黑体" w:hAnsi="黑体" w:eastAsia="黑体"/>
          <w:b w:val="0"/>
        </w:rPr>
        <w:t>入决算情况说明</w:t>
      </w:r>
      <w:bookmarkEnd w:id="39"/>
      <w:bookmarkEnd w:id="40"/>
      <w:bookmarkEnd w:id="41"/>
    </w:p>
    <w:p>
      <w:pPr>
        <w:spacing w:line="600" w:lineRule="exact"/>
        <w:ind w:firstLine="640" w:firstLineChars="200"/>
        <w:outlineLvl w:val="9"/>
        <w:rPr>
          <w:rFonts w:hint="eastAsia" w:ascii="仿宋" w:hAnsi="仿宋" w:eastAsia="仿宋"/>
          <w:color w:val="000000"/>
          <w:sz w:val="32"/>
          <w:szCs w:val="32"/>
          <w:lang w:eastAsia="zh-CN"/>
        </w:rPr>
      </w:pPr>
      <w:bookmarkStart w:id="42" w:name="_Toc7239"/>
      <w:r>
        <w:rPr>
          <w:rFonts w:ascii="仿宋" w:hAnsi="仿宋" w:eastAsia="仿宋"/>
          <w:color w:val="000000"/>
          <w:sz w:val="32"/>
          <w:szCs w:val="32"/>
        </w:rPr>
        <w:t>2020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171.31</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171.31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bookmarkEnd w:id="42"/>
    </w:p>
    <w:p>
      <w:pPr>
        <w:tabs>
          <w:tab w:val="left" w:pos="2797"/>
        </w:tabs>
        <w:spacing w:line="600" w:lineRule="exact"/>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-43815</wp:posOffset>
            </wp:positionH>
            <wp:positionV relativeFrom="paragraph">
              <wp:posOffset>251460</wp:posOffset>
            </wp:positionV>
            <wp:extent cx="5080000" cy="2992755"/>
            <wp:effectExtent l="4445" t="4445" r="8255" b="1270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1280" w:firstLineChars="400"/>
        <w:rPr>
          <w:rFonts w:hint="eastAsia" w:ascii="仿宋" w:hAnsi="仿宋" w:eastAsia="仿宋"/>
          <w:color w:val="00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17"/>
        <w:numPr>
          <w:ilvl w:val="0"/>
          <w:numId w:val="1"/>
        </w:numPr>
        <w:spacing w:line="600" w:lineRule="exact"/>
        <w:ind w:firstLineChars="0"/>
        <w:outlineLvl w:val="1"/>
        <w:rPr>
          <w:rStyle w:val="16"/>
          <w:rFonts w:ascii="黑体" w:hAnsi="黑体" w:eastAsia="黑体"/>
          <w:b w:val="0"/>
        </w:rPr>
      </w:pPr>
      <w:bookmarkStart w:id="43" w:name="_Toc15377207"/>
      <w:bookmarkStart w:id="44" w:name="_Toc21996"/>
      <w:bookmarkStart w:id="45" w:name="_Toc15396605"/>
      <w:r>
        <w:rPr>
          <w:rFonts w:hint="eastAsia" w:ascii="黑体" w:hAnsi="黑体" w:eastAsia="黑体"/>
          <w:color w:val="000000"/>
          <w:sz w:val="32"/>
          <w:szCs w:val="32"/>
        </w:rPr>
        <w:t>支</w:t>
      </w:r>
      <w:r>
        <w:rPr>
          <w:rStyle w:val="16"/>
          <w:rFonts w:hint="eastAsia" w:ascii="黑体" w:hAnsi="黑体" w:eastAsia="黑体"/>
          <w:b w:val="0"/>
        </w:rPr>
        <w:t>出决算情况说明</w:t>
      </w:r>
      <w:bookmarkEnd w:id="43"/>
      <w:bookmarkEnd w:id="44"/>
      <w:bookmarkEnd w:id="45"/>
    </w:p>
    <w:p>
      <w:pPr>
        <w:spacing w:line="600" w:lineRule="exact"/>
        <w:ind w:firstLine="640" w:firstLineChars="200"/>
        <w:outlineLvl w:val="9"/>
        <w:rPr>
          <w:rFonts w:hint="eastAsia" w:ascii="仿宋" w:hAnsi="仿宋" w:eastAsia="仿宋"/>
          <w:color w:val="000000"/>
          <w:sz w:val="32"/>
          <w:szCs w:val="32"/>
          <w:lang w:eastAsia="zh-CN"/>
        </w:rPr>
      </w:pPr>
      <w:bookmarkStart w:id="46" w:name="_Toc29496"/>
      <w:r>
        <w:rPr>
          <w:rFonts w:ascii="仿宋" w:hAnsi="仿宋" w:eastAsia="仿宋"/>
          <w:color w:val="000000"/>
          <w:sz w:val="32"/>
          <w:szCs w:val="32"/>
        </w:rPr>
        <w:t>2020</w:t>
      </w:r>
      <w:r>
        <w:rPr>
          <w:rFonts w:hint="eastAsia" w:ascii="仿宋" w:hAnsi="仿宋" w:eastAsia="仿宋"/>
          <w:color w:val="000000"/>
          <w:sz w:val="32"/>
          <w:szCs w:val="32"/>
        </w:rPr>
        <w:t>年本年支出合计</w:t>
      </w:r>
      <w:r>
        <w:rPr>
          <w:rFonts w:hint="eastAsia" w:ascii="仿宋" w:hAnsi="仿宋" w:eastAsia="仿宋"/>
          <w:color w:val="000000"/>
          <w:sz w:val="32"/>
          <w:szCs w:val="32"/>
          <w:lang w:eastAsia="zh-CN"/>
        </w:rPr>
        <w:t>171.3</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万元，其中：基本支出</w:t>
      </w:r>
      <w:r>
        <w:rPr>
          <w:rFonts w:hint="eastAsia" w:ascii="仿宋" w:hAnsi="仿宋" w:eastAsia="仿宋"/>
          <w:color w:val="000000"/>
          <w:sz w:val="32"/>
          <w:szCs w:val="32"/>
          <w:lang w:eastAsia="zh-CN"/>
        </w:rPr>
        <w:t>167.2</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97.65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eastAsia="zh-CN"/>
        </w:rPr>
        <w:t>4.03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2.35</w:t>
      </w:r>
      <w:r>
        <w:rPr>
          <w:rFonts w:ascii="仿宋" w:hAnsi="仿宋" w:eastAsia="仿宋"/>
          <w:color w:val="000000"/>
          <w:sz w:val="32"/>
          <w:szCs w:val="32"/>
        </w:rPr>
        <w:t>%</w:t>
      </w:r>
      <w:r>
        <w:rPr>
          <w:rFonts w:hint="eastAsia" w:ascii="仿宋" w:hAnsi="仿宋" w:eastAsia="仿宋"/>
          <w:color w:val="000000"/>
          <w:sz w:val="32"/>
          <w:szCs w:val="32"/>
          <w:lang w:eastAsia="zh-CN"/>
        </w:rPr>
        <w:t>。</w:t>
      </w:r>
      <w:bookmarkEnd w:id="46"/>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r>
        <w:rPr>
          <w:rFonts w:hint="eastAsia" w:ascii="仿宋" w:hAnsi="仿宋" w:eastAsia="仿宋"/>
          <w:color w:val="000000"/>
          <w:sz w:val="32"/>
          <w:szCs w:val="32"/>
          <w:shd w:val="pct10" w:color="auto" w:fill="FFFFFF"/>
          <w:lang w:eastAsia="zh-CN"/>
        </w:rPr>
        <w:drawing>
          <wp:anchor distT="0" distB="0" distL="114300" distR="114300" simplePos="0" relativeHeight="251661312" behindDoc="0" locked="0" layoutInCell="1" allowOverlap="1">
            <wp:simplePos x="0" y="0"/>
            <wp:positionH relativeFrom="column">
              <wp:posOffset>410845</wp:posOffset>
            </wp:positionH>
            <wp:positionV relativeFrom="paragraph">
              <wp:posOffset>49530</wp:posOffset>
            </wp:positionV>
            <wp:extent cx="4524375" cy="3761740"/>
            <wp:effectExtent l="4445" t="4445" r="5080" b="57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hint="eastAsia" w:ascii="仿宋" w:hAnsi="仿宋" w:eastAsia="仿宋"/>
          <w:color w:val="000000"/>
          <w:sz w:val="32"/>
          <w:szCs w:val="32"/>
          <w:shd w:val="pct10" w:color="auto" w:fill="FFFFFF"/>
          <w:lang w:eastAsia="zh-CN"/>
        </w:rPr>
      </w:pPr>
    </w:p>
    <w:p>
      <w:pPr>
        <w:spacing w:line="600" w:lineRule="exact"/>
        <w:ind w:left="1917" w:leftChars="608" w:hanging="640" w:hangingChars="200"/>
        <w:rPr>
          <w:rFonts w:hint="eastAsia"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ind w:firstLine="1280" w:firstLineChars="400"/>
        <w:rPr>
          <w:rFonts w:hint="eastAsia" w:ascii="仿宋" w:hAnsi="仿宋" w:eastAsia="仿宋"/>
          <w:color w:val="000000"/>
          <w:sz w:val="32"/>
          <w:szCs w:val="32"/>
        </w:rPr>
      </w:pPr>
    </w:p>
    <w:p>
      <w:pPr>
        <w:spacing w:line="600" w:lineRule="exact"/>
        <w:ind w:firstLine="640" w:firstLineChars="200"/>
        <w:outlineLvl w:val="1"/>
        <w:rPr>
          <w:rStyle w:val="16"/>
          <w:rFonts w:ascii="黑体" w:hAnsi="黑体" w:eastAsia="黑体"/>
          <w:b w:val="0"/>
        </w:rPr>
      </w:pPr>
      <w:bookmarkStart w:id="47" w:name="_Toc15377208"/>
      <w:bookmarkStart w:id="48" w:name="_Toc991"/>
      <w:bookmarkStart w:id="49" w:name="_Toc15396606"/>
      <w:r>
        <w:rPr>
          <w:rFonts w:hint="eastAsia" w:ascii="黑体" w:hAnsi="黑体" w:eastAsia="黑体"/>
          <w:color w:val="000000"/>
          <w:sz w:val="32"/>
          <w:szCs w:val="32"/>
        </w:rPr>
        <w:t>四、财</w:t>
      </w:r>
      <w:r>
        <w:rPr>
          <w:rStyle w:val="16"/>
          <w:rFonts w:hint="eastAsia" w:ascii="黑体" w:hAnsi="黑体" w:eastAsia="黑体"/>
          <w:b w:val="0"/>
        </w:rPr>
        <w:t>政拨款收入支出决算总体情况说明</w:t>
      </w:r>
      <w:bookmarkEnd w:id="47"/>
      <w:bookmarkEnd w:id="48"/>
      <w:bookmarkEnd w:id="49"/>
    </w:p>
    <w:p>
      <w:pPr>
        <w:spacing w:line="600" w:lineRule="exact"/>
        <w:ind w:firstLine="64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val="en-US" w:eastAsia="zh-CN"/>
        </w:rPr>
        <w:t>出总计171.31</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eastAsia="zh-CN"/>
        </w:rPr>
        <w:t>入</w:t>
      </w:r>
      <w:r>
        <w:rPr>
          <w:rFonts w:hint="eastAsia" w:ascii="仿宋" w:hAnsi="仿宋" w:eastAsia="仿宋"/>
          <w:color w:val="000000"/>
          <w:sz w:val="32"/>
          <w:szCs w:val="32"/>
        </w:rPr>
        <w:t>、支</w:t>
      </w:r>
      <w:r>
        <w:rPr>
          <w:rFonts w:hint="eastAsia" w:ascii="仿宋" w:hAnsi="仿宋" w:eastAsia="仿宋"/>
          <w:color w:val="000000"/>
          <w:sz w:val="32"/>
          <w:szCs w:val="32"/>
          <w:lang w:eastAsia="zh-CN"/>
        </w:rPr>
        <w:t>出总计</w:t>
      </w:r>
      <w:r>
        <w:rPr>
          <w:rFonts w:hint="eastAsia" w:ascii="仿宋" w:hAnsi="仿宋" w:eastAsia="仿宋"/>
          <w:color w:val="000000"/>
          <w:sz w:val="32"/>
          <w:szCs w:val="32"/>
          <w:lang w:val="en-US" w:eastAsia="zh-CN"/>
        </w:rPr>
        <w:t>193.73万元，各减少22.42万元，</w:t>
      </w:r>
      <w:r>
        <w:rPr>
          <w:rFonts w:hint="eastAsia" w:ascii="仿宋" w:hAnsi="仿宋" w:eastAsia="仿宋"/>
          <w:color w:val="000000" w:themeColor="text1"/>
          <w:sz w:val="32"/>
          <w:szCs w:val="32"/>
          <w:lang w:eastAsia="zh-CN"/>
          <w14:textFill>
            <w14:solidFill>
              <w14:schemeClr w14:val="tx1"/>
            </w14:solidFill>
          </w14:textFill>
        </w:rPr>
        <w:t>下降</w:t>
      </w:r>
      <w:r>
        <w:rPr>
          <w:rFonts w:hint="eastAsia" w:ascii="仿宋" w:hAnsi="仿宋" w:eastAsia="仿宋"/>
          <w:color w:val="000000" w:themeColor="text1"/>
          <w:sz w:val="32"/>
          <w:szCs w:val="32"/>
          <w:lang w:val="en-US" w:eastAsia="zh-CN"/>
          <w14:textFill>
            <w14:solidFill>
              <w14:schemeClr w14:val="tx1"/>
            </w14:solidFill>
          </w14:textFill>
        </w:rPr>
        <w:t>11.57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项目投入减少。</w:t>
      </w: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33020</wp:posOffset>
            </wp:positionH>
            <wp:positionV relativeFrom="paragraph">
              <wp:posOffset>290195</wp:posOffset>
            </wp:positionV>
            <wp:extent cx="5334000" cy="3601720"/>
            <wp:effectExtent l="4445" t="4445" r="14605" b="1333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rPr>
          <w:rFonts w:ascii="仿宋" w:hAnsi="仿宋" w:eastAsia="仿宋"/>
          <w:b/>
          <w:color w:val="00B050"/>
          <w:sz w:val="32"/>
          <w:szCs w:val="32"/>
        </w:rPr>
      </w:pPr>
    </w:p>
    <w:p>
      <w:pPr>
        <w:spacing w:line="600" w:lineRule="exact"/>
        <w:ind w:firstLine="640" w:firstLineChars="200"/>
        <w:outlineLvl w:val="1"/>
        <w:rPr>
          <w:rStyle w:val="16"/>
          <w:rFonts w:ascii="黑体" w:hAnsi="黑体" w:eastAsia="黑体"/>
          <w:b w:val="0"/>
        </w:rPr>
      </w:pPr>
      <w:bookmarkStart w:id="50" w:name="_Toc15396607"/>
      <w:bookmarkStart w:id="51" w:name="_Toc15377209"/>
      <w:bookmarkStart w:id="52" w:name="_Toc22660"/>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bookmarkEnd w:id="50"/>
      <w:bookmarkEnd w:id="51"/>
      <w:bookmarkEnd w:id="52"/>
    </w:p>
    <w:p>
      <w:pPr>
        <w:spacing w:line="600" w:lineRule="exact"/>
        <w:ind w:firstLine="643" w:firstLineChars="200"/>
        <w:outlineLvl w:val="9"/>
        <w:rPr>
          <w:rFonts w:ascii="仿宋" w:hAnsi="仿宋" w:eastAsia="仿宋"/>
          <w:color w:val="000000"/>
          <w:sz w:val="32"/>
          <w:szCs w:val="32"/>
        </w:rPr>
      </w:pPr>
      <w:bookmarkStart w:id="53" w:name="_Toc20289"/>
      <w:bookmarkStart w:id="54" w:name="_Toc15377210"/>
      <w:r>
        <w:rPr>
          <w:rFonts w:hint="eastAsia" w:ascii="仿宋" w:hAnsi="仿宋" w:eastAsia="仿宋"/>
          <w:b/>
          <w:color w:val="000000"/>
          <w:sz w:val="32"/>
          <w:szCs w:val="32"/>
        </w:rPr>
        <w:t>（一）一般公共预算财政拨款支出决算总体情况</w:t>
      </w:r>
      <w:bookmarkEnd w:id="53"/>
      <w:bookmarkEnd w:id="54"/>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eastAsia="zh-CN"/>
        </w:rPr>
        <w:t>171.3</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val="en-US" w:eastAsia="zh-CN"/>
        </w:rPr>
        <w:t>减少22.42</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下降</w:t>
      </w:r>
      <w:r>
        <w:rPr>
          <w:rFonts w:hint="eastAsia" w:ascii="仿宋" w:hAnsi="仿宋" w:eastAsia="仿宋"/>
          <w:color w:val="000000"/>
          <w:sz w:val="32"/>
          <w:szCs w:val="32"/>
          <w:lang w:val="en-US" w:eastAsia="zh-CN"/>
        </w:rPr>
        <w:t>11.57</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项目投入减少。</w:t>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433070</wp:posOffset>
            </wp:positionH>
            <wp:positionV relativeFrom="paragraph">
              <wp:posOffset>-75565</wp:posOffset>
            </wp:positionV>
            <wp:extent cx="4365625" cy="3503295"/>
            <wp:effectExtent l="5080" t="4445" r="10795" b="1651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w:t>
      </w:r>
    </w:p>
    <w:p>
      <w:pPr>
        <w:spacing w:line="600" w:lineRule="exact"/>
        <w:rPr>
          <w:rFonts w:hint="eastAsia" w:ascii="仿宋" w:hAnsi="仿宋" w:eastAsia="仿宋"/>
          <w:color w:val="000000"/>
          <w:sz w:val="32"/>
          <w:szCs w:val="32"/>
        </w:rPr>
      </w:pPr>
    </w:p>
    <w:p>
      <w:pPr>
        <w:spacing w:line="600" w:lineRule="exact"/>
        <w:rPr>
          <w:rFonts w:hint="eastAsia" w:ascii="仿宋" w:hAnsi="仿宋" w:eastAsia="仿宋"/>
          <w:color w:val="000000"/>
          <w:sz w:val="32"/>
          <w:szCs w:val="32"/>
          <w:lang w:val="en-US" w:eastAsia="zh-CN"/>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w:t>
      </w: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3" w:firstLineChars="200"/>
        <w:outlineLvl w:val="9"/>
        <w:rPr>
          <w:rFonts w:ascii="仿宋" w:hAnsi="仿宋" w:eastAsia="仿宋"/>
          <w:b/>
          <w:color w:val="000000"/>
          <w:sz w:val="32"/>
          <w:szCs w:val="32"/>
        </w:rPr>
      </w:pPr>
      <w:bookmarkStart w:id="55" w:name="_Toc13117"/>
      <w:bookmarkStart w:id="56" w:name="_Toc15377211"/>
      <w:r>
        <w:rPr>
          <w:rFonts w:hint="eastAsia" w:ascii="仿宋" w:hAnsi="仿宋" w:eastAsia="仿宋"/>
          <w:b/>
          <w:color w:val="000000"/>
          <w:sz w:val="32"/>
          <w:szCs w:val="32"/>
        </w:rPr>
        <w:t>（二）一般公共预算财政拨款支出决算结构情况</w:t>
      </w:r>
      <w:bookmarkEnd w:id="55"/>
      <w:bookmarkEnd w:id="56"/>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eastAsia="zh-CN"/>
        </w:rPr>
        <w:t>171.3</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教育支出（类）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95.52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55.76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社会保障和就业支出（类）</w:t>
      </w:r>
      <w:r>
        <w:rPr>
          <w:rFonts w:hint="eastAsia" w:ascii="仿宋" w:hAnsi="仿宋" w:eastAsia="仿宋"/>
          <w:color w:val="000000"/>
          <w:sz w:val="32"/>
          <w:szCs w:val="32"/>
          <w:lang w:val="en-US" w:eastAsia="zh-CN"/>
        </w:rPr>
        <w:t>63.93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37.32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lang w:val="en-US" w:eastAsia="zh-CN"/>
        </w:rPr>
        <w:t>3.7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2.16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auto"/>
          <w:sz w:val="32"/>
          <w:szCs w:val="32"/>
        </w:rPr>
        <w:t>住房保障</w:t>
      </w:r>
      <w:r>
        <w:rPr>
          <w:rFonts w:hint="eastAsia" w:ascii="仿宋" w:hAnsi="仿宋" w:eastAsia="仿宋"/>
          <w:b/>
          <w:bCs/>
          <w:color w:val="000000"/>
          <w:sz w:val="32"/>
          <w:szCs w:val="32"/>
        </w:rPr>
        <w:t>支出</w:t>
      </w:r>
      <w:r>
        <w:rPr>
          <w:rFonts w:hint="eastAsia" w:ascii="仿宋" w:hAnsi="仿宋" w:eastAsia="仿宋"/>
          <w:color w:val="000000"/>
          <w:sz w:val="32"/>
          <w:szCs w:val="32"/>
          <w:lang w:val="en-US" w:eastAsia="zh-CN"/>
        </w:rPr>
        <w:t>8.16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4.76</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lang w:eastAsia="zh-CN"/>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5408" behindDoc="0" locked="0" layoutInCell="1" allowOverlap="1">
            <wp:simplePos x="0" y="0"/>
            <wp:positionH relativeFrom="column">
              <wp:posOffset>514350</wp:posOffset>
            </wp:positionH>
            <wp:positionV relativeFrom="paragraph">
              <wp:posOffset>206375</wp:posOffset>
            </wp:positionV>
            <wp:extent cx="3921125" cy="3051175"/>
            <wp:effectExtent l="4445" t="4445" r="17780" b="1143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3" w:firstLineChars="200"/>
        <w:outlineLvl w:val="9"/>
        <w:rPr>
          <w:rFonts w:ascii="仿宋" w:hAnsi="仿宋" w:eastAsia="仿宋"/>
          <w:b/>
          <w:color w:val="000000"/>
          <w:sz w:val="32"/>
          <w:szCs w:val="32"/>
        </w:rPr>
      </w:pPr>
      <w:bookmarkStart w:id="57" w:name="_Toc15377212"/>
      <w:bookmarkStart w:id="58" w:name="_Toc16048"/>
      <w:r>
        <w:rPr>
          <w:rFonts w:hint="eastAsia" w:ascii="仿宋" w:hAnsi="仿宋" w:eastAsia="仿宋"/>
          <w:b/>
          <w:color w:val="000000"/>
          <w:sz w:val="32"/>
          <w:szCs w:val="32"/>
        </w:rPr>
        <w:t>（三）一般公共预算财政拨款支出决算具体情况</w:t>
      </w:r>
      <w:bookmarkEnd w:id="57"/>
      <w:bookmarkEnd w:id="58"/>
    </w:p>
    <w:p>
      <w:pPr>
        <w:spacing w:line="600" w:lineRule="exact"/>
        <w:ind w:firstLine="643" w:firstLineChars="200"/>
        <w:outlineLvl w:val="9"/>
        <w:rPr>
          <w:rFonts w:ascii="仿宋" w:hAnsi="仿宋" w:eastAsia="仿宋"/>
          <w:color w:val="FF0000"/>
          <w:sz w:val="32"/>
          <w:szCs w:val="32"/>
        </w:rPr>
      </w:pPr>
      <w:bookmarkStart w:id="59" w:name="_Toc15377213"/>
      <w:bookmarkStart w:id="60" w:name="_Toc15377444"/>
      <w:bookmarkStart w:id="61" w:name="_Toc15378460"/>
      <w:bookmarkStart w:id="62" w:name="_Toc28372"/>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w:t>
      </w:r>
      <w:r>
        <w:rPr>
          <w:rFonts w:hint="eastAsia" w:ascii="仿宋" w:hAnsi="仿宋" w:eastAsia="仿宋"/>
          <w:color w:val="000000"/>
          <w:sz w:val="32"/>
          <w:szCs w:val="32"/>
          <w:lang w:eastAsia="zh-CN"/>
        </w:rPr>
        <w:t>171.3</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w:t>
      </w:r>
      <w:r>
        <w:rPr>
          <w:rStyle w:val="13"/>
          <w:rFonts w:hint="eastAsia" w:ascii="仿宋" w:hAnsi="仿宋" w:eastAsia="仿宋"/>
          <w:bCs/>
          <w:color w:val="000000"/>
          <w:sz w:val="32"/>
          <w:szCs w:val="32"/>
        </w:rPr>
        <w:t>完成预算</w:t>
      </w:r>
      <w:r>
        <w:rPr>
          <w:rStyle w:val="13"/>
          <w:rFonts w:hint="eastAsia" w:ascii="仿宋" w:hAnsi="仿宋" w:eastAsia="仿宋"/>
          <w:bCs/>
          <w:color w:val="000000"/>
          <w:sz w:val="32"/>
          <w:szCs w:val="32"/>
          <w:lang w:val="en-US" w:eastAsia="zh-CN"/>
        </w:rPr>
        <w:t>100</w:t>
      </w:r>
      <w:r>
        <w:rPr>
          <w:rStyle w:val="13"/>
          <w:rFonts w:ascii="仿宋" w:hAnsi="仿宋" w:eastAsia="仿宋"/>
          <w:bCs/>
          <w:color w:val="000000"/>
          <w:sz w:val="32"/>
          <w:szCs w:val="32"/>
        </w:rPr>
        <w:t>%</w:t>
      </w:r>
      <w:r>
        <w:rPr>
          <w:rStyle w:val="13"/>
          <w:rFonts w:hint="eastAsia" w:ascii="仿宋" w:hAnsi="仿宋" w:eastAsia="仿宋"/>
          <w:bCs/>
          <w:color w:val="000000"/>
          <w:sz w:val="32"/>
          <w:szCs w:val="32"/>
        </w:rPr>
        <w:t>。其中：</w:t>
      </w:r>
      <w:bookmarkEnd w:id="59"/>
      <w:bookmarkEnd w:id="60"/>
      <w:bookmarkEnd w:id="61"/>
      <w:bookmarkEnd w:id="62"/>
    </w:p>
    <w:p>
      <w:pPr>
        <w:spacing w:line="600" w:lineRule="exact"/>
        <w:ind w:firstLine="643" w:firstLineChars="200"/>
        <w:rPr>
          <w:rFonts w:ascii="仿宋" w:hAnsi="仿宋" w:eastAsia="仿宋"/>
          <w:b/>
          <w:color w:val="000000"/>
          <w:sz w:val="32"/>
          <w:szCs w:val="32"/>
        </w:rPr>
      </w:pPr>
      <w:r>
        <w:rPr>
          <w:rStyle w:val="13"/>
          <w:rFonts w:ascii="仿宋" w:hAnsi="仿宋" w:eastAsia="仿宋"/>
          <w:bCs/>
          <w:color w:val="000000"/>
          <w:sz w:val="32"/>
          <w:szCs w:val="32"/>
        </w:rPr>
        <w:t>1.</w:t>
      </w:r>
      <w:r>
        <w:rPr>
          <w:rStyle w:val="13"/>
          <w:rFonts w:hint="eastAsia" w:ascii="仿宋" w:hAnsi="仿宋" w:eastAsia="仿宋"/>
          <w:bCs/>
          <w:color w:val="000000"/>
          <w:sz w:val="32"/>
          <w:szCs w:val="32"/>
        </w:rPr>
        <w:t>教育支出（类）普通教育（款）小学教育（项）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支出决算为91.</w:t>
      </w:r>
      <w:r>
        <w:rPr>
          <w:rStyle w:val="13"/>
          <w:rFonts w:hint="eastAsia" w:ascii="仿宋" w:hAnsi="仿宋" w:eastAsia="仿宋"/>
          <w:b w:val="0"/>
          <w:bCs/>
          <w:color w:val="000000"/>
          <w:sz w:val="32"/>
          <w:szCs w:val="32"/>
          <w:lang w:val="en-US" w:eastAsia="zh-CN"/>
        </w:rPr>
        <w:t>49</w:t>
      </w:r>
      <w:r>
        <w:rPr>
          <w:rStyle w:val="13"/>
          <w:rFonts w:hint="eastAsia" w:ascii="仿宋" w:hAnsi="仿宋" w:eastAsia="仿宋"/>
          <w:b w:val="0"/>
          <w:bCs/>
          <w:color w:val="000000"/>
          <w:sz w:val="32"/>
          <w:szCs w:val="32"/>
        </w:rPr>
        <w:t>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ascii="仿宋" w:hAnsi="仿宋" w:eastAsia="仿宋"/>
          <w:bCs/>
          <w:color w:val="000000"/>
          <w:sz w:val="32"/>
          <w:szCs w:val="32"/>
        </w:rPr>
        <w:t>2.</w:t>
      </w:r>
      <w:r>
        <w:rPr>
          <w:rStyle w:val="13"/>
          <w:rFonts w:hint="eastAsia" w:ascii="仿宋" w:hAnsi="仿宋" w:eastAsia="仿宋"/>
          <w:bCs/>
          <w:color w:val="000000"/>
          <w:sz w:val="32"/>
          <w:szCs w:val="32"/>
        </w:rPr>
        <w:t>教育支出（类）教育费附加安排的支出（款）其他教育费附加安排的支出（项）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支出决算为4.0</w:t>
      </w:r>
      <w:r>
        <w:rPr>
          <w:rStyle w:val="13"/>
          <w:rFonts w:hint="eastAsia" w:ascii="仿宋" w:hAnsi="仿宋" w:eastAsia="仿宋"/>
          <w:b w:val="0"/>
          <w:bCs/>
          <w:color w:val="000000"/>
          <w:sz w:val="32"/>
          <w:szCs w:val="32"/>
          <w:lang w:val="en-US" w:eastAsia="zh-CN"/>
        </w:rPr>
        <w:t>3</w:t>
      </w:r>
      <w:r>
        <w:rPr>
          <w:rStyle w:val="13"/>
          <w:rFonts w:hint="eastAsia" w:ascii="仿宋" w:hAnsi="仿宋" w:eastAsia="仿宋"/>
          <w:b w:val="0"/>
          <w:bCs/>
          <w:color w:val="000000"/>
          <w:sz w:val="32"/>
          <w:szCs w:val="32"/>
        </w:rPr>
        <w:t>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ascii="仿宋" w:hAnsi="仿宋" w:eastAsia="仿宋"/>
          <w:bCs/>
          <w:color w:val="000000"/>
          <w:sz w:val="32"/>
          <w:szCs w:val="32"/>
        </w:rPr>
        <w:t>3.</w:t>
      </w:r>
      <w:r>
        <w:rPr>
          <w:rStyle w:val="13"/>
          <w:rFonts w:hint="eastAsia" w:ascii="仿宋" w:hAnsi="仿宋" w:eastAsia="仿宋"/>
          <w:bCs/>
          <w:color w:val="000000"/>
          <w:sz w:val="32"/>
          <w:szCs w:val="32"/>
        </w:rPr>
        <w:t>社会保障和就业支出（类）行政事业单位养老支出（款）机关事业单位基本养老保险缴费支出（项）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支出决算为11.33万元，完成预算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ascii="仿宋" w:hAnsi="仿宋" w:eastAsia="仿宋"/>
          <w:bCs/>
          <w:color w:val="000000"/>
          <w:sz w:val="32"/>
          <w:szCs w:val="32"/>
        </w:rPr>
        <w:t>4.</w:t>
      </w:r>
      <w:r>
        <w:rPr>
          <w:rStyle w:val="13"/>
          <w:rFonts w:hint="eastAsia" w:ascii="仿宋" w:hAnsi="仿宋" w:eastAsia="仿宋"/>
          <w:bCs/>
          <w:color w:val="000000"/>
          <w:sz w:val="32"/>
          <w:szCs w:val="32"/>
        </w:rPr>
        <w:t>社会保障和就业支出（类）行政事业单位养老支出（款）机关事业单位职业年金缴费支出（项）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支出决算为7.35万元，完成预算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3"/>
          <w:rFonts w:ascii="仿宋" w:hAnsi="仿宋" w:eastAsia="仿宋"/>
          <w:bCs/>
          <w:color w:val="000000"/>
          <w:sz w:val="32"/>
          <w:szCs w:val="32"/>
        </w:rPr>
        <w:t>5.</w:t>
      </w:r>
      <w:r>
        <w:rPr>
          <w:rStyle w:val="13"/>
          <w:rFonts w:hint="eastAsia" w:ascii="仿宋" w:hAnsi="仿宋" w:eastAsia="仿宋"/>
          <w:bCs/>
          <w:color w:val="000000"/>
          <w:sz w:val="32"/>
          <w:szCs w:val="32"/>
        </w:rPr>
        <w:t>社会保障和就业支出（类）行政事业单位养老支出（款）其他行政事业单位养老支出（项）</w:t>
      </w:r>
      <w:r>
        <w:rPr>
          <w:rStyle w:val="13"/>
          <w:rFonts w:ascii="仿宋" w:hAnsi="仿宋" w:eastAsia="仿宋"/>
          <w:bCs/>
          <w:color w:val="000000"/>
          <w:sz w:val="32"/>
          <w:szCs w:val="32"/>
        </w:rPr>
        <w:t>:</w:t>
      </w:r>
      <w:r>
        <w:rPr>
          <w:rStyle w:val="13"/>
          <w:rFonts w:ascii="仿宋" w:hAnsi="仿宋" w:eastAsia="仿宋"/>
          <w:b w:val="0"/>
          <w:bCs/>
          <w:color w:val="000000"/>
          <w:sz w:val="32"/>
          <w:szCs w:val="32"/>
        </w:rPr>
        <w:t xml:space="preserve"> </w:t>
      </w:r>
      <w:r>
        <w:rPr>
          <w:rStyle w:val="13"/>
          <w:rFonts w:hint="eastAsia" w:ascii="仿宋" w:hAnsi="仿宋" w:eastAsia="仿宋"/>
          <w:b w:val="0"/>
          <w:bCs/>
          <w:color w:val="000000"/>
          <w:sz w:val="32"/>
          <w:szCs w:val="32"/>
        </w:rPr>
        <w:t>支出决算为45.25万元，完成预算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Style w:val="13"/>
          <w:rFonts w:hint="eastAsia" w:ascii="仿宋" w:hAnsi="仿宋" w:eastAsia="仿宋"/>
          <w:b w:val="0"/>
          <w:bCs/>
          <w:color w:val="000000"/>
          <w:sz w:val="32"/>
          <w:szCs w:val="32"/>
        </w:rPr>
      </w:pPr>
      <w:r>
        <w:rPr>
          <w:rStyle w:val="13"/>
          <w:rFonts w:ascii="仿宋" w:hAnsi="仿宋" w:eastAsia="仿宋"/>
          <w:bCs/>
          <w:color w:val="000000"/>
          <w:sz w:val="32"/>
          <w:szCs w:val="32"/>
        </w:rPr>
        <w:t>6.</w:t>
      </w:r>
      <w:r>
        <w:rPr>
          <w:rFonts w:hint="eastAsia" w:ascii="仿宋" w:hAnsi="仿宋" w:eastAsia="仿宋"/>
          <w:b/>
          <w:bCs/>
          <w:color w:val="000000"/>
          <w:sz w:val="32"/>
          <w:szCs w:val="32"/>
        </w:rPr>
        <w:t>卫生健康</w:t>
      </w:r>
      <w:r>
        <w:rPr>
          <w:rStyle w:val="13"/>
          <w:rFonts w:hint="eastAsia" w:ascii="仿宋" w:hAnsi="仿宋" w:eastAsia="仿宋"/>
          <w:bCs/>
          <w:color w:val="000000"/>
          <w:sz w:val="32"/>
          <w:szCs w:val="32"/>
        </w:rPr>
        <w:t>（类）行政事业单位医疗（款）事业单位医疗（项）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支出决算为3.7万元，完成预算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color w:val="FF0000"/>
          <w:sz w:val="32"/>
          <w:szCs w:val="32"/>
        </w:rPr>
      </w:pPr>
      <w:r>
        <w:rPr>
          <w:rStyle w:val="13"/>
          <w:rFonts w:hint="eastAsia" w:ascii="仿宋" w:hAnsi="仿宋" w:eastAsia="仿宋"/>
          <w:bCs/>
          <w:color w:val="000000"/>
          <w:sz w:val="32"/>
          <w:szCs w:val="32"/>
          <w:lang w:val="en-US" w:eastAsia="zh-CN"/>
        </w:rPr>
        <w:t>7</w:t>
      </w:r>
      <w:r>
        <w:rPr>
          <w:rStyle w:val="13"/>
          <w:rFonts w:ascii="仿宋" w:hAnsi="仿宋" w:eastAsia="仿宋"/>
          <w:bCs/>
          <w:color w:val="000000"/>
          <w:sz w:val="32"/>
          <w:szCs w:val="32"/>
        </w:rPr>
        <w:t>.</w:t>
      </w:r>
      <w:r>
        <w:rPr>
          <w:rFonts w:hint="eastAsia" w:ascii="仿宋" w:hAnsi="仿宋" w:eastAsia="仿宋"/>
          <w:b/>
          <w:bCs/>
          <w:color w:val="000000"/>
          <w:sz w:val="32"/>
          <w:szCs w:val="32"/>
        </w:rPr>
        <w:t>住房保障支出</w:t>
      </w:r>
      <w:r>
        <w:rPr>
          <w:rStyle w:val="13"/>
          <w:rFonts w:hint="eastAsia" w:ascii="仿宋" w:hAnsi="仿宋" w:eastAsia="仿宋"/>
          <w:bCs/>
          <w:color w:val="000000"/>
          <w:sz w:val="32"/>
          <w:szCs w:val="32"/>
        </w:rPr>
        <w:t>（类）住房改革支出</w:t>
      </w:r>
      <w:r>
        <w:rPr>
          <w:rStyle w:val="13"/>
          <w:rFonts w:hint="eastAsia" w:ascii="仿宋" w:hAnsi="仿宋" w:eastAsia="仿宋"/>
          <w:bCs/>
          <w:color w:val="000000"/>
          <w:sz w:val="32"/>
          <w:szCs w:val="32"/>
          <w:lang w:eastAsia="zh-CN"/>
        </w:rPr>
        <w:t>（</w:t>
      </w:r>
      <w:r>
        <w:rPr>
          <w:rStyle w:val="13"/>
          <w:rFonts w:hint="eastAsia" w:ascii="仿宋" w:hAnsi="仿宋" w:eastAsia="仿宋"/>
          <w:bCs/>
          <w:color w:val="000000"/>
          <w:sz w:val="32"/>
          <w:szCs w:val="32"/>
        </w:rPr>
        <w:t>款）住房公积金（项）</w:t>
      </w:r>
      <w:r>
        <w:rPr>
          <w:rStyle w:val="13"/>
          <w:rFonts w:ascii="仿宋" w:hAnsi="仿宋" w:eastAsia="仿宋"/>
          <w:bCs/>
          <w:color w:val="000000"/>
          <w:sz w:val="32"/>
          <w:szCs w:val="32"/>
        </w:rPr>
        <w:t>:</w:t>
      </w:r>
      <w:r>
        <w:rPr>
          <w:rStyle w:val="13"/>
          <w:rFonts w:hint="eastAsia" w:ascii="仿宋" w:hAnsi="仿宋" w:eastAsia="仿宋"/>
          <w:b w:val="0"/>
          <w:bCs/>
          <w:color w:val="000000"/>
          <w:sz w:val="32"/>
          <w:szCs w:val="32"/>
        </w:rPr>
        <w:t>支出决算为8.16万元，完成预算</w:t>
      </w:r>
      <w:r>
        <w:rPr>
          <w:rStyle w:val="13"/>
          <w:rFonts w:hint="eastAsia" w:ascii="仿宋" w:hAnsi="仿宋" w:eastAsia="仿宋"/>
          <w:b w:val="0"/>
          <w:bCs/>
          <w:color w:val="000000"/>
          <w:sz w:val="32"/>
          <w:szCs w:val="32"/>
          <w:lang w:val="en-US" w:eastAsia="zh-CN"/>
        </w:rPr>
        <w:t>100</w:t>
      </w:r>
      <w:r>
        <w:rPr>
          <w:rStyle w:val="13"/>
          <w:rFonts w:ascii="仿宋" w:hAnsi="仿宋" w:eastAsia="仿宋"/>
          <w:b w:val="0"/>
          <w:bCs/>
          <w:color w:val="000000"/>
          <w:sz w:val="32"/>
          <w:szCs w:val="32"/>
        </w:rPr>
        <w:t>%</w:t>
      </w:r>
      <w:r>
        <w:rPr>
          <w:rStyle w:val="13"/>
          <w:rFonts w:hint="eastAsia" w:ascii="仿宋" w:hAnsi="仿宋" w:eastAsia="仿宋"/>
          <w:b w:val="0"/>
          <w:bCs/>
          <w:color w:val="000000"/>
          <w:sz w:val="32"/>
          <w:szCs w:val="32"/>
        </w:rPr>
        <w:t>。</w:t>
      </w:r>
    </w:p>
    <w:p>
      <w:pPr>
        <w:tabs>
          <w:tab w:val="right" w:pos="8306"/>
        </w:tabs>
        <w:spacing w:line="600" w:lineRule="exact"/>
        <w:ind w:firstLine="640"/>
        <w:outlineLvl w:val="1"/>
        <w:rPr>
          <w:rStyle w:val="16"/>
        </w:rPr>
      </w:pPr>
      <w:bookmarkStart w:id="63" w:name="_Toc15396608"/>
      <w:bookmarkStart w:id="64" w:name="_Toc15377214"/>
      <w:bookmarkStart w:id="65" w:name="_Toc20807"/>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b w:val="0"/>
        </w:rPr>
        <w:t>般公共预算财政拨款基本支出决算情况说明</w:t>
      </w:r>
      <w:bookmarkEnd w:id="63"/>
      <w:bookmarkEnd w:id="64"/>
      <w:bookmarkEnd w:id="65"/>
      <w:r>
        <w:rPr>
          <w:rStyle w:val="1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167.28</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162.65</w:t>
      </w:r>
      <w:r>
        <w:rPr>
          <w:rFonts w:hint="eastAsia" w:ascii="仿宋" w:hAnsi="仿宋" w:eastAsia="仿宋"/>
          <w:color w:val="000000"/>
          <w:sz w:val="32"/>
          <w:szCs w:val="32"/>
        </w:rPr>
        <w:t>万元，主要包括：基本工资、津贴补贴、绩效工资、机关事业单位基本养老保险缴费、职业年金缴费、职工基本医疗保险缴费</w:t>
      </w:r>
      <w:r>
        <w:rPr>
          <w:rFonts w:hint="eastAsia" w:ascii="仿宋" w:hAnsi="仿宋" w:eastAsia="仿宋"/>
          <w:color w:val="000000"/>
          <w:sz w:val="32"/>
          <w:szCs w:val="32"/>
          <w:lang w:eastAsia="zh-CN"/>
        </w:rPr>
        <w:t>、其他社会保障缴费、</w:t>
      </w:r>
      <w:r>
        <w:rPr>
          <w:rFonts w:hint="eastAsia" w:ascii="仿宋" w:hAnsi="仿宋" w:eastAsia="仿宋"/>
          <w:color w:val="000000"/>
          <w:sz w:val="32"/>
          <w:szCs w:val="32"/>
        </w:rPr>
        <w:t>住房公积金、其他工资福利支出</w:t>
      </w:r>
      <w:r>
        <w:rPr>
          <w:rFonts w:hint="eastAsia" w:ascii="仿宋" w:hAnsi="仿宋" w:eastAsia="仿宋"/>
          <w:color w:val="000000"/>
          <w:sz w:val="32"/>
          <w:szCs w:val="32"/>
          <w:lang w:eastAsia="zh-CN"/>
        </w:rPr>
        <w:t>、抚恤金、</w:t>
      </w:r>
      <w:r>
        <w:rPr>
          <w:rFonts w:hint="eastAsia" w:ascii="仿宋" w:hAnsi="仿宋" w:eastAsia="仿宋"/>
          <w:color w:val="000000"/>
          <w:sz w:val="32"/>
          <w:szCs w:val="32"/>
        </w:rPr>
        <w:t>生活补助等。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4.63</w:t>
      </w:r>
      <w:r>
        <w:rPr>
          <w:rFonts w:hint="eastAsia" w:ascii="仿宋" w:hAnsi="仿宋" w:eastAsia="仿宋"/>
          <w:color w:val="000000"/>
          <w:sz w:val="32"/>
          <w:szCs w:val="32"/>
        </w:rPr>
        <w:t>万元，主要包括：工会经费、福利费等。</w:t>
      </w:r>
    </w:p>
    <w:p>
      <w:pPr>
        <w:spacing w:line="600" w:lineRule="exact"/>
        <w:ind w:firstLine="640"/>
        <w:outlineLvl w:val="1"/>
        <w:rPr>
          <w:rStyle w:val="16"/>
          <w:rFonts w:ascii="黑体" w:hAnsi="黑体" w:eastAsia="黑体"/>
          <w:b w:val="0"/>
        </w:rPr>
      </w:pPr>
      <w:bookmarkStart w:id="66" w:name="_Toc15377215"/>
      <w:bookmarkStart w:id="67" w:name="_Toc3155"/>
      <w:bookmarkStart w:id="68" w:name="_Toc15396609"/>
      <w:r>
        <w:rPr>
          <w:rFonts w:hint="eastAsia" w:ascii="黑体" w:eastAsia="黑体"/>
          <w:color w:val="000000"/>
          <w:sz w:val="32"/>
          <w:szCs w:val="32"/>
        </w:rPr>
        <w:t>七、</w:t>
      </w:r>
      <w:r>
        <w:rPr>
          <w:rStyle w:val="16"/>
          <w:rFonts w:hint="eastAsia" w:ascii="黑体" w:hAnsi="黑体" w:eastAsia="黑体"/>
        </w:rPr>
        <w:t>“</w:t>
      </w:r>
      <w:r>
        <w:rPr>
          <w:rStyle w:val="16"/>
          <w:rFonts w:hint="eastAsia" w:ascii="黑体" w:hAnsi="黑体" w:eastAsia="黑体"/>
          <w:b w:val="0"/>
        </w:rPr>
        <w:t>三公”经费财政拨款支出决算情况说明</w:t>
      </w:r>
      <w:bookmarkEnd w:id="66"/>
      <w:bookmarkEnd w:id="67"/>
      <w:bookmarkEnd w:id="68"/>
    </w:p>
    <w:p>
      <w:pPr>
        <w:spacing w:line="600" w:lineRule="exact"/>
        <w:ind w:firstLine="640"/>
        <w:outlineLvl w:val="9"/>
        <w:rPr>
          <w:rFonts w:ascii="仿宋" w:hAnsi="仿宋" w:eastAsia="仿宋"/>
          <w:b/>
          <w:color w:val="000000"/>
          <w:sz w:val="32"/>
          <w:szCs w:val="32"/>
        </w:rPr>
      </w:pPr>
      <w:bookmarkStart w:id="69" w:name="_Toc26822"/>
      <w:bookmarkStart w:id="70" w:name="_Toc15377216"/>
      <w:r>
        <w:rPr>
          <w:rFonts w:hint="eastAsia" w:ascii="仿宋" w:hAnsi="仿宋" w:eastAsia="仿宋"/>
          <w:b/>
          <w:color w:val="000000"/>
          <w:sz w:val="32"/>
          <w:szCs w:val="32"/>
        </w:rPr>
        <w:t>（一）“三公”经费财政拨款支出决算总体情况说明</w:t>
      </w:r>
      <w:bookmarkEnd w:id="69"/>
      <w:bookmarkEnd w:id="70"/>
    </w:p>
    <w:p>
      <w:pPr>
        <w:spacing w:line="600" w:lineRule="exact"/>
        <w:ind w:firstLine="640"/>
        <w:rPr>
          <w:rFonts w:hint="default" w:ascii="仿宋" w:hAnsi="仿宋" w:eastAsia="仿宋"/>
          <w:color w:val="000000"/>
          <w:sz w:val="32"/>
          <w:szCs w:val="32"/>
          <w:lang w:val="en-US" w:eastAsia="zh-CN"/>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0万</w:t>
      </w:r>
      <w:r>
        <w:rPr>
          <w:rFonts w:hint="eastAsia" w:ascii="仿宋" w:hAnsi="仿宋" w:eastAsia="仿宋"/>
          <w:color w:val="000000"/>
          <w:sz w:val="32"/>
          <w:szCs w:val="32"/>
        </w:rPr>
        <w:t>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9"/>
        <w:rPr>
          <w:rFonts w:ascii="仿宋" w:hAnsi="仿宋" w:eastAsia="仿宋"/>
          <w:b/>
          <w:color w:val="000000"/>
          <w:sz w:val="32"/>
          <w:szCs w:val="32"/>
        </w:rPr>
      </w:pPr>
      <w:bookmarkStart w:id="71" w:name="_Toc26414"/>
      <w:bookmarkStart w:id="72" w:name="_Toc15377217"/>
      <w:r>
        <w:rPr>
          <w:rFonts w:hint="eastAsia" w:ascii="仿宋" w:hAnsi="仿宋" w:eastAsia="仿宋"/>
          <w:b/>
          <w:color w:val="000000"/>
          <w:sz w:val="32"/>
          <w:szCs w:val="32"/>
        </w:rPr>
        <w:t>（二）“三公”经费财政拨款支出决算具体情况说明</w:t>
      </w:r>
      <w:bookmarkEnd w:id="71"/>
      <w:bookmarkEnd w:id="72"/>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万元；公务接待费支出决算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1.因公出国（境）经费支出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b/>
          <w:color w:val="000000"/>
          <w:sz w:val="32"/>
          <w:szCs w:val="32"/>
        </w:rPr>
      </w:pPr>
      <w:r>
        <w:rPr>
          <w:rFonts w:hint="eastAsia" w:ascii="仿宋" w:hAnsi="仿宋" w:eastAsia="仿宋" w:cs="仿宋"/>
          <w:b/>
          <w:color w:val="000000"/>
          <w:sz w:val="32"/>
          <w:szCs w:val="32"/>
        </w:rPr>
        <w:t>2.公务用车购置及运行维护费支出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640"/>
        <w:rPr>
          <w:rFonts w:hint="eastAsia" w:ascii="仿宋" w:hAnsi="仿宋" w:eastAsia="仿宋" w:cs="仿宋"/>
          <w:color w:val="auto"/>
          <w:sz w:val="32"/>
          <w:szCs w:val="32"/>
        </w:rPr>
      </w:pPr>
      <w:r>
        <w:rPr>
          <w:rFonts w:hint="eastAsia" w:ascii="仿宋" w:hAnsi="仿宋" w:eastAsia="仿宋" w:cs="仿宋"/>
          <w:b/>
          <w:color w:val="000000"/>
          <w:sz w:val="32"/>
          <w:szCs w:val="32"/>
        </w:rPr>
        <w:t>3.公务接待费支出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Style w:val="13"/>
          <w:rFonts w:hint="eastAsia" w:ascii="仿宋" w:hAnsi="仿宋" w:eastAsia="仿宋" w:cs="仿宋"/>
          <w:b w:val="0"/>
          <w:bCs/>
          <w:color w:val="000000" w:themeColor="text1"/>
          <w:sz w:val="32"/>
          <w:szCs w:val="32"/>
          <w14:textFill>
            <w14:solidFill>
              <w14:schemeClr w14:val="tx1"/>
            </w14:solidFill>
          </w14:textFill>
        </w:rPr>
        <w:t>完成预算0%。</w:t>
      </w:r>
      <w:r>
        <w:rPr>
          <w:rFonts w:hint="eastAsia" w:ascii="仿宋" w:hAnsi="仿宋" w:eastAsia="仿宋" w:cs="仿宋"/>
          <w:color w:val="000000" w:themeColor="text1"/>
          <w:sz w:val="32"/>
          <w:szCs w:val="32"/>
          <w14:textFill>
            <w14:solidFill>
              <w14:schemeClr w14:val="tx1"/>
            </w14:solidFill>
          </w14:textFill>
        </w:rPr>
        <w:t>公务接待费支出决算比2019年减少0万元，下降0%。主要原因是公务接待次数减少。其中：</w:t>
      </w:r>
      <w:r>
        <w:rPr>
          <w:rFonts w:hint="eastAsia" w:ascii="仿宋" w:hAnsi="仿宋" w:eastAsia="仿宋" w:cs="仿宋"/>
          <w:b/>
          <w:color w:val="000000" w:themeColor="text1"/>
          <w:sz w:val="32"/>
          <w:szCs w:val="32"/>
          <w14:textFill>
            <w14:solidFill>
              <w14:schemeClr w14:val="tx1"/>
            </w14:solidFill>
          </w14:textFill>
        </w:rPr>
        <w:t>国内公务接待支出</w:t>
      </w:r>
      <w:r>
        <w:rPr>
          <w:rFonts w:hint="eastAsia" w:ascii="仿宋" w:hAnsi="仿宋" w:eastAsia="仿宋" w:cs="仿宋"/>
          <w:color w:val="000000" w:themeColor="text1"/>
          <w:sz w:val="32"/>
          <w:szCs w:val="32"/>
          <w14:textFill>
            <w14:solidFill>
              <w14:schemeClr w14:val="tx1"/>
            </w14:solidFill>
          </w14:textFill>
        </w:rPr>
        <w:t>0万元，主要用于执行公务、开展业务活动开支的交通费、住宿费、用餐费等。国内公务接待0批次，0人次（不包括陪同人员），共计支出0万元，具体内容包括：用于接待上级领导视察并指导学校发展产生的住宿费、用餐费0万元</w:t>
      </w:r>
    </w:p>
    <w:p>
      <w:pPr>
        <w:spacing w:line="600" w:lineRule="exact"/>
        <w:ind w:firstLine="640"/>
        <w:outlineLvl w:val="1"/>
        <w:rPr>
          <w:rStyle w:val="16"/>
          <w:rFonts w:ascii="黑体" w:hAnsi="黑体" w:eastAsia="黑体"/>
        </w:rPr>
      </w:pPr>
      <w:bookmarkStart w:id="73" w:name="_Toc3808"/>
      <w:bookmarkStart w:id="74" w:name="_Toc15396610"/>
      <w:bookmarkStart w:id="75" w:name="_Toc15377218"/>
      <w:r>
        <w:rPr>
          <w:rFonts w:hint="eastAsia" w:ascii="黑体" w:eastAsia="黑体"/>
          <w:color w:val="000000"/>
          <w:sz w:val="32"/>
          <w:szCs w:val="32"/>
        </w:rPr>
        <w:t>八、</w:t>
      </w:r>
      <w:r>
        <w:rPr>
          <w:rStyle w:val="16"/>
          <w:rFonts w:hint="eastAsia" w:ascii="黑体" w:hAnsi="黑体" w:eastAsia="黑体"/>
          <w:b w:val="0"/>
        </w:rPr>
        <w:t>政府性基金预算支出决算情况说明</w:t>
      </w:r>
      <w:bookmarkEnd w:id="73"/>
      <w:bookmarkEnd w:id="74"/>
      <w:bookmarkEnd w:id="75"/>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2020年政府性基金预算拨款支出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numPr>
          <w:ilvl w:val="0"/>
          <w:numId w:val="2"/>
        </w:numPr>
        <w:spacing w:line="600" w:lineRule="exact"/>
        <w:ind w:firstLine="640"/>
        <w:outlineLvl w:val="1"/>
        <w:rPr>
          <w:rStyle w:val="16"/>
          <w:rFonts w:ascii="黑体" w:hAnsi="黑体" w:eastAsia="黑体"/>
          <w:b w:val="0"/>
        </w:rPr>
      </w:pPr>
      <w:bookmarkStart w:id="76" w:name="_Toc15396611"/>
      <w:bookmarkStart w:id="77" w:name="_Toc16664"/>
      <w:bookmarkStart w:id="78" w:name="_Toc15377219"/>
      <w:r>
        <w:rPr>
          <w:rStyle w:val="16"/>
          <w:rFonts w:hint="eastAsia" w:ascii="黑体" w:hAnsi="黑体" w:eastAsia="黑体"/>
          <w:b w:val="0"/>
        </w:rPr>
        <w:t>国有资本经营预算支出决算情况说明</w:t>
      </w:r>
      <w:bookmarkEnd w:id="76"/>
      <w:bookmarkEnd w:id="77"/>
      <w:bookmarkEnd w:id="78"/>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2020年国有资本经营预算拨款支出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p>
    <w:p>
      <w:pPr>
        <w:spacing w:line="600" w:lineRule="exact"/>
        <w:ind w:firstLine="800" w:firstLineChars="250"/>
        <w:outlineLvl w:val="1"/>
        <w:rPr>
          <w:rStyle w:val="16"/>
          <w:rFonts w:ascii="黑体" w:hAnsi="黑体" w:eastAsia="黑体"/>
        </w:rPr>
      </w:pPr>
      <w:bookmarkStart w:id="79" w:name="_Toc15396612"/>
      <w:bookmarkStart w:id="80" w:name="_Toc15377221"/>
      <w:bookmarkStart w:id="81" w:name="_Toc15877"/>
      <w:r>
        <w:rPr>
          <w:rFonts w:hint="eastAsia" w:ascii="黑体" w:hAnsi="黑体" w:eastAsia="黑体"/>
          <w:color w:val="000000"/>
          <w:sz w:val="32"/>
          <w:szCs w:val="32"/>
        </w:rPr>
        <w:t>十</w:t>
      </w:r>
      <w:r>
        <w:rPr>
          <w:rStyle w:val="16"/>
          <w:rFonts w:hint="eastAsia" w:ascii="黑体" w:hAnsi="黑体" w:eastAsia="黑体"/>
        </w:rPr>
        <w:t>、</w:t>
      </w:r>
      <w:r>
        <w:rPr>
          <w:rStyle w:val="16"/>
          <w:rFonts w:hint="eastAsia" w:ascii="黑体" w:hAnsi="黑体" w:eastAsia="黑体"/>
          <w:b w:val="0"/>
        </w:rPr>
        <w:t>其他重要事项的情况说明</w:t>
      </w:r>
      <w:bookmarkEnd w:id="79"/>
      <w:bookmarkEnd w:id="80"/>
      <w:bookmarkEnd w:id="81"/>
    </w:p>
    <w:p>
      <w:pPr>
        <w:spacing w:line="600" w:lineRule="exact"/>
        <w:ind w:firstLine="643" w:firstLineChars="200"/>
        <w:outlineLvl w:val="9"/>
        <w:rPr>
          <w:rFonts w:ascii="仿宋" w:hAnsi="仿宋" w:eastAsia="仿宋"/>
          <w:color w:val="000000"/>
          <w:sz w:val="32"/>
          <w:szCs w:val="32"/>
        </w:rPr>
      </w:pPr>
      <w:bookmarkStart w:id="82" w:name="_Toc15377222"/>
      <w:bookmarkStart w:id="83" w:name="_Toc23902"/>
      <w:r>
        <w:rPr>
          <w:rFonts w:hint="eastAsia" w:ascii="仿宋" w:hAnsi="仿宋" w:eastAsia="仿宋"/>
          <w:b/>
          <w:color w:val="000000"/>
          <w:sz w:val="32"/>
          <w:szCs w:val="32"/>
        </w:rPr>
        <w:t>（一）机关运行经费支出情况</w:t>
      </w:r>
      <w:bookmarkEnd w:id="82"/>
      <w:bookmarkEnd w:id="83"/>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竹根镇建设小学</w:t>
      </w:r>
      <w:r>
        <w:rPr>
          <w:rFonts w:hint="eastAsia" w:ascii="仿宋" w:hAnsi="仿宋" w:eastAsia="仿宋" w:cs="仿宋"/>
          <w:color w:val="000000"/>
          <w:sz w:val="32"/>
          <w:szCs w:val="32"/>
        </w:rPr>
        <w:t>运行经费支出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万元，与2019年决算数持平。</w:t>
      </w: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4" w:name="_Toc29901"/>
      <w:bookmarkStart w:id="85" w:name="_Toc15377223"/>
      <w:r>
        <w:rPr>
          <w:rFonts w:hint="eastAsia" w:ascii="仿宋" w:hAnsi="仿宋" w:eastAsia="仿宋"/>
          <w:b/>
          <w:color w:val="000000"/>
          <w:sz w:val="32"/>
          <w:szCs w:val="32"/>
        </w:rPr>
        <w:t>（二）政府采购支出情况</w:t>
      </w:r>
      <w:bookmarkEnd w:id="84"/>
      <w:bookmarkEnd w:id="85"/>
    </w:p>
    <w:p>
      <w:pPr>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2020年，四川省乐山市五通桥区</w:t>
      </w:r>
      <w:r>
        <w:rPr>
          <w:rFonts w:hint="eastAsia" w:ascii="仿宋" w:hAnsi="仿宋" w:eastAsia="仿宋" w:cs="仿宋"/>
          <w:color w:val="000000"/>
          <w:sz w:val="32"/>
          <w:szCs w:val="32"/>
          <w:lang w:eastAsia="zh-CN"/>
        </w:rPr>
        <w:t>竹根镇建设小学</w:t>
      </w:r>
      <w:r>
        <w:rPr>
          <w:rFonts w:hint="eastAsia" w:ascii="仿宋" w:hAnsi="仿宋" w:eastAsia="仿宋" w:cs="仿宋"/>
          <w:color w:val="000000"/>
          <w:sz w:val="32"/>
          <w:szCs w:val="32"/>
        </w:rPr>
        <w:t>采购支出总额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万元，其中：政府采购货物支出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万元、政府采购工程支出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万元、政府采购服务支出</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万元。主要用于</w:t>
      </w:r>
      <w:r>
        <w:rPr>
          <w:rFonts w:hint="eastAsia" w:ascii="仿宋" w:hAnsi="仿宋" w:eastAsia="仿宋" w:cs="仿宋"/>
          <w:color w:val="000000"/>
          <w:sz w:val="32"/>
          <w:szCs w:val="32"/>
          <w:lang w:val="en-US" w:eastAsia="zh-CN"/>
        </w:rPr>
        <w:t>教师办公桌椅采购</w:t>
      </w:r>
      <w:r>
        <w:rPr>
          <w:rFonts w:hint="eastAsia" w:ascii="仿宋" w:hAnsi="仿宋" w:eastAsia="仿宋" w:cs="仿宋"/>
          <w:color w:val="000000"/>
          <w:sz w:val="32"/>
          <w:szCs w:val="32"/>
        </w:rPr>
        <w:t>。授予中小企业合同金额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%，其中：授予小微企业合同金额</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万元，占政府采购支出总额的</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w:t>
      </w:r>
    </w:p>
    <w:p>
      <w:pPr>
        <w:spacing w:line="600" w:lineRule="exact"/>
        <w:ind w:firstLine="640" w:firstLineChars="200"/>
        <w:rPr>
          <w:rFonts w:hint="eastAsia" w:ascii="仿宋" w:hAnsi="仿宋" w:eastAsia="仿宋" w:cs="仿宋"/>
          <w:color w:val="000000"/>
          <w:sz w:val="32"/>
          <w:szCs w:val="32"/>
        </w:rPr>
      </w:pP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6" w:name="_Toc28062"/>
      <w:bookmarkStart w:id="87" w:name="_Toc15377224"/>
      <w:r>
        <w:rPr>
          <w:rFonts w:hint="eastAsia" w:ascii="仿宋" w:hAnsi="仿宋" w:eastAsia="仿宋"/>
          <w:b/>
          <w:color w:val="000000"/>
          <w:sz w:val="32"/>
          <w:szCs w:val="32"/>
        </w:rPr>
        <w:t>（三）国有资产占有使用情况</w:t>
      </w:r>
      <w:bookmarkEnd w:id="86"/>
      <w:bookmarkEnd w:id="87"/>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截至2020年12月31日，四川省乐山市五通桥区</w:t>
      </w:r>
      <w:r>
        <w:rPr>
          <w:rFonts w:hint="eastAsia" w:ascii="仿宋" w:hAnsi="仿宋" w:eastAsia="仿宋" w:cs="仿宋"/>
          <w:color w:val="000000"/>
          <w:sz w:val="32"/>
          <w:szCs w:val="32"/>
          <w:lang w:eastAsia="zh-CN"/>
        </w:rPr>
        <w:t>竹根镇建设小学</w:t>
      </w:r>
      <w:r>
        <w:rPr>
          <w:rFonts w:hint="eastAsia" w:ascii="仿宋" w:hAnsi="仿宋" w:eastAsia="仿宋" w:cs="仿宋"/>
          <w:color w:val="000000"/>
          <w:sz w:val="32"/>
          <w:szCs w:val="32"/>
        </w:rPr>
        <w:t>共有车辆</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辆。</w:t>
      </w:r>
    </w:p>
    <w:p>
      <w:pPr>
        <w:autoSpaceDE w:val="0"/>
        <w:autoSpaceDN w:val="0"/>
        <w:adjustRightInd w:val="0"/>
        <w:spacing w:line="600" w:lineRule="exact"/>
        <w:ind w:firstLine="640" w:firstLineChars="200"/>
        <w:jc w:val="left"/>
        <w:rPr>
          <w:rFonts w:hint="eastAsia" w:ascii="仿宋" w:hAnsi="仿宋" w:eastAsia="仿宋" w:cs="仿宋"/>
          <w:color w:val="000000"/>
          <w:sz w:val="32"/>
          <w:szCs w:val="32"/>
        </w:rPr>
      </w:pPr>
    </w:p>
    <w:p>
      <w:pPr>
        <w:autoSpaceDE w:val="0"/>
        <w:autoSpaceDN w:val="0"/>
        <w:adjustRightInd w:val="0"/>
        <w:spacing w:line="600" w:lineRule="exact"/>
        <w:ind w:firstLine="643" w:firstLineChars="200"/>
        <w:jc w:val="left"/>
        <w:outlineLvl w:val="9"/>
        <w:rPr>
          <w:rFonts w:ascii="仿宋" w:hAnsi="仿宋" w:eastAsia="仿宋"/>
          <w:b/>
          <w:color w:val="000000"/>
          <w:sz w:val="32"/>
          <w:szCs w:val="32"/>
        </w:rPr>
      </w:pPr>
      <w:bookmarkStart w:id="88" w:name="_Toc8507"/>
      <w:r>
        <w:rPr>
          <w:rFonts w:hint="eastAsia" w:ascii="仿宋" w:hAnsi="仿宋" w:eastAsia="仿宋"/>
          <w:b/>
          <w:color w:val="000000"/>
          <w:sz w:val="32"/>
          <w:szCs w:val="32"/>
        </w:rPr>
        <w:t>（四）预算绩效管理情况</w:t>
      </w:r>
      <w:bookmarkEnd w:id="88"/>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根据预算绩效管理要求，</w:t>
      </w:r>
      <w:r>
        <w:rPr>
          <w:rFonts w:hint="eastAsia" w:ascii="仿宋" w:hAnsi="仿宋" w:eastAsia="仿宋" w:cs="仿宋"/>
          <w:color w:val="000000" w:themeColor="text1"/>
          <w:sz w:val="32"/>
          <w:szCs w:val="32"/>
          <w:lang w:eastAsia="zh-CN"/>
          <w14:textFill>
            <w14:solidFill>
              <w14:schemeClr w14:val="tx1"/>
            </w14:solidFill>
          </w14:textFill>
        </w:rPr>
        <w:t>乐山市五通桥竹根镇建设小学</w:t>
      </w:r>
      <w:r>
        <w:rPr>
          <w:rFonts w:hint="eastAsia" w:ascii="仿宋" w:hAnsi="仿宋" w:eastAsia="仿宋" w:cs="仿宋"/>
          <w:color w:val="000000" w:themeColor="text1"/>
          <w:sz w:val="32"/>
          <w:szCs w:val="32"/>
          <w14:textFill>
            <w14:solidFill>
              <w14:schemeClr w14:val="tx1"/>
            </w14:solidFill>
          </w14:textFill>
        </w:rPr>
        <w:t>在年初预算编制阶段，组织对教育支出项目开展了预算事前绩效评估，对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个项目编制了绩效目标，预算执行过程中，选取</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个项目开展绩效监控，年终执行完毕后，对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个项目开展了绩效目标完成情况自评。</w:t>
      </w:r>
    </w:p>
    <w:p>
      <w:pPr>
        <w:spacing w:line="58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乐山市五通桥竹根镇建设小学</w:t>
      </w:r>
      <w:r>
        <w:rPr>
          <w:rFonts w:hint="eastAsia" w:ascii="仿宋" w:hAnsi="仿宋" w:eastAsia="仿宋" w:cs="仿宋"/>
          <w:color w:val="000000" w:themeColor="text1"/>
          <w:sz w:val="32"/>
          <w:szCs w:val="32"/>
          <w14:textFill>
            <w14:solidFill>
              <w14:schemeClr w14:val="tx1"/>
            </w14:solidFill>
          </w14:textFill>
        </w:rPr>
        <w:t>按要求对2020年部门整体支出开展绩效自评，</w:t>
      </w:r>
      <w:r>
        <w:rPr>
          <w:rFonts w:hint="eastAsia" w:ascii="仿宋" w:hAnsi="仿宋" w:eastAsia="仿宋" w:cs="仿宋"/>
          <w:color w:val="000000" w:themeColor="text1"/>
          <w:sz w:val="32"/>
          <w:szCs w:val="32"/>
          <w:lang w:eastAsia="zh-CN"/>
          <w14:textFill>
            <w14:solidFill>
              <w14:schemeClr w14:val="tx1"/>
            </w14:solidFill>
          </w14:textFill>
        </w:rPr>
        <w:t>基本完成年初绩效目标</w:t>
      </w:r>
      <w:r>
        <w:rPr>
          <w:rFonts w:hint="eastAsia" w:ascii="仿宋" w:hAnsi="仿宋" w:eastAsia="仿宋" w:cs="仿宋"/>
          <w:color w:val="000000" w:themeColor="text1"/>
          <w:sz w:val="32"/>
          <w:szCs w:val="32"/>
          <w14:textFill>
            <w14:solidFill>
              <w14:schemeClr w14:val="tx1"/>
            </w14:solidFill>
          </w14:textFill>
        </w:rPr>
        <w:t>。本部门还自行组织了</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个项目支出绩效评价，从评价情况来看</w:t>
      </w:r>
      <w:r>
        <w:rPr>
          <w:rFonts w:hint="eastAsia" w:ascii="仿宋" w:hAnsi="仿宋" w:eastAsia="仿宋" w:cs="仿宋"/>
          <w:color w:val="000000" w:themeColor="text1"/>
          <w:sz w:val="32"/>
          <w:szCs w:val="32"/>
          <w:lang w:val="en-US" w:eastAsia="zh-CN"/>
          <w14:textFill>
            <w14:solidFill>
              <w14:schemeClr w14:val="tx1"/>
            </w14:solidFill>
          </w14:textFill>
        </w:rPr>
        <w:t>完成良好</w:t>
      </w:r>
      <w:r>
        <w:rPr>
          <w:rFonts w:hint="eastAsia" w:ascii="仿宋" w:hAnsi="仿宋" w:eastAsia="仿宋" w:cs="仿宋"/>
          <w:color w:val="000000" w:themeColor="text1"/>
          <w:sz w:val="32"/>
          <w:szCs w:val="32"/>
          <w14:textFill>
            <w14:solidFill>
              <w14:schemeClr w14:val="tx1"/>
            </w14:solidFill>
          </w14:textFill>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1.项目绩效目标完成情况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本部门</w:t>
      </w:r>
      <w:r>
        <w:rPr>
          <w:rFonts w:hint="eastAsia" w:ascii="仿宋" w:hAnsi="仿宋" w:eastAsia="仿宋" w:cs="仿宋"/>
          <w:sz w:val="32"/>
          <w:szCs w:val="32"/>
        </w:rPr>
        <w:t xml:space="preserve">在2020年度部门决算中反映“ </w:t>
      </w:r>
      <w:r>
        <w:rPr>
          <w:rFonts w:hint="eastAsia" w:ascii="仿宋" w:hAnsi="仿宋" w:eastAsia="仿宋" w:cs="仿宋"/>
          <w:sz w:val="32"/>
          <w:szCs w:val="32"/>
          <w:lang w:val="en-US" w:eastAsia="zh-CN"/>
        </w:rPr>
        <w:t>全区公办学校校园内宿舍隔离经费</w:t>
      </w:r>
      <w:r>
        <w:rPr>
          <w:rFonts w:hint="eastAsia" w:ascii="仿宋" w:hAnsi="仿宋" w:eastAsia="仿宋" w:cs="仿宋"/>
          <w:sz w:val="32"/>
          <w:szCs w:val="32"/>
        </w:rPr>
        <w:t>”项目绩效目标实际完成情况。（本单位部门项目绩效目标个数</w:t>
      </w:r>
      <w:r>
        <w:rPr>
          <w:rFonts w:hint="eastAsia" w:ascii="仿宋" w:hAnsi="仿宋" w:eastAsia="仿宋" w:cs="仿宋"/>
          <w:sz w:val="32"/>
          <w:szCs w:val="32"/>
          <w:lang w:val="en-US" w:eastAsia="zh-CN"/>
        </w:rPr>
        <w:t>1</w:t>
      </w:r>
      <w:r>
        <w:rPr>
          <w:rFonts w:hint="eastAsia" w:ascii="仿宋" w:hAnsi="仿宋" w:eastAsia="仿宋" w:cs="仿宋"/>
          <w:sz w:val="32"/>
          <w:szCs w:val="32"/>
        </w:rPr>
        <w:t>个，选取</w:t>
      </w:r>
      <w:r>
        <w:rPr>
          <w:rFonts w:hint="eastAsia" w:ascii="仿宋" w:hAnsi="仿宋" w:eastAsia="仿宋" w:cs="仿宋"/>
          <w:sz w:val="32"/>
          <w:szCs w:val="32"/>
          <w:lang w:val="en-US" w:eastAsia="zh-CN"/>
        </w:rPr>
        <w:t>1</w:t>
      </w:r>
      <w:r>
        <w:rPr>
          <w:rFonts w:hint="eastAsia" w:ascii="仿宋" w:hAnsi="仿宋" w:eastAsia="仿宋" w:cs="仿宋"/>
          <w:sz w:val="32"/>
          <w:szCs w:val="32"/>
        </w:rPr>
        <w:t>个项目进行公开，公开内容包括选取的全部项目完成情况综述和完成情况表）。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项目绩效目标完成情况综述。</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项目全年预算数</w:t>
      </w:r>
      <w:r>
        <w:rPr>
          <w:rFonts w:hint="eastAsia" w:ascii="仿宋" w:hAnsi="仿宋" w:eastAsia="仿宋" w:cs="仿宋"/>
          <w:sz w:val="32"/>
          <w:szCs w:val="32"/>
          <w:lang w:val="en-US" w:eastAsia="zh-CN"/>
        </w:rPr>
        <w:t>4.03</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4.03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100</w:t>
      </w:r>
      <w:r>
        <w:rPr>
          <w:rFonts w:hint="eastAsia" w:ascii="仿宋" w:hAnsi="仿宋" w:eastAsia="仿宋" w:cs="仿宋"/>
          <w:sz w:val="32"/>
          <w:szCs w:val="32"/>
        </w:rPr>
        <w:t>%。通过项目实施，保障</w:t>
      </w:r>
      <w:r>
        <w:rPr>
          <w:rFonts w:hint="eastAsia" w:ascii="仿宋" w:hAnsi="仿宋" w:eastAsia="仿宋" w:cs="仿宋"/>
          <w:color w:val="000000"/>
          <w:sz w:val="32"/>
          <w:szCs w:val="32"/>
          <w:lang w:val="en-US" w:eastAsia="zh-CN"/>
        </w:rPr>
        <w:t>学校正常运转。</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bookmarkStart w:id="89" w:name="_Toc15377226"/>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88"/>
        <w:gridCol w:w="969"/>
        <w:gridCol w:w="1401"/>
        <w:gridCol w:w="2016"/>
        <w:gridCol w:w="2394"/>
        <w:gridCol w:w="2392"/>
      </w:tblGrid>
      <w:tr>
        <w:tblPrEx>
          <w:tblCellMar>
            <w:top w:w="0" w:type="dxa"/>
            <w:left w:w="0" w:type="dxa"/>
            <w:bottom w:w="0" w:type="dxa"/>
            <w:right w:w="0" w:type="dxa"/>
          </w:tblCellMar>
        </w:tblPrEx>
        <w:trPr>
          <w:trHeight w:val="948"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bidi="ar"/>
              </w:rPr>
            </w:pPr>
            <w:r>
              <w:rPr>
                <w:rFonts w:hint="eastAsia" w:ascii="宋体" w:hAnsi="宋体" w:cs="宋体"/>
                <w:b/>
                <w:bCs/>
                <w:color w:val="000000"/>
                <w:kern w:val="0"/>
                <w:sz w:val="36"/>
                <w:szCs w:val="36"/>
                <w:lang w:bidi="ar"/>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549" w:hRule="atLeast"/>
          <w:jc w:val="center"/>
        </w:trPr>
        <w:tc>
          <w:tcPr>
            <w:tcW w:w="315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项目名称</w:t>
            </w:r>
          </w:p>
        </w:tc>
        <w:tc>
          <w:tcPr>
            <w:tcW w:w="68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sz w:val="32"/>
                <w:szCs w:val="32"/>
                <w:lang w:val="en-US" w:eastAsia="zh-CN"/>
              </w:rPr>
              <w:t>全区公办学校校园内宿舍隔离经费</w:t>
            </w:r>
          </w:p>
        </w:tc>
      </w:tr>
      <w:tr>
        <w:tblPrEx>
          <w:tblCellMar>
            <w:top w:w="0" w:type="dxa"/>
            <w:left w:w="0" w:type="dxa"/>
            <w:bottom w:w="0" w:type="dxa"/>
            <w:right w:w="0" w:type="dxa"/>
          </w:tblCellMar>
        </w:tblPrEx>
        <w:trPr>
          <w:trHeight w:val="429" w:hRule="atLeast"/>
          <w:jc w:val="center"/>
        </w:trPr>
        <w:tc>
          <w:tcPr>
            <w:tcW w:w="315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预算单位</w:t>
            </w:r>
          </w:p>
        </w:tc>
        <w:tc>
          <w:tcPr>
            <w:tcW w:w="68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sz w:val="32"/>
                <w:szCs w:val="32"/>
              </w:rPr>
              <w:t>四川省乐山市五通桥区</w:t>
            </w:r>
            <w:r>
              <w:rPr>
                <w:rFonts w:hint="eastAsia" w:ascii="仿宋" w:hAnsi="仿宋" w:eastAsia="仿宋" w:cs="仿宋"/>
                <w:sz w:val="32"/>
                <w:szCs w:val="32"/>
                <w:lang w:eastAsia="zh-CN"/>
              </w:rPr>
              <w:t>竹根镇建设小学</w:t>
            </w:r>
          </w:p>
        </w:tc>
      </w:tr>
      <w:tr>
        <w:tblPrEx>
          <w:tblCellMar>
            <w:top w:w="0" w:type="dxa"/>
            <w:left w:w="0" w:type="dxa"/>
            <w:bottom w:w="0" w:type="dxa"/>
            <w:right w:w="0" w:type="dxa"/>
          </w:tblCellMar>
        </w:tblPrEx>
        <w:trPr>
          <w:trHeight w:val="649"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预算执行情况(万元)</w:t>
            </w: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预算数:</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val="en-US" w:eastAsia="zh-CN"/>
              </w:rPr>
              <w:t>4.03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
                <w:bCs/>
                <w:color w:val="000000"/>
                <w:sz w:val="32"/>
                <w:szCs w:val="32"/>
                <w:lang w:eastAsia="zh-CN"/>
              </w:rPr>
            </w:pPr>
            <w:r>
              <w:rPr>
                <w:rFonts w:hint="eastAsia" w:ascii="仿宋" w:hAnsi="仿宋" w:eastAsia="仿宋" w:cs="仿宋"/>
                <w:color w:val="auto"/>
                <w:sz w:val="32"/>
                <w:szCs w:val="32"/>
                <w:lang w:val="en-US" w:eastAsia="zh-CN"/>
              </w:rPr>
              <w:t>4.03</w:t>
            </w:r>
          </w:p>
        </w:tc>
      </w:tr>
      <w:tr>
        <w:tblPrEx>
          <w:tblCellMar>
            <w:top w:w="0" w:type="dxa"/>
            <w:left w:w="0" w:type="dxa"/>
            <w:bottom w:w="0" w:type="dxa"/>
            <w:right w:w="0" w:type="dxa"/>
          </w:tblCellMar>
        </w:tblPrEx>
        <w:trPr>
          <w:trHeight w:val="74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val="en-US" w:eastAsia="zh-CN"/>
              </w:rPr>
              <w:t>4.03</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auto"/>
                <w:sz w:val="32"/>
                <w:szCs w:val="32"/>
                <w:lang w:val="en-US" w:eastAsia="zh-CN"/>
              </w:rPr>
              <w:t>4.03</w:t>
            </w:r>
          </w:p>
        </w:tc>
      </w:tr>
      <w:tr>
        <w:tblPrEx>
          <w:tblCellMar>
            <w:top w:w="0" w:type="dxa"/>
            <w:left w:w="0" w:type="dxa"/>
            <w:bottom w:w="0" w:type="dxa"/>
            <w:right w:w="0" w:type="dxa"/>
          </w:tblCellMar>
        </w:tblPrEx>
        <w:trPr>
          <w:trHeight w:val="988"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23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0</w:t>
            </w:r>
          </w:p>
        </w:tc>
      </w:tr>
      <w:tr>
        <w:tblPrEx>
          <w:tblCellMar>
            <w:top w:w="0" w:type="dxa"/>
            <w:left w:w="0" w:type="dxa"/>
            <w:bottom w:w="0" w:type="dxa"/>
            <w:right w:w="0" w:type="dxa"/>
          </w:tblCellMar>
        </w:tblPrEx>
        <w:trPr>
          <w:trHeight w:val="952" w:hRule="atLeast"/>
          <w:jc w:val="center"/>
        </w:trPr>
        <w:tc>
          <w:tcPr>
            <w:tcW w:w="7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年度目标完成情况</w:t>
            </w: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实际完成目标</w:t>
            </w:r>
          </w:p>
        </w:tc>
      </w:tr>
      <w:tr>
        <w:tblPrEx>
          <w:tblCellMar>
            <w:top w:w="0" w:type="dxa"/>
            <w:left w:w="0" w:type="dxa"/>
            <w:bottom w:w="0" w:type="dxa"/>
            <w:right w:w="0" w:type="dxa"/>
          </w:tblCellMar>
        </w:tblPrEx>
        <w:trPr>
          <w:trHeight w:val="1159" w:hRule="atLeast"/>
          <w:jc w:val="center"/>
        </w:trPr>
        <w:tc>
          <w:tcPr>
            <w:tcW w:w="7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color w:val="000000"/>
                <w:sz w:val="32"/>
                <w:szCs w:val="32"/>
              </w:rPr>
            </w:pPr>
          </w:p>
        </w:tc>
        <w:tc>
          <w:tcPr>
            <w:tcW w:w="43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预计投入</w:t>
            </w:r>
            <w:r>
              <w:rPr>
                <w:rFonts w:hint="eastAsia" w:ascii="仿宋" w:hAnsi="仿宋" w:eastAsia="仿宋" w:cs="仿宋"/>
                <w:color w:val="auto"/>
                <w:sz w:val="32"/>
                <w:szCs w:val="32"/>
                <w:lang w:val="en-US" w:eastAsia="zh-CN"/>
              </w:rPr>
              <w:t>4.03</w:t>
            </w:r>
            <w:r>
              <w:rPr>
                <w:rFonts w:hint="eastAsia" w:ascii="仿宋" w:hAnsi="仿宋" w:eastAsia="仿宋" w:cs="仿宋"/>
                <w:color w:val="000000"/>
                <w:sz w:val="32"/>
                <w:szCs w:val="32"/>
                <w:lang w:val="en-US" w:eastAsia="zh-CN"/>
              </w:rPr>
              <w:t>万，涉及1个项目，按时完成学校正常教育教学任务</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全年执行</w:t>
            </w:r>
            <w:r>
              <w:rPr>
                <w:rFonts w:hint="eastAsia" w:ascii="仿宋" w:hAnsi="仿宋" w:eastAsia="仿宋" w:cs="仿宋"/>
                <w:color w:val="auto"/>
                <w:sz w:val="32"/>
                <w:szCs w:val="32"/>
                <w:lang w:val="en-US" w:eastAsia="zh-CN"/>
              </w:rPr>
              <w:t>4.03</w:t>
            </w:r>
            <w:r>
              <w:rPr>
                <w:rFonts w:hint="eastAsia" w:ascii="仿宋" w:hAnsi="仿宋" w:eastAsia="仿宋" w:cs="仿宋"/>
                <w:color w:val="000000"/>
                <w:sz w:val="32"/>
                <w:szCs w:val="32"/>
                <w:lang w:val="en-US" w:eastAsia="zh-CN"/>
              </w:rPr>
              <w:t>万，涉及1个项目，顺利完成教育教学任务，学校办学条件有所提升。</w:t>
            </w:r>
          </w:p>
        </w:tc>
      </w:tr>
      <w:tr>
        <w:tblPrEx>
          <w:tblCellMar>
            <w:top w:w="0" w:type="dxa"/>
            <w:left w:w="0" w:type="dxa"/>
            <w:bottom w:w="0" w:type="dxa"/>
            <w:right w:w="0" w:type="dxa"/>
          </w:tblCellMar>
        </w:tblPrEx>
        <w:trPr>
          <w:trHeight w:val="1042" w:hRule="atLeast"/>
          <w:jc w:val="center"/>
        </w:trPr>
        <w:tc>
          <w:tcPr>
            <w:tcW w:w="78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绩效指标完成情况</w:t>
            </w: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一级指标</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lang w:bidi="ar"/>
              </w:rPr>
              <w:t>二级指标</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产出指标</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数量</w:t>
            </w:r>
            <w:r>
              <w:rPr>
                <w:rFonts w:hint="eastAsia" w:ascii="仿宋" w:hAnsi="仿宋" w:eastAsia="仿宋" w:cs="仿宋"/>
                <w:color w:val="000000"/>
                <w:sz w:val="32"/>
                <w:szCs w:val="32"/>
              </w:rPr>
              <w:t>指标</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在校学生人数</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eastAsia="zh-CN"/>
              </w:rPr>
              <w:t>竹根镇建设小学</w:t>
            </w:r>
            <w:r>
              <w:rPr>
                <w:rFonts w:hint="eastAsia" w:ascii="仿宋" w:hAnsi="仿宋" w:eastAsia="仿宋" w:cs="仿宋"/>
                <w:sz w:val="32"/>
                <w:szCs w:val="32"/>
                <w:lang w:val="en-US" w:eastAsia="zh-CN"/>
              </w:rPr>
              <w:t>合并到跃进小学</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eastAsia="zh-CN"/>
              </w:rPr>
              <w:t>竹根镇建设小学</w:t>
            </w:r>
            <w:r>
              <w:rPr>
                <w:rFonts w:hint="eastAsia" w:ascii="仿宋" w:hAnsi="仿宋" w:eastAsia="仿宋" w:cs="仿宋"/>
                <w:sz w:val="32"/>
                <w:szCs w:val="32"/>
                <w:lang w:val="en-US" w:eastAsia="zh-CN"/>
              </w:rPr>
              <w:t>合并到跃进小学</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成本指标</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项目预算成本</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4.03</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960" w:firstLineChars="300"/>
              <w:jc w:val="both"/>
              <w:textAlignment w:val="center"/>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t>≥</w:t>
            </w:r>
            <w:r>
              <w:rPr>
                <w:rFonts w:hint="eastAsia" w:ascii="仿宋" w:hAnsi="仿宋" w:eastAsia="仿宋" w:cs="仿宋"/>
                <w:color w:val="000000"/>
                <w:sz w:val="32"/>
                <w:szCs w:val="32"/>
                <w:lang w:val="en-US" w:eastAsia="zh-CN"/>
              </w:rPr>
              <w:t>4.03</w:t>
            </w:r>
          </w:p>
        </w:tc>
      </w:tr>
      <w:tr>
        <w:tblPrEx>
          <w:tblCellMar>
            <w:top w:w="0" w:type="dxa"/>
            <w:left w:w="0" w:type="dxa"/>
            <w:bottom w:w="0" w:type="dxa"/>
            <w:right w:w="0" w:type="dxa"/>
          </w:tblCellMar>
        </w:tblPrEx>
        <w:trPr>
          <w:trHeight w:val="1297"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校园安全率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100%</w:t>
            </w:r>
          </w:p>
        </w:tc>
      </w:tr>
      <w:tr>
        <w:tblPrEx>
          <w:tblCellMar>
            <w:top w:w="0" w:type="dxa"/>
            <w:left w:w="0" w:type="dxa"/>
            <w:bottom w:w="0" w:type="dxa"/>
            <w:right w:w="0" w:type="dxa"/>
          </w:tblCellMar>
        </w:tblPrEx>
        <w:trPr>
          <w:trHeight w:val="1055"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质量</w:t>
            </w:r>
            <w:r>
              <w:rPr>
                <w:rFonts w:hint="eastAsia" w:ascii="仿宋" w:hAnsi="仿宋" w:eastAsia="仿宋" w:cs="仿宋"/>
                <w:color w:val="000000"/>
                <w:sz w:val="32"/>
                <w:szCs w:val="32"/>
              </w:rPr>
              <w:t>指标</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教师师资力量</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持续提升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持续提升</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lang w:bidi="ar"/>
              </w:rPr>
            </w:pP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时效指标</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项目完成是否在计划时间内</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w:t>
            </w:r>
          </w:p>
        </w:tc>
      </w:tr>
      <w:tr>
        <w:tblPrEx>
          <w:tblCellMar>
            <w:top w:w="0" w:type="dxa"/>
            <w:left w:w="0" w:type="dxa"/>
            <w:bottom w:w="0" w:type="dxa"/>
            <w:right w:w="0" w:type="dxa"/>
          </w:tblCellMar>
        </w:tblPrEx>
        <w:trPr>
          <w:trHeight w:val="1042" w:hRule="atLeast"/>
          <w:jc w:val="center"/>
        </w:trPr>
        <w:tc>
          <w:tcPr>
            <w:tcW w:w="78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效益指标</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可持续影响</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是否能带来有力可持续影响</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 xml:space="preserve"> 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是</w:t>
            </w:r>
          </w:p>
        </w:tc>
      </w:tr>
      <w:tr>
        <w:tblPrEx>
          <w:tblCellMar>
            <w:top w:w="0" w:type="dxa"/>
            <w:left w:w="0" w:type="dxa"/>
            <w:bottom w:w="0" w:type="dxa"/>
            <w:right w:w="0" w:type="dxa"/>
          </w:tblCellMar>
        </w:tblPrEx>
        <w:trPr>
          <w:trHeight w:val="1050" w:hRule="atLeast"/>
          <w:jc w:val="center"/>
        </w:trPr>
        <w:tc>
          <w:tcPr>
            <w:tcW w:w="78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p>
        </w:tc>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14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满意度指标</w:t>
            </w:r>
          </w:p>
        </w:tc>
        <w:tc>
          <w:tcPr>
            <w:tcW w:w="20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学生家长满意度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bl>
    <w:p>
      <w:pPr>
        <w:spacing w:line="580" w:lineRule="exact"/>
        <w:rPr>
          <w:rFonts w:hint="eastAsia" w:ascii="仿宋" w:hAnsi="仿宋" w:eastAsia="仿宋" w:cs="仿宋"/>
          <w:sz w:val="32"/>
          <w:szCs w:val="32"/>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2.部门绩效评价结果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本部门按要求对2020年部门整体支出绩效评价情况开展自评，《乐山市五通桥区</w:t>
      </w:r>
      <w:r>
        <w:rPr>
          <w:rFonts w:hint="eastAsia" w:ascii="仿宋" w:hAnsi="仿宋" w:eastAsia="仿宋" w:cs="仿宋"/>
          <w:sz w:val="32"/>
          <w:szCs w:val="32"/>
          <w:lang w:eastAsia="zh-CN"/>
        </w:rPr>
        <w:t>竹根镇建设小学</w:t>
      </w:r>
      <w:r>
        <w:rPr>
          <w:rFonts w:hint="eastAsia" w:ascii="仿宋" w:hAnsi="仿宋" w:eastAsia="仿宋" w:cs="仿宋"/>
          <w:sz w:val="32"/>
          <w:szCs w:val="32"/>
        </w:rPr>
        <w:t>部门2020年部门整体支出绩效评价报告》见附件（附件1）。</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本部门自行组织对</w:t>
      </w:r>
      <w:r>
        <w:rPr>
          <w:rFonts w:hint="eastAsia" w:ascii="仿宋" w:hAnsi="仿宋" w:eastAsia="仿宋" w:cs="仿宋"/>
          <w:sz w:val="32"/>
          <w:szCs w:val="32"/>
          <w:lang w:val="en-US" w:eastAsia="zh-CN"/>
        </w:rPr>
        <w:t>全区公办学校校园内宿舍隔离经费</w:t>
      </w:r>
      <w:r>
        <w:rPr>
          <w:rFonts w:hint="eastAsia" w:ascii="仿宋" w:hAnsi="仿宋" w:eastAsia="仿宋" w:cs="仿宋"/>
          <w:sz w:val="32"/>
          <w:szCs w:val="32"/>
        </w:rPr>
        <w:t>项目开展了绩效评价，《</w:t>
      </w:r>
      <w:r>
        <w:rPr>
          <w:rFonts w:hint="eastAsia" w:ascii="仿宋" w:hAnsi="仿宋" w:eastAsia="仿宋" w:cs="仿宋"/>
          <w:sz w:val="32"/>
          <w:szCs w:val="32"/>
          <w:highlight w:val="none"/>
          <w:lang w:val="en-US" w:eastAsia="zh-CN"/>
        </w:rPr>
        <w:t>生均公用经费</w:t>
      </w:r>
      <w:r>
        <w:rPr>
          <w:rFonts w:hint="eastAsia" w:ascii="仿宋" w:hAnsi="仿宋" w:eastAsia="仿宋" w:cs="仿宋"/>
          <w:sz w:val="32"/>
          <w:szCs w:val="32"/>
        </w:rPr>
        <w:t>项目2020年绩效评价报告》见附件（附件2）。</w:t>
      </w:r>
    </w:p>
    <w:p>
      <w:pPr>
        <w:spacing w:line="580" w:lineRule="exact"/>
        <w:ind w:firstLine="640" w:firstLineChars="200"/>
        <w:rPr>
          <w:rFonts w:hint="eastAsia" w:ascii="仿宋" w:hAnsi="仿宋" w:eastAsia="仿宋" w:cs="仿宋"/>
          <w:sz w:val="32"/>
          <w:szCs w:val="32"/>
        </w:rPr>
      </w:pPr>
    </w:p>
    <w:p>
      <w:pPr>
        <w:spacing w:line="580" w:lineRule="exact"/>
        <w:rPr>
          <w:rFonts w:hint="eastAsia" w:ascii="仿宋" w:hAnsi="仿宋" w:eastAsia="仿宋" w:cs="仿宋"/>
          <w:sz w:val="32"/>
          <w:szCs w:val="32"/>
        </w:rPr>
      </w:pPr>
    </w:p>
    <w:p>
      <w:pPr>
        <w:numPr>
          <w:ilvl w:val="0"/>
          <w:numId w:val="3"/>
        </w:numPr>
        <w:spacing w:line="600" w:lineRule="exact"/>
        <w:ind w:firstLine="660" w:firstLineChars="150"/>
        <w:jc w:val="center"/>
        <w:outlineLvl w:val="0"/>
        <w:rPr>
          <w:rStyle w:val="15"/>
          <w:rFonts w:ascii="黑体" w:hAnsi="黑体" w:eastAsia="黑体"/>
          <w:b w:val="0"/>
        </w:rPr>
      </w:pPr>
      <w:bookmarkStart w:id="90" w:name="_Toc2289"/>
      <w:bookmarkStart w:id="91" w:name="_Toc15377225"/>
      <w:bookmarkStart w:id="92" w:name="_Toc15396613"/>
      <w:r>
        <w:rPr>
          <w:rFonts w:hint="eastAsia" w:ascii="黑体" w:hAnsi="黑体" w:eastAsia="黑体"/>
          <w:color w:val="000000"/>
          <w:sz w:val="44"/>
          <w:szCs w:val="44"/>
        </w:rPr>
        <w:t>名</w:t>
      </w:r>
      <w:r>
        <w:rPr>
          <w:rStyle w:val="15"/>
          <w:rFonts w:hint="eastAsia" w:ascii="黑体" w:hAnsi="黑体" w:eastAsia="黑体"/>
          <w:b w:val="0"/>
        </w:rPr>
        <w:t>词解释</w:t>
      </w:r>
      <w:bookmarkEnd w:id="90"/>
      <w:bookmarkEnd w:id="91"/>
      <w:bookmarkEnd w:id="92"/>
    </w:p>
    <w:p>
      <w:pPr>
        <w:spacing w:line="600" w:lineRule="exact"/>
        <w:jc w:val="left"/>
        <w:rPr>
          <w:rFonts w:ascii="宋体"/>
          <w:b/>
          <w:color w:val="000000"/>
          <w:sz w:val="44"/>
          <w:szCs w:val="44"/>
        </w:rPr>
      </w:pPr>
    </w:p>
    <w:p>
      <w:pPr>
        <w:pStyle w:val="18"/>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1.财政拨款收入：指单位从同级财政部门取得的财政预算资金。</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2</w:t>
      </w:r>
      <w:r>
        <w:rPr>
          <w:rFonts w:hint="eastAsia" w:ascii="仿宋" w:hAnsi="仿宋" w:eastAsia="仿宋" w:cs="仿宋"/>
          <w:sz w:val="32"/>
          <w:szCs w:val="32"/>
        </w:rPr>
        <w:t>.其他收入：指单位取得的除上述收入以外的各项收入。主要是</w:t>
      </w:r>
      <w:r>
        <w:rPr>
          <w:rFonts w:hint="eastAsia" w:ascii="仿宋" w:hAnsi="仿宋" w:eastAsia="仿宋" w:cs="仿宋"/>
          <w:sz w:val="32"/>
          <w:szCs w:val="32"/>
          <w:lang w:val="en-US" w:eastAsia="zh-CN"/>
        </w:rPr>
        <w:t>利息收入</w:t>
      </w:r>
      <w:r>
        <w:rPr>
          <w:rFonts w:hint="eastAsia" w:ascii="仿宋" w:hAnsi="仿宋" w:eastAsia="仿宋" w:cs="仿宋"/>
          <w:sz w:val="32"/>
          <w:szCs w:val="32"/>
        </w:rPr>
        <w:t xml:space="preserve">等。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3</w:t>
      </w:r>
      <w:r>
        <w:rPr>
          <w:rFonts w:hint="eastAsia" w:ascii="仿宋" w:hAnsi="仿宋" w:eastAsia="仿宋" w:cs="仿宋"/>
          <w:sz w:val="32"/>
          <w:szCs w:val="32"/>
        </w:rPr>
        <w:t xml:space="preserve">.使用非财政拨款结余：指事业单位使用以前年度积累的非财政拨款结余弥补当年收支差额的金额。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4</w:t>
      </w:r>
      <w:r>
        <w:rPr>
          <w:rFonts w:hint="eastAsia" w:ascii="仿宋" w:hAnsi="仿宋" w:eastAsia="仿宋" w:cs="仿宋"/>
          <w:sz w:val="32"/>
          <w:szCs w:val="32"/>
        </w:rPr>
        <w:t xml:space="preserve">.年初结转和结余：指以前年度尚未完成、结转到本年按有关规定继续使用的资金。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5</w:t>
      </w:r>
      <w:r>
        <w:rPr>
          <w:rFonts w:hint="eastAsia" w:ascii="仿宋" w:hAnsi="仿宋" w:eastAsia="仿宋" w:cs="仿宋"/>
          <w:sz w:val="32"/>
          <w:szCs w:val="32"/>
        </w:rPr>
        <w:t>.结余分配：指事业单位按照会计制度规定缴纳的所得税、提取的专用结余以及转入非财政拨款结余的金额等。</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6</w:t>
      </w:r>
      <w:r>
        <w:rPr>
          <w:rFonts w:hint="eastAsia" w:ascii="仿宋" w:hAnsi="仿宋" w:eastAsia="仿宋" w:cs="仿宋"/>
          <w:sz w:val="32"/>
          <w:szCs w:val="32"/>
        </w:rPr>
        <w:t>、年末结转和结余：指单位按有关规定结转到下年或以后年度继续使用的资金。</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b w:val="0"/>
          <w:bCs w:val="0"/>
          <w:color w:val="000000"/>
          <w:spacing w:val="0"/>
          <w:w w:val="100"/>
          <w:position w:val="0"/>
          <w:sz w:val="32"/>
          <w:szCs w:val="32"/>
          <w:lang w:val="en-US" w:eastAsia="zh-CN"/>
        </w:rPr>
        <w:t>7.</w:t>
      </w:r>
      <w:r>
        <w:rPr>
          <w:rFonts w:hint="eastAsia" w:ascii="仿宋" w:hAnsi="仿宋" w:eastAsia="仿宋" w:cs="仿宋"/>
          <w:b w:val="0"/>
          <w:bCs w:val="0"/>
          <w:color w:val="000000"/>
          <w:sz w:val="32"/>
          <w:szCs w:val="32"/>
        </w:rPr>
        <w:t>教育（类）普通教育（款）小学教育（项）：指反映各部门举办的小学教育支出。政府各部门对社会中介 组织等举办的小学的资助，如各类捐赠、补贴等，也在本科 目中反映。</w:t>
      </w:r>
    </w:p>
    <w:p>
      <w:pPr>
        <w:ind w:firstLine="640" w:firstLineChars="200"/>
        <w:rPr>
          <w:rFonts w:hint="eastAsia" w:ascii="仿宋" w:hAnsi="仿宋" w:eastAsia="仿宋" w:cs="仿宋"/>
          <w:b w:val="0"/>
          <w:bCs w:val="0"/>
          <w:color w:val="000000"/>
          <w:sz w:val="32"/>
          <w:szCs w:val="32"/>
        </w:rPr>
      </w:pPr>
      <w:r>
        <w:rPr>
          <w:rFonts w:hint="eastAsia" w:ascii="仿宋" w:hAnsi="仿宋" w:eastAsia="仿宋" w:cs="仿宋"/>
          <w:color w:val="000000"/>
          <w:sz w:val="32"/>
          <w:szCs w:val="32"/>
          <w:lang w:val="en-US" w:eastAsia="zh-CN"/>
        </w:rPr>
        <w:t>8</w:t>
      </w:r>
      <w:r>
        <w:rPr>
          <w:rFonts w:hint="eastAsia" w:ascii="仿宋" w:hAnsi="仿宋" w:eastAsia="仿宋" w:cs="仿宋"/>
          <w:color w:val="000000"/>
          <w:sz w:val="32"/>
          <w:szCs w:val="32"/>
        </w:rPr>
        <w:t>.</w:t>
      </w:r>
      <w:r>
        <w:rPr>
          <w:rFonts w:hint="eastAsia" w:ascii="仿宋" w:hAnsi="仿宋" w:eastAsia="仿宋" w:cs="仿宋"/>
          <w:b w:val="0"/>
          <w:bCs w:val="0"/>
          <w:color w:val="000000"/>
          <w:sz w:val="32"/>
          <w:szCs w:val="32"/>
        </w:rPr>
        <w:t>教育（类）教育费附加安排的支出（款）其他教育费附加安排的支出（项）：指反映除上述项目以外的教育费附加支出。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.社会保障和就业支出（类）行政事业单位养老支出（款）机关事业单位基本养老保险缴费支出（项）：指反映机关事业单位实施养老保险制度由单位缴纳的基本老保险费支出。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0</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社会保障和就业支出（类）行政事业单位养老支出（款）机关事业单位职业年金缴费支出（项）：指反映机关事业单位实施养老保险制度由单位实际缴纳的业年金支出。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hint="eastAsia" w:ascii="仿宋" w:hAnsi="仿宋" w:eastAsia="仿宋" w:cs="仿宋"/>
          <w:color w:val="000000"/>
          <w:sz w:val="32"/>
          <w:szCs w:val="32"/>
        </w:rPr>
        <w:t>社会保障和就业支出（类）行政事业单位养老支出（款）其他行政事业单位养老支出（项）：指反映除上述项目以外其他用于行政事业单位养老方面的支出。</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2</w:t>
      </w:r>
      <w:r>
        <w:rPr>
          <w:rFonts w:ascii="仿宋_GB2312" w:eastAsia="仿宋_GB2312"/>
          <w:color w:val="000000"/>
          <w:sz w:val="32"/>
          <w:szCs w:val="32"/>
        </w:rPr>
        <w:t>.</w:t>
      </w:r>
      <w:r>
        <w:rPr>
          <w:rFonts w:hint="eastAsia" w:ascii="仿宋" w:hAnsi="仿宋" w:eastAsia="仿宋" w:cs="仿宋"/>
          <w:color w:val="000000"/>
          <w:sz w:val="32"/>
          <w:szCs w:val="32"/>
        </w:rPr>
        <w:t>卫生健康支出（类）行政事业单位医疗（款）事业单位医疗（项）：指反映财政部门安排的事业单位基本医疗保险缴费经费，未 参加医疗保险的事业单位的公费医疗经费，按国家规定享受 离休人员待遇的医疗经费。</w:t>
      </w:r>
    </w:p>
    <w:p>
      <w:pPr>
        <w:ind w:firstLine="640" w:firstLineChars="200"/>
        <w:rPr>
          <w:rFonts w:hint="eastAsia" w:ascii="仿宋" w:hAnsi="仿宋" w:eastAsia="仿宋" w:cs="仿宋"/>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3</w:t>
      </w:r>
      <w:r>
        <w:rPr>
          <w:rFonts w:ascii="仿宋_GB2312" w:eastAsia="仿宋_GB2312"/>
          <w:color w:val="000000"/>
          <w:sz w:val="32"/>
          <w:szCs w:val="32"/>
        </w:rPr>
        <w:t>.</w:t>
      </w:r>
      <w:r>
        <w:rPr>
          <w:rFonts w:hint="eastAsia" w:ascii="仿宋" w:hAnsi="仿宋" w:eastAsia="仿宋" w:cs="仿宋"/>
          <w:color w:val="000000"/>
          <w:sz w:val="32"/>
          <w:szCs w:val="32"/>
        </w:rPr>
        <w:t>住房保障支出（类）住房改革支出（款）住房公积金（项）：指反映行政事业单位按人力资源和社会保障部、财政部规定 的基本工资和津贴补贴以及规定比例为职工缴纳的住房公 积金。</w:t>
      </w:r>
    </w:p>
    <w:p>
      <w:pPr>
        <w:ind w:firstLine="640" w:firstLineChars="200"/>
        <w:rPr>
          <w:rFonts w:hint="eastAsia" w:ascii="仿宋" w:hAnsi="仿宋" w:eastAsia="仿宋" w:cs="仿宋"/>
          <w:color w:val="000000"/>
          <w:sz w:val="32"/>
          <w:szCs w:val="32"/>
        </w:rPr>
      </w:pPr>
      <w:bookmarkStart w:id="93" w:name="_Toc15396614"/>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15</w:t>
      </w:r>
      <w:r>
        <w:rPr>
          <w:rFonts w:hint="eastAsia" w:ascii="仿宋" w:hAnsi="仿宋" w:eastAsia="仿宋" w:cs="仿宋"/>
          <w:color w:val="000000"/>
          <w:sz w:val="32"/>
          <w:szCs w:val="32"/>
        </w:rPr>
        <w:t xml:space="preserve">.项目支出：指在基本支出之外为完成特定行政任务和事业发展目标所发生的支出。 </w:t>
      </w:r>
    </w:p>
    <w:p>
      <w:pPr>
        <w:pStyle w:val="18"/>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16</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both"/>
        <w:outlineLvl w:val="9"/>
        <w:rPr>
          <w:rFonts w:hint="eastAsia" w:ascii="黑体" w:hAnsi="黑体" w:eastAsia="黑体"/>
          <w:color w:val="000000"/>
          <w:sz w:val="44"/>
          <w:szCs w:val="44"/>
        </w:rPr>
      </w:pPr>
    </w:p>
    <w:p>
      <w:pPr>
        <w:spacing w:line="600" w:lineRule="exact"/>
        <w:jc w:val="center"/>
        <w:outlineLvl w:val="0"/>
        <w:rPr>
          <w:rStyle w:val="15"/>
          <w:rFonts w:ascii="黑体" w:hAnsi="黑体" w:eastAsia="黑体"/>
          <w:b w:val="0"/>
        </w:rPr>
      </w:pPr>
      <w:bookmarkStart w:id="94" w:name="_Toc11717"/>
      <w:r>
        <w:rPr>
          <w:rFonts w:hint="eastAsia" w:ascii="黑体" w:hAnsi="黑体" w:eastAsia="黑体"/>
          <w:color w:val="000000"/>
          <w:sz w:val="44"/>
          <w:szCs w:val="44"/>
        </w:rPr>
        <w:t>第</w:t>
      </w:r>
      <w:r>
        <w:rPr>
          <w:rStyle w:val="15"/>
          <w:rFonts w:hint="eastAsia" w:ascii="黑体" w:hAnsi="黑体" w:eastAsia="黑体"/>
          <w:b w:val="0"/>
        </w:rPr>
        <w:t>四部分</w:t>
      </w:r>
      <w:r>
        <w:rPr>
          <w:rStyle w:val="15"/>
          <w:rFonts w:ascii="黑体" w:hAnsi="黑体" w:eastAsia="黑体"/>
          <w:b w:val="0"/>
        </w:rPr>
        <w:t xml:space="preserve"> </w:t>
      </w:r>
      <w:r>
        <w:rPr>
          <w:rStyle w:val="15"/>
          <w:rFonts w:hint="eastAsia" w:ascii="黑体" w:hAnsi="黑体" w:eastAsia="黑体"/>
          <w:b w:val="0"/>
        </w:rPr>
        <w:t>附件</w:t>
      </w:r>
      <w:bookmarkEnd w:id="93"/>
      <w:bookmarkEnd w:id="94"/>
    </w:p>
    <w:p>
      <w:pPr>
        <w:spacing w:line="600" w:lineRule="exact"/>
        <w:jc w:val="left"/>
        <w:outlineLvl w:val="0"/>
        <w:rPr>
          <w:rFonts w:ascii="方正小标宋简体" w:hAnsi="方正小标宋简体" w:eastAsia="方正小标宋简体" w:cs="方正小标宋简体"/>
          <w:sz w:val="32"/>
          <w:szCs w:val="32"/>
        </w:rPr>
      </w:pPr>
      <w:bookmarkStart w:id="95" w:name="_Toc3698"/>
      <w:r>
        <w:rPr>
          <w:rFonts w:hint="eastAsia" w:ascii="黑体" w:hAnsi="黑体" w:eastAsia="黑体" w:cs="黑体"/>
          <w:sz w:val="32"/>
          <w:szCs w:val="32"/>
        </w:rPr>
        <w:t>附件</w:t>
      </w:r>
      <w:r>
        <w:rPr>
          <w:rFonts w:ascii="黑体" w:hAnsi="黑体" w:eastAsia="黑体" w:cs="黑体"/>
          <w:sz w:val="32"/>
          <w:szCs w:val="32"/>
        </w:rPr>
        <w:t>1</w:t>
      </w:r>
      <w:bookmarkEnd w:id="95"/>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rPr>
        <w:t>四川省乐山市五通桥区</w:t>
      </w:r>
      <w:r>
        <w:rPr>
          <w:rFonts w:hint="eastAsia" w:ascii="方正小标宋简体" w:hAnsi="宋体" w:eastAsia="方正小标宋简体"/>
          <w:color w:val="000000"/>
          <w:kern w:val="0"/>
          <w:sz w:val="40"/>
          <w:szCs w:val="44"/>
          <w:lang w:eastAsia="zh-CN"/>
        </w:rPr>
        <w:t>竹根镇建设小学</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（一）机构组成</w:t>
      </w:r>
    </w:p>
    <w:p>
      <w:pPr>
        <w:ind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乐山市五通桥区竹根镇建设小学</w:t>
      </w:r>
      <w:r>
        <w:rPr>
          <w:rFonts w:hint="eastAsia" w:ascii="仿宋" w:hAnsi="仿宋" w:eastAsia="仿宋" w:cs="仿宋"/>
          <w:sz w:val="32"/>
          <w:szCs w:val="32"/>
        </w:rPr>
        <w:t>属一级预算单位，无下属二级单位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设置办公室、教务处、德育处、总务处</w:t>
      </w:r>
      <w:r>
        <w:rPr>
          <w:rFonts w:hint="eastAsia" w:ascii="仿宋" w:hAnsi="仿宋" w:eastAsia="仿宋" w:cs="仿宋"/>
          <w:sz w:val="32"/>
          <w:szCs w:val="32"/>
        </w:rPr>
        <w:t>。</w:t>
      </w:r>
    </w:p>
    <w:p>
      <w:pPr>
        <w:widowControl/>
        <w:numPr>
          <w:ilvl w:val="0"/>
          <w:numId w:val="4"/>
        </w:numPr>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机构职能</w:t>
      </w:r>
    </w:p>
    <w:p>
      <w:pPr>
        <w:ind w:firstLineChars="200"/>
        <w:rPr>
          <w:rFonts w:hint="eastAsia" w:ascii="仿宋" w:hAnsi="仿宋" w:eastAsia="仿宋" w:cs="仿宋"/>
          <w:sz w:val="32"/>
          <w:szCs w:val="32"/>
        </w:rPr>
      </w:pPr>
      <w:r>
        <w:rPr>
          <w:rFonts w:hint="eastAsia" w:ascii="仿宋" w:hAnsi="仿宋" w:eastAsia="仿宋" w:cs="仿宋"/>
          <w:sz w:val="32"/>
          <w:szCs w:val="32"/>
          <w:lang w:eastAsia="zh-CN"/>
        </w:rPr>
        <w:t>实施小学义务教育，促进基础教育发展。小学学历教育</w:t>
      </w:r>
      <w:r>
        <w:rPr>
          <w:rFonts w:hint="eastAsia" w:ascii="仿宋" w:hAnsi="仿宋" w:eastAsia="仿宋" w:cs="仿宋"/>
          <w:sz w:val="32"/>
          <w:szCs w:val="32"/>
        </w:rPr>
        <w:t>。认真贯彻执行党的路线、方针、政策和上级领导部门及学校党委、行政的各项指示、决定，组织安排党委各种会议和重要活动;组织落实上级领导部门通知的有关会议和活动。</w:t>
      </w:r>
    </w:p>
    <w:p>
      <w:pPr>
        <w:widowControl/>
        <w:numPr>
          <w:ilvl w:val="0"/>
          <w:numId w:val="4"/>
        </w:numPr>
        <w:adjustRightInd w:val="0"/>
        <w:snapToGrid w:val="0"/>
        <w:spacing w:line="580" w:lineRule="exact"/>
        <w:ind w:left="0" w:leftChars="0"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人员概况</w:t>
      </w:r>
    </w:p>
    <w:p>
      <w:pPr>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eastAsia="zh-CN"/>
        </w:rPr>
        <w:t>乐山市五通桥区竹根镇建设小学</w:t>
      </w:r>
      <w:r>
        <w:rPr>
          <w:rFonts w:hint="eastAsia" w:ascii="仿宋" w:hAnsi="仿宋" w:eastAsia="仿宋" w:cs="仿宋"/>
          <w:sz w:val="32"/>
          <w:szCs w:val="32"/>
          <w:lang w:val="en-US" w:eastAsia="zh-CN"/>
        </w:rPr>
        <w:t>年末在职人数9人。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（一）部门财政资金收入情况</w:t>
      </w:r>
    </w:p>
    <w:p>
      <w:pPr>
        <w:spacing w:line="600" w:lineRule="exact"/>
        <w:ind w:firstLine="640"/>
        <w:rPr>
          <w:rFonts w:hint="eastAsia" w:ascii="仿宋" w:hAnsi="仿宋" w:eastAsia="仿宋"/>
          <w:color w:val="000000"/>
          <w:sz w:val="32"/>
          <w:szCs w:val="32"/>
          <w:lang w:val="zh-CN"/>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w:t>
      </w:r>
      <w:r>
        <w:rPr>
          <w:rFonts w:hint="eastAsia" w:ascii="仿宋" w:hAnsi="仿宋" w:eastAsia="仿宋"/>
          <w:color w:val="000000"/>
          <w:sz w:val="32"/>
          <w:szCs w:val="32"/>
          <w:lang w:val="en-US" w:eastAsia="zh-CN"/>
        </w:rPr>
        <w:t>入171.31万元</w:t>
      </w:r>
      <w:r>
        <w:rPr>
          <w:rFonts w:hint="eastAsia" w:ascii="仿宋" w:hAnsi="仿宋" w:eastAsia="仿宋"/>
          <w:color w:val="000000"/>
          <w:sz w:val="32"/>
          <w:szCs w:val="32"/>
        </w:rPr>
        <w:t>。与</w:t>
      </w:r>
      <w:r>
        <w:rPr>
          <w:rFonts w:hint="eastAsia" w:ascii="仿宋" w:hAnsi="仿宋" w:eastAsia="仿宋"/>
          <w:color w:val="000000"/>
          <w:sz w:val="32"/>
          <w:szCs w:val="32"/>
          <w:lang w:eastAsia="zh-CN"/>
        </w:rPr>
        <w:t>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年相比，财政拨款收</w:t>
      </w:r>
      <w:r>
        <w:rPr>
          <w:rFonts w:hint="eastAsia" w:ascii="仿宋" w:hAnsi="仿宋" w:eastAsia="仿宋"/>
          <w:color w:val="000000"/>
          <w:sz w:val="32"/>
          <w:szCs w:val="32"/>
          <w:lang w:val="en-US" w:eastAsia="zh-CN"/>
        </w:rPr>
        <w:t>入减少22.42万元、</w:t>
      </w:r>
      <w:r>
        <w:rPr>
          <w:rFonts w:hint="eastAsia" w:ascii="仿宋" w:hAnsi="仿宋" w:eastAsia="仿宋"/>
          <w:color w:val="000000"/>
          <w:sz w:val="32"/>
          <w:szCs w:val="32"/>
          <w:lang w:eastAsia="zh-CN"/>
        </w:rPr>
        <w:t>减少</w:t>
      </w:r>
      <w:r>
        <w:rPr>
          <w:rFonts w:hint="eastAsia" w:ascii="仿宋" w:hAnsi="仿宋" w:eastAsia="仿宋"/>
          <w:color w:val="000000" w:themeColor="text1"/>
          <w:sz w:val="32"/>
          <w:szCs w:val="32"/>
          <w:lang w:val="en-US" w:eastAsia="zh-CN"/>
          <w14:textFill>
            <w14:solidFill>
              <w14:schemeClr w14:val="tx1"/>
            </w14:solidFill>
          </w14:textFill>
        </w:rPr>
        <w:t>11.57</w:t>
      </w:r>
      <w:r>
        <w:rPr>
          <w:rFonts w:ascii="仿宋" w:hAnsi="仿宋" w:eastAsia="仿宋"/>
          <w:color w:val="000000"/>
          <w:sz w:val="32"/>
          <w:szCs w:val="32"/>
        </w:rPr>
        <w:t>%</w:t>
      </w:r>
      <w:r>
        <w:rPr>
          <w:rFonts w:hint="eastAsia" w:ascii="仿宋" w:hAnsi="仿宋" w:eastAsia="仿宋"/>
          <w:color w:val="000000"/>
          <w:sz w:val="32"/>
          <w:szCs w:val="32"/>
        </w:rPr>
        <w:t>。</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default" w:ascii="Times New Roman" w:hAnsi="Times New Roman" w:cs="Times New Roman"/>
          <w:i w:val="0"/>
          <w:iCs w:val="0"/>
          <w:caps w:val="0"/>
          <w:color w:val="333333"/>
          <w:spacing w:val="0"/>
          <w:sz w:val="32"/>
          <w:szCs w:val="32"/>
        </w:rPr>
      </w:pPr>
      <w:r>
        <w:rPr>
          <w:rFonts w:hint="eastAsia" w:ascii="仿宋" w:hAnsi="仿宋" w:eastAsia="仿宋" w:cs="仿宋"/>
          <w:i w:val="0"/>
          <w:iCs w:val="0"/>
          <w:caps w:val="0"/>
          <w:color w:val="333333"/>
          <w:spacing w:val="0"/>
          <w:sz w:val="32"/>
          <w:szCs w:val="32"/>
        </w:rPr>
        <w:t>基本支出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年1</w:t>
      </w:r>
      <w:r>
        <w:rPr>
          <w:rFonts w:hint="eastAsia" w:ascii="仿宋" w:hAnsi="仿宋" w:eastAsia="仿宋" w:cs="仿宋"/>
          <w:i w:val="0"/>
          <w:iCs w:val="0"/>
          <w:caps w:val="0"/>
          <w:color w:val="333333"/>
          <w:spacing w:val="0"/>
          <w:sz w:val="32"/>
          <w:szCs w:val="32"/>
          <w:lang w:val="en-US" w:eastAsia="zh-CN"/>
        </w:rPr>
        <w:t>2</w:t>
      </w:r>
      <w:r>
        <w:rPr>
          <w:rFonts w:hint="eastAsia" w:ascii="仿宋" w:hAnsi="仿宋" w:eastAsia="仿宋" w:cs="仿宋"/>
          <w:i w:val="0"/>
          <w:iCs w:val="0"/>
          <w:caps w:val="0"/>
          <w:color w:val="333333"/>
          <w:spacing w:val="0"/>
          <w:sz w:val="32"/>
          <w:szCs w:val="32"/>
        </w:rPr>
        <w:t>月止基本支出</w:t>
      </w:r>
      <w:r>
        <w:rPr>
          <w:rFonts w:hint="eastAsia" w:ascii="仿宋" w:hAnsi="仿宋" w:eastAsia="仿宋"/>
          <w:color w:val="000000"/>
          <w:sz w:val="32"/>
          <w:szCs w:val="32"/>
          <w:lang w:val="en-US" w:eastAsia="zh-CN"/>
        </w:rPr>
        <w:t>167.28</w:t>
      </w:r>
      <w:r>
        <w:rPr>
          <w:rFonts w:hint="eastAsia" w:ascii="仿宋" w:hAnsi="仿宋" w:eastAsia="仿宋" w:cs="仿宋"/>
          <w:i w:val="0"/>
          <w:iCs w:val="0"/>
          <w:caps w:val="0"/>
          <w:color w:val="333333"/>
          <w:spacing w:val="0"/>
          <w:sz w:val="32"/>
          <w:szCs w:val="32"/>
        </w:rPr>
        <w:t>万元，其中：人员经费支出</w:t>
      </w:r>
      <w:r>
        <w:rPr>
          <w:rFonts w:hint="eastAsia" w:ascii="仿宋" w:hAnsi="仿宋" w:eastAsia="仿宋"/>
          <w:color w:val="000000"/>
          <w:sz w:val="32"/>
          <w:szCs w:val="32"/>
          <w:lang w:val="en-US" w:eastAsia="zh-CN"/>
        </w:rPr>
        <w:t>162.65</w:t>
      </w:r>
      <w:r>
        <w:rPr>
          <w:rFonts w:hint="eastAsia" w:ascii="仿宋" w:hAnsi="仿宋" w:eastAsia="仿宋" w:cs="仿宋"/>
          <w:i w:val="0"/>
          <w:iCs w:val="0"/>
          <w:caps w:val="0"/>
          <w:color w:val="333333"/>
          <w:spacing w:val="0"/>
          <w:sz w:val="32"/>
          <w:szCs w:val="32"/>
        </w:rPr>
        <w:t>万元、商品和服务支出</w:t>
      </w:r>
      <w:r>
        <w:rPr>
          <w:rFonts w:hint="eastAsia" w:ascii="仿宋" w:hAnsi="仿宋" w:eastAsia="仿宋"/>
          <w:color w:val="000000"/>
          <w:sz w:val="32"/>
          <w:szCs w:val="32"/>
          <w:lang w:val="en-US" w:eastAsia="zh-CN"/>
        </w:rPr>
        <w:t>4.63</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工会经费</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eastAsia="zh-CN"/>
        </w:rPr>
        <w:t>福利费</w:t>
      </w:r>
      <w:r>
        <w:rPr>
          <w:rFonts w:hint="eastAsia" w:ascii="仿宋" w:hAnsi="仿宋" w:eastAsia="仿宋" w:cs="仿宋"/>
          <w:i w:val="0"/>
          <w:iCs w:val="0"/>
          <w:caps w:val="0"/>
          <w:color w:val="333333"/>
          <w:spacing w:val="0"/>
          <w:sz w:val="32"/>
          <w:szCs w:val="32"/>
        </w:rPr>
        <w:t>等）。</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640" w:firstLineChars="200"/>
        <w:jc w:val="both"/>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s="仿宋"/>
          <w:i w:val="0"/>
          <w:iCs w:val="0"/>
          <w:caps w:val="0"/>
          <w:color w:val="333333"/>
          <w:spacing w:val="0"/>
          <w:sz w:val="32"/>
          <w:szCs w:val="32"/>
        </w:rPr>
        <w:t>专项支出</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本年下拨专项资金</w:t>
      </w:r>
      <w:r>
        <w:rPr>
          <w:rFonts w:hint="eastAsia" w:ascii="仿宋" w:hAnsi="仿宋" w:eastAsia="仿宋" w:cs="仿宋"/>
          <w:i w:val="0"/>
          <w:iCs w:val="0"/>
          <w:caps w:val="0"/>
          <w:color w:val="333333"/>
          <w:spacing w:val="0"/>
          <w:sz w:val="32"/>
          <w:szCs w:val="32"/>
          <w:lang w:val="en-US" w:eastAsia="zh-CN"/>
        </w:rPr>
        <w:t>4.03</w:t>
      </w:r>
      <w:r>
        <w:rPr>
          <w:rFonts w:hint="eastAsia" w:ascii="仿宋" w:hAnsi="仿宋" w:eastAsia="仿宋" w:cs="仿宋"/>
          <w:i w:val="0"/>
          <w:iCs w:val="0"/>
          <w:caps w:val="0"/>
          <w:color w:val="333333"/>
          <w:spacing w:val="0"/>
          <w:sz w:val="32"/>
          <w:szCs w:val="32"/>
        </w:rPr>
        <w:t>万元，专项资金实行“专人管理、专线使用、专账核算”，按照《专项资金使用办法》、《专项资金管理制度》、《财务管理制度》等制度，该资金用于</w:t>
      </w:r>
      <w:r>
        <w:rPr>
          <w:rFonts w:hint="eastAsia" w:ascii="仿宋" w:hAnsi="仿宋" w:eastAsia="仿宋" w:cs="仿宋"/>
          <w:i w:val="0"/>
          <w:iCs w:val="0"/>
          <w:caps w:val="0"/>
          <w:color w:val="333333"/>
          <w:spacing w:val="0"/>
          <w:sz w:val="32"/>
          <w:szCs w:val="32"/>
          <w:lang w:eastAsia="zh-CN"/>
        </w:rPr>
        <w:t>学校正常运行</w:t>
      </w:r>
      <w:r>
        <w:rPr>
          <w:rFonts w:hint="eastAsia" w:ascii="仿宋" w:hAnsi="仿宋" w:eastAsia="仿宋" w:cs="仿宋"/>
          <w:i w:val="0"/>
          <w:iCs w:val="0"/>
          <w:caps w:val="0"/>
          <w:color w:val="333333"/>
          <w:spacing w:val="0"/>
          <w:sz w:val="32"/>
          <w:szCs w:val="32"/>
        </w:rPr>
        <w:t>。共投入资金</w:t>
      </w:r>
      <w:r>
        <w:rPr>
          <w:rFonts w:hint="eastAsia" w:ascii="仿宋" w:hAnsi="仿宋" w:eastAsia="仿宋" w:cs="仿宋"/>
          <w:i w:val="0"/>
          <w:iCs w:val="0"/>
          <w:caps w:val="0"/>
          <w:color w:val="333333"/>
          <w:spacing w:val="0"/>
          <w:sz w:val="32"/>
          <w:szCs w:val="32"/>
          <w:lang w:val="en-US" w:eastAsia="zh-CN"/>
        </w:rPr>
        <w:t>4.03</w:t>
      </w:r>
      <w:r>
        <w:rPr>
          <w:rFonts w:hint="eastAsia" w:ascii="仿宋" w:hAnsi="仿宋" w:eastAsia="仿宋" w:cs="仿宋"/>
          <w:i w:val="0"/>
          <w:iCs w:val="0"/>
          <w:caps w:val="0"/>
          <w:color w:val="333333"/>
          <w:spacing w:val="0"/>
          <w:sz w:val="32"/>
          <w:szCs w:val="32"/>
        </w:rPr>
        <w:t>万元</w:t>
      </w:r>
      <w:r>
        <w:rPr>
          <w:rFonts w:hint="eastAsia" w:ascii="仿宋" w:hAnsi="仿宋" w:eastAsia="仿宋" w:cs="仿宋"/>
          <w:i w:val="0"/>
          <w:iCs w:val="0"/>
          <w:caps w:val="0"/>
          <w:color w:val="333333"/>
          <w:spacing w:val="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21"/>
          <w:szCs w:val="21"/>
          <w:highlight w:val="none"/>
          <w:lang w:val="en-US" w:eastAsia="zh-CN"/>
        </w:rPr>
      </w:pPr>
      <w:r>
        <w:rPr>
          <w:rFonts w:hint="eastAsia" w:ascii="仿宋" w:hAnsi="仿宋" w:eastAsia="仿宋" w:cs="仿宋"/>
          <w:i w:val="0"/>
          <w:iCs w:val="0"/>
          <w:caps w:val="0"/>
          <w:color w:val="333333"/>
          <w:spacing w:val="0"/>
          <w:sz w:val="32"/>
          <w:szCs w:val="32"/>
        </w:rPr>
        <w:t>（一）</w:t>
      </w:r>
      <w:r>
        <w:rPr>
          <w:rFonts w:hint="eastAsia" w:ascii="仿宋" w:hAnsi="仿宋" w:eastAsia="仿宋" w:cs="仿宋"/>
          <w:i w:val="0"/>
          <w:iCs w:val="0"/>
          <w:caps w:val="0"/>
          <w:color w:val="333333"/>
          <w:spacing w:val="0"/>
          <w:sz w:val="32"/>
          <w:szCs w:val="32"/>
          <w:highlight w:val="none"/>
          <w:lang w:val="en-US" w:eastAsia="zh-CN"/>
        </w:rPr>
        <w:t>部门预算管理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rPr>
        <w:t>20</w:t>
      </w:r>
      <w:r>
        <w:rPr>
          <w:rFonts w:hint="eastAsia" w:ascii="仿宋" w:hAnsi="仿宋" w:eastAsia="仿宋" w:cs="仿宋"/>
          <w:i w:val="0"/>
          <w:iCs w:val="0"/>
          <w:caps w:val="0"/>
          <w:color w:val="333333"/>
          <w:spacing w:val="0"/>
          <w:sz w:val="32"/>
          <w:szCs w:val="32"/>
          <w:lang w:val="en-US" w:eastAsia="zh-CN"/>
        </w:rPr>
        <w:t>20</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eastAsia="zh-CN"/>
        </w:rPr>
        <w:t>四川省乐山市五通桥区</w:t>
      </w:r>
      <w:r>
        <w:rPr>
          <w:rFonts w:hint="eastAsia" w:ascii="仿宋" w:hAnsi="仿宋" w:eastAsia="仿宋" w:cs="仿宋"/>
          <w:sz w:val="32"/>
          <w:szCs w:val="32"/>
          <w:lang w:eastAsia="zh-CN"/>
        </w:rPr>
        <w:t>竹根镇建设小学</w:t>
      </w:r>
      <w:r>
        <w:rPr>
          <w:rFonts w:hint="eastAsia" w:ascii="仿宋" w:hAnsi="仿宋" w:eastAsia="仿宋" w:cs="仿宋"/>
          <w:i w:val="0"/>
          <w:iCs w:val="0"/>
          <w:caps w:val="0"/>
          <w:color w:val="333333"/>
          <w:spacing w:val="0"/>
          <w:sz w:val="32"/>
          <w:szCs w:val="32"/>
        </w:rPr>
        <w:t>整体支出按照财政局下达的预算批复，对于基本支出中的工资福利支出、对个人和家庭补助支出按照实际在职人员及进度均衡支付；对于商品及服务支出（日常公用经费）按照年初预算执行，实现内部报告审批制度，实时监控支出情况；对于项目支出的经费使用情况进行监督检查；严格遵循厉行节约的精神，按规定开支“三公”经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工作经费安排严格按照年初预算来执行，有效防止了超预算；认真学习财经法规，严格执行财经纪律，防止了违法违纪行为的发生。</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eastAsia="仿宋" w:cs="Times New Roman"/>
          <w:i w:val="0"/>
          <w:iCs w:val="0"/>
          <w:caps w:val="0"/>
          <w:color w:val="333333"/>
          <w:spacing w:val="0"/>
          <w:sz w:val="32"/>
          <w:szCs w:val="32"/>
          <w:highlight w:val="none"/>
          <w:lang w:val="en-US" w:eastAsia="zh-CN"/>
        </w:rPr>
      </w:pPr>
      <w:r>
        <w:rPr>
          <w:rFonts w:hint="eastAsia" w:ascii="仿宋" w:hAnsi="仿宋" w:eastAsia="仿宋" w:cs="仿宋"/>
          <w:i w:val="0"/>
          <w:iCs w:val="0"/>
          <w:caps w:val="0"/>
          <w:color w:val="333333"/>
          <w:spacing w:val="0"/>
          <w:sz w:val="32"/>
          <w:szCs w:val="32"/>
        </w:rPr>
        <w:t>（二）</w:t>
      </w:r>
      <w:r>
        <w:rPr>
          <w:rFonts w:hint="eastAsia" w:ascii="仿宋" w:hAnsi="仿宋" w:eastAsia="仿宋" w:cs="仿宋"/>
          <w:i w:val="0"/>
          <w:iCs w:val="0"/>
          <w:caps w:val="0"/>
          <w:color w:val="333333"/>
          <w:spacing w:val="0"/>
          <w:sz w:val="32"/>
          <w:szCs w:val="32"/>
          <w:highlight w:val="none"/>
          <w:lang w:val="en-US" w:eastAsia="zh-CN"/>
        </w:rPr>
        <w:t>应用结果情况</w:t>
      </w:r>
    </w:p>
    <w:p>
      <w:r>
        <w:rPr>
          <w:rFonts w:hint="eastAsia" w:ascii="仿宋" w:hAnsi="仿宋" w:eastAsia="仿宋" w:cs="仿宋"/>
          <w:i w:val="0"/>
          <w:iCs w:val="0"/>
          <w:caps w:val="0"/>
          <w:color w:val="333333"/>
          <w:spacing w:val="0"/>
          <w:sz w:val="32"/>
          <w:szCs w:val="32"/>
        </w:rPr>
        <w:t>推进了专项工作落实</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财政监督检查、专项资金检查、违规发放津补贴的自查等多项管理工作，确保了专项资金在使用和管理上单独核算、专款专用</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保障了</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有效运转</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rPr>
        <w:t>严格按照厉行节约的要求，精打细算，规范</w:t>
      </w:r>
      <w:r>
        <w:rPr>
          <w:rFonts w:hint="eastAsia" w:ascii="仿宋" w:hAnsi="仿宋" w:eastAsia="仿宋" w:cs="仿宋"/>
          <w:i w:val="0"/>
          <w:iCs w:val="0"/>
          <w:caps w:val="0"/>
          <w:color w:val="333333"/>
          <w:spacing w:val="0"/>
          <w:sz w:val="32"/>
          <w:szCs w:val="32"/>
          <w:lang w:eastAsia="zh-CN"/>
        </w:rPr>
        <w:t>学校</w:t>
      </w:r>
      <w:r>
        <w:rPr>
          <w:rFonts w:hint="eastAsia" w:ascii="仿宋" w:hAnsi="仿宋" w:eastAsia="仿宋" w:cs="仿宋"/>
          <w:i w:val="0"/>
          <w:iCs w:val="0"/>
          <w:caps w:val="0"/>
          <w:color w:val="333333"/>
          <w:spacing w:val="0"/>
          <w:sz w:val="32"/>
          <w:szCs w:val="32"/>
        </w:rPr>
        <w:t>运转管理工作，进一步公务用车、公务接待等方面加强集中管理，提高服务质量，降低运行成本，合理配置，提高保障能力</w:t>
      </w:r>
      <w:r>
        <w:rPr>
          <w:rFonts w:hint="eastAsia" w:ascii="仿宋" w:hAnsi="仿宋" w:eastAsia="仿宋" w:cs="仿宋"/>
          <w:i w:val="0"/>
          <w:iCs w:val="0"/>
          <w:caps w:val="0"/>
          <w:color w:val="333333"/>
          <w:spacing w:val="0"/>
          <w:sz w:val="32"/>
          <w:szCs w:val="32"/>
          <w:lang w:eastAsia="zh-CN"/>
        </w:rPr>
        <w:t>；</w:t>
      </w:r>
      <w:r>
        <w:rPr>
          <w:rFonts w:hint="eastAsia" w:ascii="仿宋" w:hAnsi="仿宋" w:eastAsia="仿宋" w:cs="仿宋"/>
          <w:i w:val="0"/>
          <w:iCs w:val="0"/>
          <w:caps w:val="0"/>
          <w:color w:val="333333"/>
          <w:spacing w:val="0"/>
          <w:sz w:val="32"/>
          <w:szCs w:val="32"/>
          <w:lang w:val="en-US" w:eastAsia="zh-CN"/>
        </w:rPr>
        <w:t>具备正确的办学理念并内化为行动习惯，规划科学的办学目标，特有的学校文化氛围，推陈出新的能力，科学管理理念与方法，学校队伍建设等的办学理念。</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w:t>
      </w:r>
      <w:r>
        <w:rPr>
          <w:rFonts w:hint="eastAsia" w:ascii="仿宋" w:hAnsi="仿宋" w:eastAsia="仿宋" w:cs="仿宋"/>
          <w:color w:val="000000"/>
          <w:kern w:val="0"/>
          <w:sz w:val="32"/>
          <w:szCs w:val="32"/>
          <w:shd w:val="clear" w:color="auto" w:fill="FFFFFF"/>
          <w:lang w:val="zh-CN"/>
        </w:rPr>
        <w:t>评价结论</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1"/>
        <w:jc w:val="both"/>
        <w:rPr>
          <w:rFonts w:hint="eastAsia" w:ascii="仿宋" w:hAnsi="仿宋" w:eastAsia="仿宋" w:cs="仿宋"/>
          <w:i w:val="0"/>
          <w:iCs w:val="0"/>
          <w:caps w:val="0"/>
          <w:color w:val="333333"/>
          <w:spacing w:val="0"/>
          <w:sz w:val="32"/>
          <w:szCs w:val="32"/>
          <w:lang w:val="zh-CN"/>
        </w:rPr>
      </w:pPr>
      <w:r>
        <w:rPr>
          <w:rFonts w:hint="eastAsia" w:ascii="仿宋" w:hAnsi="仿宋" w:eastAsia="仿宋" w:cs="仿宋"/>
          <w:i w:val="0"/>
          <w:iCs w:val="0"/>
          <w:caps w:val="0"/>
          <w:color w:val="333333"/>
          <w:spacing w:val="0"/>
          <w:sz w:val="32"/>
          <w:szCs w:val="32"/>
        </w:rPr>
        <w:t>按照财政部门整体支出绩效评价指标细则，我</w:t>
      </w:r>
      <w:r>
        <w:rPr>
          <w:rFonts w:hint="eastAsia" w:ascii="仿宋" w:hAnsi="仿宋" w:eastAsia="仿宋" w:cs="仿宋"/>
          <w:i w:val="0"/>
          <w:iCs w:val="0"/>
          <w:caps w:val="0"/>
          <w:color w:val="333333"/>
          <w:spacing w:val="0"/>
          <w:sz w:val="32"/>
          <w:szCs w:val="32"/>
          <w:lang w:eastAsia="zh-CN"/>
        </w:rPr>
        <w:t>校</w:t>
      </w:r>
      <w:r>
        <w:rPr>
          <w:rFonts w:hint="eastAsia" w:ascii="仿宋" w:hAnsi="仿宋" w:eastAsia="仿宋" w:cs="仿宋"/>
          <w:i w:val="0"/>
          <w:iCs w:val="0"/>
          <w:caps w:val="0"/>
          <w:color w:val="333333"/>
          <w:spacing w:val="0"/>
          <w:sz w:val="32"/>
          <w:szCs w:val="32"/>
        </w:rPr>
        <w:t>自评得分</w:t>
      </w:r>
      <w:r>
        <w:rPr>
          <w:rFonts w:hint="eastAsia" w:ascii="仿宋" w:hAnsi="仿宋" w:eastAsia="仿宋" w:cs="仿宋"/>
          <w:i w:val="0"/>
          <w:iCs w:val="0"/>
          <w:caps w:val="0"/>
          <w:color w:val="333333"/>
          <w:spacing w:val="0"/>
          <w:sz w:val="32"/>
          <w:szCs w:val="32"/>
          <w:highlight w:val="none"/>
          <w:lang w:val="en-US" w:eastAsia="zh-CN"/>
        </w:rPr>
        <w:t>100</w:t>
      </w:r>
      <w:r>
        <w:rPr>
          <w:rFonts w:hint="eastAsia" w:ascii="仿宋" w:hAnsi="仿宋" w:eastAsia="仿宋" w:cs="仿宋"/>
          <w:i w:val="0"/>
          <w:iCs w:val="0"/>
          <w:caps w:val="0"/>
          <w:color w:val="333333"/>
          <w:spacing w:val="0"/>
          <w:sz w:val="32"/>
          <w:szCs w:val="32"/>
        </w:rPr>
        <w:t>分，</w:t>
      </w:r>
      <w:r>
        <w:rPr>
          <w:rFonts w:hint="eastAsia" w:ascii="仿宋" w:hAnsi="仿宋" w:eastAsia="仿宋" w:cs="仿宋"/>
          <w:sz w:val="32"/>
          <w:szCs w:val="32"/>
          <w:lang w:val="en-US" w:eastAsia="zh-CN"/>
        </w:rPr>
        <w:t>总体评分为优</w:t>
      </w:r>
      <w:r>
        <w:rPr>
          <w:rFonts w:hint="eastAsia" w:ascii="仿宋" w:hAnsi="仿宋" w:eastAsia="仿宋" w:cs="仿宋"/>
          <w:i w:val="0"/>
          <w:iCs w:val="0"/>
          <w:caps w:val="0"/>
          <w:color w:val="333333"/>
          <w:spacing w:val="0"/>
          <w:sz w:val="32"/>
          <w:szCs w:val="32"/>
        </w:rPr>
        <w:t>。</w:t>
      </w:r>
    </w:p>
    <w:p>
      <w:pPr>
        <w:widowControl/>
        <w:numPr>
          <w:ilvl w:val="0"/>
          <w:numId w:val="0"/>
        </w:numPr>
        <w:adjustRightInd w:val="0"/>
        <w:snapToGrid w:val="0"/>
        <w:spacing w:line="580" w:lineRule="exact"/>
        <w:ind w:leftChars="200" w:firstLine="320" w:firstLineChars="1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（二）存在问题</w:t>
      </w: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pPr>
        <w:widowControl/>
        <w:adjustRightInd w:val="0"/>
        <w:snapToGrid w:val="0"/>
        <w:spacing w:line="580" w:lineRule="exact"/>
        <w:ind w:firstLine="640" w:firstLineChars="2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（三）改进建议</w:t>
      </w: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r>
        <w:rPr>
          <w:rFonts w:hint="eastAsia" w:ascii="仿宋" w:hAnsi="仿宋" w:eastAsia="仿宋" w:cs="仿宋"/>
          <w:color w:val="000000"/>
          <w:kern w:val="0"/>
          <w:sz w:val="32"/>
          <w:szCs w:val="32"/>
          <w:shd w:val="clear" w:color="auto" w:fill="FFFFFF"/>
          <w:lang w:val="zh-CN"/>
        </w:rPr>
        <w:t>无</w:t>
      </w: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p>
    <w:p>
      <w:pPr>
        <w:widowControl/>
        <w:numPr>
          <w:ilvl w:val="0"/>
          <w:numId w:val="0"/>
        </w:numPr>
        <w:adjustRightInd w:val="0"/>
        <w:snapToGrid w:val="0"/>
        <w:spacing w:line="580" w:lineRule="exact"/>
        <w:ind w:leftChars="200" w:firstLine="1600" w:firstLineChars="500"/>
        <w:contextualSpacing/>
        <w:jc w:val="left"/>
        <w:rPr>
          <w:rFonts w:hint="eastAsia" w:ascii="仿宋" w:hAnsi="仿宋" w:eastAsia="仿宋" w:cs="仿宋"/>
          <w:color w:val="000000"/>
          <w:kern w:val="0"/>
          <w:sz w:val="32"/>
          <w:szCs w:val="32"/>
          <w:shd w:val="clear" w:color="auto" w:fill="FFFFFF"/>
          <w:lang w:val="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hint="eastAsia" w:ascii="方正小标宋简体" w:hAnsi="宋体" w:eastAsia="方正小标宋简体"/>
          <w:color w:val="000000"/>
          <w:kern w:val="0"/>
          <w:sz w:val="44"/>
          <w:szCs w:val="44"/>
          <w:lang w:eastAsia="zh-CN"/>
        </w:rPr>
      </w:pPr>
      <w:r>
        <w:rPr>
          <w:rFonts w:hint="eastAsia" w:ascii="方正小标宋简体" w:hAnsi="宋体" w:eastAsia="方正小标宋简体"/>
          <w:color w:val="000000"/>
          <w:kern w:val="0"/>
          <w:sz w:val="44"/>
          <w:szCs w:val="44"/>
        </w:rPr>
        <w:t>四川省乐山市五通桥区</w:t>
      </w:r>
      <w:r>
        <w:rPr>
          <w:rFonts w:hint="eastAsia" w:ascii="方正小标宋简体" w:hAnsi="宋体" w:eastAsia="方正小标宋简体"/>
          <w:color w:val="000000"/>
          <w:kern w:val="0"/>
          <w:sz w:val="44"/>
          <w:szCs w:val="44"/>
          <w:lang w:eastAsia="zh-CN"/>
        </w:rPr>
        <w:t>竹根镇建设小学</w:t>
      </w:r>
    </w:p>
    <w:p>
      <w:pPr>
        <w:spacing w:line="600" w:lineRule="exact"/>
        <w:jc w:val="center"/>
        <w:rPr>
          <w:rFonts w:hint="eastAsia" w:ascii="方正小标宋简体" w:hAnsi="宋体" w:eastAsia="方正小标宋简体"/>
          <w:color w:val="000000"/>
          <w:kern w:val="0"/>
          <w:sz w:val="44"/>
          <w:szCs w:val="44"/>
          <w:lang w:val="zh-CN" w:eastAsia="zh-CN"/>
        </w:rPr>
      </w:pPr>
      <w:r>
        <w:rPr>
          <w:rFonts w:hint="eastAsia" w:ascii="黑体" w:hAnsi="黑体" w:eastAsia="黑体" w:cs="黑体"/>
          <w:sz w:val="44"/>
          <w:szCs w:val="44"/>
          <w:lang w:val="en-US" w:eastAsia="zh-CN"/>
        </w:rPr>
        <w:t>全区公办学校校园内宿舍隔离经费</w:t>
      </w:r>
      <w:r>
        <w:rPr>
          <w:rFonts w:hint="eastAsia" w:ascii="方正小标宋简体" w:hAnsi="宋体" w:eastAsia="方正小标宋简体"/>
          <w:color w:val="000000"/>
          <w:kern w:val="0"/>
          <w:sz w:val="44"/>
          <w:szCs w:val="44"/>
          <w:lang w:val="zh-CN" w:eastAsia="zh-CN"/>
        </w:rPr>
        <w:t>项目</w:t>
      </w:r>
    </w:p>
    <w:p>
      <w:pPr>
        <w:spacing w:line="600" w:lineRule="exact"/>
        <w:jc w:val="center"/>
        <w:rPr>
          <w:rFonts w:hint="eastAsia" w:ascii="方正小标宋简体" w:hAnsi="宋体" w:eastAsia="方正小标宋简体"/>
          <w:color w:val="000000"/>
          <w:kern w:val="0"/>
          <w:sz w:val="44"/>
          <w:szCs w:val="44"/>
          <w:lang w:val="zh-CN" w:eastAsia="zh-CN"/>
        </w:rPr>
      </w:pPr>
      <w:r>
        <w:rPr>
          <w:rFonts w:hint="eastAsia" w:ascii="方正小标宋简体" w:hAnsi="宋体" w:eastAsia="方正小标宋简体"/>
          <w:color w:val="000000"/>
          <w:kern w:val="0"/>
          <w:sz w:val="44"/>
          <w:szCs w:val="44"/>
          <w:lang w:eastAsia="zh-CN"/>
        </w:rPr>
        <w:t>2020年</w:t>
      </w:r>
      <w:r>
        <w:rPr>
          <w:rFonts w:hint="eastAsia" w:ascii="方正小标宋简体" w:hAnsi="宋体" w:eastAsia="方正小标宋简体"/>
          <w:color w:val="000000"/>
          <w:kern w:val="0"/>
          <w:sz w:val="44"/>
          <w:szCs w:val="44"/>
          <w:lang w:val="zh-CN" w:eastAsia="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项目基本情况</w:t>
      </w:r>
    </w:p>
    <w:p>
      <w:pPr>
        <w:adjustRightInd w:val="0"/>
        <w:snapToGrid w:val="0"/>
        <w:spacing w:line="600" w:lineRule="exact"/>
        <w:ind w:firstLine="720"/>
        <w:rPr>
          <w:rFonts w:hint="eastAsia" w:ascii="仿宋" w:hAnsi="仿宋" w:eastAsia="仿宋" w:cs="仿宋"/>
          <w:color w:val="000000"/>
          <w:kern w:val="0"/>
          <w:sz w:val="32"/>
          <w:szCs w:val="32"/>
          <w:shd w:val="clear" w:color="auto" w:fill="FFFFFF"/>
          <w:lang w:val="en-US" w:eastAsia="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color w:val="000000"/>
          <w:kern w:val="0"/>
          <w:sz w:val="32"/>
          <w:szCs w:val="32"/>
          <w:shd w:val="clear" w:color="auto" w:fill="FFFFFF"/>
          <w:lang w:val="en-US" w:eastAsia="zh-CN"/>
        </w:rPr>
        <w:t>项目职能：</w:t>
      </w:r>
    </w:p>
    <w:p>
      <w:pPr>
        <w:ind w:firstLineChars="200"/>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sz w:val="32"/>
          <w:szCs w:val="32"/>
        </w:rPr>
        <w:t>主要实施小学义务教育，促进基础教育发展。小学学历教育。贯彻执行学校党委的决定，服务领导、服务部门、服务基层，做好管理和服务的各项相关工作。认真贯彻执行党的路线、方针、政策和上级领导部门及学校党委、行政的各项指示、决定</w:t>
      </w:r>
      <w:r>
        <w:rPr>
          <w:rFonts w:hint="eastAsia" w:ascii="仿宋_GB2312" w:eastAsia="仿宋_GB2312"/>
          <w:sz w:val="32"/>
          <w:szCs w:val="32"/>
        </w:rPr>
        <w:t>。</w:t>
      </w:r>
    </w:p>
    <w:p>
      <w:pPr>
        <w:numPr>
          <w:ilvl w:val="0"/>
          <w:numId w:val="6"/>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项目立项、资金申报的依据</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en-US" w:eastAsia="zh-CN"/>
        </w:rPr>
        <w:t>用于学校全</w:t>
      </w:r>
      <w:r>
        <w:rPr>
          <w:rFonts w:hint="eastAsia" w:ascii="仿宋" w:hAnsi="仿宋" w:eastAsia="仿宋" w:cs="仿宋"/>
          <w:sz w:val="32"/>
          <w:szCs w:val="32"/>
          <w:highlight w:val="none"/>
          <w:lang w:val="en-US" w:eastAsia="zh-CN"/>
        </w:rPr>
        <w:t>年教育教学正常运转支出</w:t>
      </w:r>
      <w:r>
        <w:rPr>
          <w:rFonts w:hint="eastAsia" w:ascii="仿宋" w:hAnsi="仿宋" w:eastAsia="仿宋" w:cs="仿宋"/>
          <w:sz w:val="32"/>
          <w:szCs w:val="32"/>
          <w:lang w:val="en-US" w:eastAsia="zh-CN"/>
        </w:rPr>
        <w:t>。</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资金管理办法制定情况，资金支持具体项目的条件、范围与支持方式概况。</w:t>
      </w:r>
    </w:p>
    <w:p>
      <w:pPr>
        <w:numPr>
          <w:ilvl w:val="0"/>
          <w:numId w:val="0"/>
        </w:numPr>
        <w:adjustRightInd w:val="0"/>
        <w:snapToGrid w:val="0"/>
        <w:spacing w:line="600" w:lineRule="exact"/>
        <w:ind w:left="720" w:leftChars="0"/>
        <w:rPr>
          <w:rFonts w:hint="eastAsia" w:ascii="仿宋" w:hAnsi="仿宋" w:eastAsia="仿宋" w:cs="仿宋"/>
          <w:sz w:val="32"/>
          <w:szCs w:val="32"/>
          <w:lang w:val="zh-CN"/>
        </w:rPr>
      </w:pPr>
      <w:r>
        <w:rPr>
          <w:rFonts w:hint="eastAsia" w:ascii="仿宋" w:hAnsi="仿宋" w:eastAsia="仿宋" w:cs="仿宋"/>
          <w:sz w:val="32"/>
          <w:szCs w:val="32"/>
          <w:lang w:val="en-US" w:eastAsia="zh-CN"/>
        </w:rPr>
        <w:t>根据学校实际情况，在保运转基础上纳入年初预算。</w:t>
      </w:r>
    </w:p>
    <w:p>
      <w:pPr>
        <w:numPr>
          <w:ilvl w:val="0"/>
          <w:numId w:val="6"/>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资金分配的原则及考虑因素</w:t>
      </w:r>
    </w:p>
    <w:p>
      <w:pPr>
        <w:numPr>
          <w:ilvl w:val="0"/>
          <w:numId w:val="0"/>
        </w:numPr>
        <w:adjustRightInd w:val="0"/>
        <w:snapToGrid w:val="0"/>
        <w:spacing w:line="600" w:lineRule="exact"/>
        <w:ind w:left="720" w:leftChars="0"/>
        <w:rPr>
          <w:rFonts w:hint="eastAsia" w:ascii="仿宋_GB2312" w:hAnsi="宋体" w:eastAsia="仿宋_GB2312"/>
          <w:sz w:val="32"/>
          <w:szCs w:val="32"/>
          <w:lang w:val="zh-CN"/>
        </w:rPr>
      </w:pPr>
      <w:r>
        <w:rPr>
          <w:rFonts w:hint="eastAsia" w:ascii="仿宋" w:hAnsi="仿宋" w:eastAsia="仿宋" w:cs="仿宋"/>
          <w:sz w:val="32"/>
          <w:szCs w:val="32"/>
          <w:lang w:val="en-US" w:eastAsia="zh-CN"/>
        </w:rPr>
        <w:t>该项目资金由区级配套财政资金。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项目绩效目标</w:t>
      </w:r>
    </w:p>
    <w:p>
      <w:pPr>
        <w:adjustRightInd w:val="0"/>
        <w:snapToGrid w:val="0"/>
        <w:spacing w:line="600" w:lineRule="exact"/>
        <w:ind w:firstLine="720"/>
        <w:rPr>
          <w:rFonts w:hint="eastAsia"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s="仿宋"/>
          <w:sz w:val="32"/>
          <w:szCs w:val="32"/>
          <w:lang w:val="zh-CN"/>
        </w:rPr>
        <w:t>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 w:hAnsi="仿宋" w:eastAsia="仿宋" w:cs="仿宋"/>
          <w:sz w:val="32"/>
          <w:szCs w:val="32"/>
          <w:lang w:val="en-US" w:eastAsia="zh-CN"/>
        </w:rPr>
        <w:t>2020年预计投入4.03万，涉及1个项目，保障校园安全。</w:t>
      </w:r>
    </w:p>
    <w:p>
      <w:pPr>
        <w:numPr>
          <w:ilvl w:val="0"/>
          <w:numId w:val="7"/>
        </w:num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项目应实现的具体绩效目标，包括目标的量化、细化情况以及项目实施进度计划等。</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2020年五通桥区竹根镇建设小学按照财政局下达的预算批复，对于商品及服务支出（日常公用经费）按照年初预算执行，实现内部报告审批制度，实时监控支出情况；对于项目支出的经费使用情况进行监督检查。</w:t>
      </w:r>
    </w:p>
    <w:p>
      <w:pPr>
        <w:numPr>
          <w:ilvl w:val="0"/>
          <w:numId w:val="7"/>
        </w:numPr>
        <w:adjustRightInd w:val="0"/>
        <w:snapToGrid w:val="0"/>
        <w:spacing w:line="600" w:lineRule="exact"/>
        <w:ind w:left="0" w:leftChars="0" w:firstLine="720" w:firstLineChars="0"/>
        <w:rPr>
          <w:rFonts w:hint="eastAsia" w:ascii="仿宋" w:hAnsi="仿宋" w:eastAsia="仿宋" w:cs="仿宋"/>
          <w:sz w:val="32"/>
          <w:szCs w:val="32"/>
          <w:lang w:val="zh-CN"/>
        </w:rPr>
      </w:pPr>
      <w:r>
        <w:rPr>
          <w:rFonts w:hint="eastAsia" w:ascii="仿宋" w:hAnsi="仿宋" w:eastAsia="仿宋" w:cs="仿宋"/>
          <w:sz w:val="32"/>
          <w:szCs w:val="32"/>
          <w:lang w:val="zh-CN"/>
        </w:rPr>
        <w:t>分析评价申报内容是否与实际相符，申报目标是否合理可行。</w:t>
      </w:r>
    </w:p>
    <w:p>
      <w:pPr>
        <w:numPr>
          <w:ilvl w:val="0"/>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 w:hAnsi="仿宋" w:eastAsia="仿宋" w:cs="仿宋"/>
          <w:sz w:val="32"/>
          <w:szCs w:val="32"/>
          <w:lang w:val="zh-CN" w:eastAsia="zh-CN"/>
        </w:rPr>
        <w:t>经绩效自评表分析，申报内容与实际相符，申报目标合理可行。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项目自评步骤及方法</w:t>
      </w:r>
    </w:p>
    <w:p>
      <w:pPr>
        <w:adjustRightInd w:val="0"/>
        <w:snapToGrid w:val="0"/>
        <w:spacing w:line="600" w:lineRule="exact"/>
        <w:ind w:firstLine="72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项目绩效自评采用资金执行进度和项目执行进度相结合办法组织实施，通过项目主管部门相关监督和考核科室对项目各项具体绩效目标完成情况进行分析研判得出项目执行总体执行情况。</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hint="eastAsia" w:ascii="仿宋" w:hAnsi="仿宋" w:eastAsia="仿宋" w:cs="仿宋"/>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项目资金申报及批复情况</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年初预算县级配套财政拨款资金，经财政“一上”、“二上”审核通过后进行项目资金划拨，根据单位实际支出情况，调整预算，保障学校生均公用经费正常运行。</w:t>
      </w:r>
    </w:p>
    <w:p>
      <w:pPr>
        <w:numPr>
          <w:ilvl w:val="0"/>
          <w:numId w:val="8"/>
        </w:numPr>
        <w:adjustRightInd w:val="0"/>
        <w:snapToGrid w:val="0"/>
        <w:spacing w:line="600" w:lineRule="exact"/>
        <w:ind w:firstLine="720"/>
        <w:rPr>
          <w:rFonts w:hint="eastAsia" w:ascii="仿宋" w:hAnsi="仿宋" w:eastAsia="仿宋" w:cs="仿宋"/>
          <w:b/>
          <w:sz w:val="32"/>
          <w:szCs w:val="32"/>
          <w:lang w:val="zh-CN"/>
        </w:rPr>
      </w:pPr>
      <w:r>
        <w:rPr>
          <w:rFonts w:hint="eastAsia" w:ascii="仿宋" w:hAnsi="仿宋" w:eastAsia="仿宋" w:cs="仿宋"/>
          <w:b/>
          <w:sz w:val="32"/>
          <w:szCs w:val="32"/>
          <w:lang w:val="zh-CN"/>
        </w:rPr>
        <w:t>资金计划、到位及使用情况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eastAsia="zh-CN"/>
        </w:rPr>
      </w:pPr>
      <w:r>
        <w:rPr>
          <w:rFonts w:hint="eastAsia" w:ascii="仿宋_GB2312" w:hAnsi="宋体" w:eastAsia="仿宋_GB2312" w:cs="Times New Roman"/>
          <w:sz w:val="32"/>
          <w:szCs w:val="32"/>
          <w:lang w:val="zh-CN" w:eastAsia="zh-CN"/>
        </w:rPr>
        <w:t>1．</w:t>
      </w:r>
      <w:r>
        <w:rPr>
          <w:rFonts w:hint="eastAsia" w:ascii="仿宋" w:hAnsi="仿宋" w:eastAsia="仿宋" w:cs="仿宋"/>
          <w:sz w:val="32"/>
          <w:szCs w:val="32"/>
          <w:lang w:val="zh-CN" w:eastAsia="zh-CN"/>
        </w:rPr>
        <w:t>资金计划：该项目资金由区级配套财政资金划拨</w:t>
      </w:r>
      <w:r>
        <w:rPr>
          <w:rFonts w:hint="eastAsia" w:ascii="仿宋" w:hAnsi="仿宋" w:eastAsia="仿宋" w:cs="仿宋"/>
          <w:sz w:val="32"/>
          <w:szCs w:val="32"/>
          <w:highlight w:val="none"/>
          <w:lang w:val="en-US" w:eastAsia="zh-CN"/>
        </w:rPr>
        <w:t>纳入年初预算</w:t>
      </w:r>
      <w:r>
        <w:rPr>
          <w:rFonts w:hint="eastAsia" w:ascii="仿宋" w:hAnsi="仿宋" w:eastAsia="仿宋" w:cs="仿宋"/>
          <w:sz w:val="32"/>
          <w:szCs w:val="32"/>
          <w:lang w:val="zh-CN" w:eastAsia="zh-CN"/>
        </w:rPr>
        <w:t>。</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2．资金到位：截止评价时点该项目财政拨付项目资金</w:t>
      </w:r>
      <w:r>
        <w:rPr>
          <w:rFonts w:hint="eastAsia" w:ascii="仿宋" w:hAnsi="仿宋" w:eastAsia="仿宋" w:cs="仿宋"/>
          <w:sz w:val="32"/>
          <w:szCs w:val="32"/>
          <w:lang w:val="en-US" w:eastAsia="zh-CN"/>
        </w:rPr>
        <w:t>4.03</w:t>
      </w:r>
      <w:r>
        <w:rPr>
          <w:rFonts w:hint="eastAsia" w:ascii="仿宋" w:hAnsi="仿宋" w:eastAsia="仿宋" w:cs="仿宋"/>
          <w:sz w:val="32"/>
          <w:szCs w:val="32"/>
          <w:lang w:val="zh-CN" w:eastAsia="zh-CN"/>
        </w:rPr>
        <w:t>万元，预算资金到位</w:t>
      </w:r>
      <w:r>
        <w:rPr>
          <w:rFonts w:hint="eastAsia" w:ascii="仿宋" w:hAnsi="仿宋" w:eastAsia="仿宋" w:cs="仿宋"/>
          <w:sz w:val="32"/>
          <w:szCs w:val="32"/>
          <w:lang w:val="en-US" w:eastAsia="zh-CN"/>
        </w:rPr>
        <w:t>4.03</w:t>
      </w:r>
      <w:r>
        <w:rPr>
          <w:rFonts w:hint="eastAsia" w:ascii="仿宋" w:hAnsi="仿宋" w:eastAsia="仿宋" w:cs="仿宋"/>
          <w:sz w:val="32"/>
          <w:szCs w:val="32"/>
          <w:lang w:val="zh-CN" w:eastAsia="zh-CN"/>
        </w:rPr>
        <w:t>万元，到位率100%。</w:t>
      </w:r>
    </w:p>
    <w:p>
      <w:pPr>
        <w:adjustRightInd w:val="0"/>
        <w:snapToGrid w:val="0"/>
        <w:spacing w:line="600" w:lineRule="exact"/>
        <w:ind w:firstLine="720"/>
        <w:rPr>
          <w:rFonts w:hint="eastAsia" w:ascii="仿宋" w:hAnsi="仿宋" w:eastAsia="仿宋" w:cs="仿宋"/>
          <w:sz w:val="32"/>
          <w:szCs w:val="32"/>
          <w:highlight w:val="none"/>
          <w:lang w:val="zh-CN" w:eastAsia="zh-CN"/>
        </w:rPr>
      </w:pPr>
      <w:r>
        <w:rPr>
          <w:rFonts w:hint="eastAsia" w:ascii="仿宋" w:hAnsi="仿宋" w:eastAsia="仿宋" w:cs="仿宋"/>
          <w:sz w:val="32"/>
          <w:szCs w:val="32"/>
          <w:lang w:val="zh-CN" w:eastAsia="zh-CN"/>
        </w:rPr>
        <w:t>3．</w:t>
      </w:r>
      <w:r>
        <w:rPr>
          <w:rFonts w:hint="eastAsia" w:ascii="仿宋" w:hAnsi="仿宋" w:eastAsia="仿宋" w:cs="仿宋"/>
          <w:sz w:val="32"/>
          <w:szCs w:val="32"/>
          <w:highlight w:val="none"/>
          <w:lang w:val="zh-CN" w:eastAsia="zh-CN"/>
        </w:rPr>
        <w:t>资金使用：该项资金用于</w:t>
      </w:r>
      <w:r>
        <w:rPr>
          <w:rFonts w:hint="eastAsia" w:ascii="仿宋" w:hAnsi="仿宋" w:eastAsia="仿宋" w:cs="仿宋"/>
          <w:sz w:val="32"/>
          <w:szCs w:val="32"/>
          <w:highlight w:val="none"/>
          <w:lang w:val="en-US" w:eastAsia="zh-CN"/>
        </w:rPr>
        <w:t>保障学校校内安全，严格按财经制度及主管部门相关要求进行每笔支出</w:t>
      </w:r>
      <w:r>
        <w:rPr>
          <w:rFonts w:hint="eastAsia" w:ascii="仿宋" w:hAnsi="仿宋" w:eastAsia="仿宋" w:cs="仿宋"/>
          <w:sz w:val="32"/>
          <w:szCs w:val="32"/>
          <w:highlight w:val="none"/>
          <w:lang w:val="zh-CN" w:eastAsia="zh-CN"/>
        </w:rPr>
        <w:t>。</w:t>
      </w:r>
    </w:p>
    <w:p>
      <w:pPr>
        <w:adjustRightInd w:val="0"/>
        <w:snapToGrid w:val="0"/>
        <w:spacing w:line="600" w:lineRule="exact"/>
        <w:ind w:firstLine="720"/>
        <w:rPr>
          <w:rFonts w:ascii="楷体_GB2312" w:hAnsi="宋体" w:eastAsia="楷体_GB2312"/>
          <w:b/>
          <w:sz w:val="32"/>
          <w:szCs w:val="32"/>
          <w:highlight w:val="none"/>
          <w:lang w:val="zh-CN"/>
        </w:rPr>
      </w:pPr>
      <w:r>
        <w:rPr>
          <w:rFonts w:hint="eastAsia" w:ascii="楷体_GB2312" w:hAnsi="宋体" w:eastAsia="楷体_GB2312"/>
          <w:b/>
          <w:sz w:val="32"/>
          <w:szCs w:val="32"/>
          <w:highlight w:val="none"/>
          <w:lang w:val="zh-CN"/>
        </w:rPr>
        <w:t>（三）</w:t>
      </w:r>
      <w:r>
        <w:rPr>
          <w:rFonts w:hint="eastAsia" w:ascii="仿宋" w:hAnsi="仿宋" w:eastAsia="仿宋" w:cs="仿宋"/>
          <w:b/>
          <w:sz w:val="32"/>
          <w:szCs w:val="32"/>
          <w:highlight w:val="none"/>
          <w:lang w:val="zh-CN"/>
        </w:rPr>
        <w:t>项目财务管理情况</w:t>
      </w:r>
    </w:p>
    <w:p>
      <w:pPr>
        <w:adjustRightInd w:val="0"/>
        <w:snapToGrid w:val="0"/>
        <w:spacing w:line="600" w:lineRule="exact"/>
        <w:ind w:firstLine="720"/>
        <w:rPr>
          <w:rFonts w:hint="eastAsia" w:ascii="仿宋" w:hAnsi="仿宋" w:eastAsia="仿宋" w:cs="仿宋"/>
          <w:sz w:val="32"/>
          <w:szCs w:val="32"/>
          <w:lang w:val="zh-CN" w:eastAsia="zh-CN"/>
        </w:rPr>
      </w:pPr>
      <w:r>
        <w:rPr>
          <w:rFonts w:hint="eastAsia" w:ascii="仿宋" w:hAnsi="仿宋" w:eastAsia="仿宋" w:cs="仿宋"/>
          <w:sz w:val="32"/>
          <w:szCs w:val="32"/>
          <w:lang w:val="zh-CN" w:eastAsia="zh-CN"/>
        </w:rPr>
        <w:t>该项目财务管理制度健全，严格执行财务管理制度，账务处理及时，会计核算规范等。</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numPr>
          <w:ilvl w:val="0"/>
          <w:numId w:val="0"/>
        </w:numPr>
        <w:adjustRightInd w:val="0"/>
        <w:snapToGrid w:val="0"/>
        <w:spacing w:line="600" w:lineRule="exact"/>
        <w:ind w:firstLine="643" w:firstLineChars="200"/>
        <w:rPr>
          <w:rFonts w:hint="eastAsia" w:ascii="仿宋" w:hAnsi="仿宋" w:eastAsia="仿宋" w:cs="仿宋"/>
          <w:b/>
          <w:sz w:val="32"/>
          <w:szCs w:val="32"/>
          <w:lang w:val="zh-CN"/>
        </w:rPr>
      </w:pPr>
      <w:r>
        <w:rPr>
          <w:rFonts w:hint="eastAsia" w:ascii="仿宋" w:hAnsi="仿宋" w:eastAsia="仿宋" w:cs="仿宋"/>
          <w:b/>
          <w:sz w:val="32"/>
          <w:szCs w:val="32"/>
          <w:lang w:val="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val="zh-CN"/>
        </w:rPr>
        <w:t>）项目组织架构及实施流程</w:t>
      </w:r>
    </w:p>
    <w:p>
      <w:pPr>
        <w:adjustRightInd w:val="0"/>
        <w:snapToGrid w:val="0"/>
        <w:spacing w:line="600" w:lineRule="exact"/>
        <w:ind w:firstLine="720"/>
        <w:rPr>
          <w:rFonts w:hint="eastAsia" w:ascii="仿宋" w:hAnsi="仿宋" w:eastAsia="仿宋" w:cs="仿宋"/>
          <w:sz w:val="32"/>
          <w:szCs w:val="32"/>
          <w:lang w:val="zh-CN"/>
        </w:rPr>
      </w:pPr>
      <w:r>
        <w:rPr>
          <w:rFonts w:hint="eastAsia" w:ascii="仿宋" w:hAnsi="仿宋" w:eastAsia="仿宋" w:cs="仿宋"/>
          <w:sz w:val="32"/>
          <w:szCs w:val="32"/>
          <w:lang w:val="zh-CN"/>
        </w:rPr>
        <w:t>五通桥区竹根镇建设小学成立项目建设工作的领导小组，项目建设工作由</w:t>
      </w:r>
      <w:r>
        <w:rPr>
          <w:rFonts w:hint="eastAsia" w:ascii="仿宋" w:hAnsi="仿宋" w:eastAsia="仿宋" w:cs="仿宋"/>
          <w:sz w:val="32"/>
          <w:szCs w:val="32"/>
          <w:highlight w:val="none"/>
          <w:lang w:val="zh-CN"/>
        </w:rPr>
        <w:t>党委会集体</w:t>
      </w:r>
      <w:r>
        <w:rPr>
          <w:rFonts w:hint="eastAsia" w:ascii="仿宋" w:hAnsi="仿宋" w:eastAsia="仿宋" w:cs="仿宋"/>
          <w:sz w:val="32"/>
          <w:szCs w:val="32"/>
          <w:lang w:val="zh-CN"/>
        </w:rPr>
        <w:t>研究决定，由分管领导具体负责实施。</w:t>
      </w:r>
    </w:p>
    <w:p>
      <w:pPr>
        <w:numPr>
          <w:ilvl w:val="0"/>
          <w:numId w:val="0"/>
        </w:numPr>
        <w:adjustRightInd w:val="0"/>
        <w:snapToGrid w:val="0"/>
        <w:spacing w:line="600" w:lineRule="exact"/>
        <w:ind w:left="720" w:leftChars="0"/>
        <w:rPr>
          <w:rFonts w:hint="eastAsia" w:ascii="仿宋" w:hAnsi="仿宋" w:eastAsia="仿宋" w:cs="仿宋"/>
          <w:b/>
          <w:sz w:val="32"/>
          <w:szCs w:val="32"/>
          <w:lang w:val="zh-CN"/>
        </w:rPr>
      </w:pPr>
      <w:r>
        <w:rPr>
          <w:rFonts w:hint="eastAsia" w:ascii="仿宋" w:hAnsi="仿宋" w:eastAsia="仿宋" w:cs="仿宋"/>
          <w:b/>
          <w:sz w:val="32"/>
          <w:szCs w:val="32"/>
          <w:lang w:val="zh-CN"/>
        </w:rPr>
        <w:t>（二）项目管理情况</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加强对项目的监督管理，采取事前、事中、事后相结合，日常监督和专项监督相结合的方式，对项目财务行为实施全过程监督管理。</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仿宋" w:hAnsi="仿宋" w:eastAsia="仿宋" w:cs="仿宋"/>
          <w:b/>
          <w:sz w:val="32"/>
          <w:szCs w:val="32"/>
          <w:lang w:val="zh-CN"/>
        </w:rPr>
        <w:t>一）项目完成情况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全年执行</w:t>
      </w:r>
      <w:r>
        <w:rPr>
          <w:rFonts w:hint="eastAsia" w:ascii="仿宋" w:hAnsi="仿宋" w:eastAsia="仿宋" w:cs="仿宋"/>
          <w:sz w:val="32"/>
          <w:szCs w:val="32"/>
          <w:lang w:val="en-US" w:eastAsia="zh-CN"/>
        </w:rPr>
        <w:t>4.03</w:t>
      </w:r>
      <w:r>
        <w:rPr>
          <w:rFonts w:hint="eastAsia" w:ascii="仿宋" w:hAnsi="仿宋" w:eastAsia="仿宋" w:cs="仿宋"/>
          <w:sz w:val="32"/>
          <w:szCs w:val="32"/>
          <w:lang w:val="zh-CN"/>
        </w:rPr>
        <w:t>万，涉及1个项目，</w:t>
      </w:r>
      <w:r>
        <w:rPr>
          <w:rFonts w:hint="eastAsia" w:ascii="仿宋" w:hAnsi="仿宋" w:eastAsia="仿宋" w:cs="仿宋"/>
          <w:sz w:val="32"/>
          <w:szCs w:val="32"/>
          <w:lang w:val="en-US" w:eastAsia="zh-CN"/>
        </w:rPr>
        <w:t>保障校园安全</w:t>
      </w:r>
      <w:r>
        <w:rPr>
          <w:rFonts w:hint="eastAsia" w:ascii="仿宋" w:hAnsi="仿宋" w:eastAsia="仿宋" w:cs="仿宋"/>
          <w:sz w:val="32"/>
          <w:szCs w:val="32"/>
          <w:lang w:val="zh-CN"/>
        </w:rPr>
        <w:t>，学校办学条件有所提升。</w:t>
      </w:r>
    </w:p>
    <w:p>
      <w:pPr>
        <w:adjustRightInd w:val="0"/>
        <w:snapToGrid w:val="0"/>
        <w:spacing w:line="600" w:lineRule="exact"/>
        <w:ind w:firstLine="720"/>
        <w:rPr>
          <w:rFonts w:ascii="楷体_GB2312" w:hAnsi="宋体" w:eastAsia="楷体_GB2312"/>
          <w:b/>
          <w:sz w:val="32"/>
          <w:szCs w:val="32"/>
          <w:lang w:val="zh-CN"/>
        </w:rPr>
      </w:pPr>
      <w:r>
        <w:rPr>
          <w:rFonts w:hint="eastAsia" w:ascii="仿宋" w:hAnsi="仿宋" w:eastAsia="仿宋" w:cs="仿宋"/>
          <w:b/>
          <w:sz w:val="32"/>
          <w:szCs w:val="32"/>
          <w:lang w:val="zh-CN"/>
        </w:rPr>
        <w:t>（二）项目效益情况</w:t>
      </w:r>
    </w:p>
    <w:p>
      <w:pPr>
        <w:adjustRightInd w:val="0"/>
        <w:snapToGrid w:val="0"/>
        <w:spacing w:line="600" w:lineRule="exact"/>
        <w:ind w:firstLine="640" w:firstLineChars="200"/>
        <w:rPr>
          <w:rFonts w:hint="eastAsia" w:ascii="仿宋" w:hAnsi="仿宋" w:eastAsia="仿宋" w:cs="仿宋"/>
          <w:sz w:val="32"/>
          <w:szCs w:val="32"/>
          <w:lang w:val="zh-CN"/>
        </w:rPr>
      </w:pPr>
      <w:r>
        <w:rPr>
          <w:rFonts w:hint="eastAsia" w:ascii="仿宋" w:hAnsi="仿宋" w:eastAsia="仿宋" w:cs="仿宋"/>
          <w:sz w:val="32"/>
          <w:szCs w:val="32"/>
          <w:lang w:val="zh-CN"/>
        </w:rPr>
        <w:t>圆满完成教育教学任务，学校办学条件提高，家长和师生满意度显著提高。</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w:t>
      </w:r>
      <w:r>
        <w:rPr>
          <w:rFonts w:hint="eastAsia" w:ascii="仿宋" w:hAnsi="仿宋" w:eastAsia="仿宋" w:cs="仿宋"/>
          <w:b/>
          <w:sz w:val="32"/>
          <w:szCs w:val="32"/>
          <w:lang w:val="zh-CN"/>
        </w:rPr>
        <w:t>评价结论</w:t>
      </w:r>
    </w:p>
    <w:p>
      <w:pPr>
        <w:adjustRightInd w:val="0"/>
        <w:snapToGrid w:val="0"/>
        <w:spacing w:line="600" w:lineRule="exact"/>
        <w:ind w:firstLine="640" w:firstLineChars="200"/>
        <w:rPr>
          <w:rFonts w:hint="eastAsia" w:ascii="仿宋" w:hAnsi="仿宋" w:eastAsia="仿宋" w:cs="仿宋"/>
          <w:sz w:val="32"/>
          <w:szCs w:val="32"/>
          <w:bdr w:val="single" w:color="auto" w:sz="4" w:space="0"/>
          <w:lang w:val="zh-CN"/>
        </w:rPr>
      </w:pPr>
      <w:r>
        <w:rPr>
          <w:rFonts w:hint="eastAsia" w:ascii="仿宋" w:hAnsi="仿宋" w:eastAsia="仿宋" w:cs="仿宋"/>
          <w:sz w:val="32"/>
          <w:szCs w:val="32"/>
          <w:lang w:val="zh-CN"/>
        </w:rPr>
        <w:t>按照财政部门整体支出绩效评价指标细则，我校自评得分</w:t>
      </w:r>
      <w:r>
        <w:rPr>
          <w:rFonts w:hint="eastAsia" w:ascii="仿宋" w:hAnsi="仿宋" w:eastAsia="仿宋" w:cs="仿宋"/>
          <w:sz w:val="32"/>
          <w:szCs w:val="32"/>
          <w:lang w:val="en-US" w:eastAsia="zh-CN"/>
        </w:rPr>
        <w:t>100分，总体评分为优。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w:t>
      </w:r>
      <w:r>
        <w:rPr>
          <w:rFonts w:hint="eastAsia" w:ascii="仿宋" w:hAnsi="仿宋" w:eastAsia="仿宋" w:cs="仿宋"/>
          <w:b/>
          <w:sz w:val="32"/>
          <w:szCs w:val="32"/>
          <w:lang w:val="zh-CN"/>
        </w:rPr>
        <w:t>存在的问题</w:t>
      </w:r>
    </w:p>
    <w:p>
      <w:pPr>
        <w:adjustRightInd w:val="0"/>
        <w:snapToGrid w:val="0"/>
        <w:spacing w:line="600" w:lineRule="exact"/>
        <w:ind w:firstLine="1920" w:firstLineChars="600"/>
        <w:rPr>
          <w:rFonts w:hint="eastAsia" w:ascii="仿宋" w:hAnsi="仿宋" w:eastAsia="仿宋" w:cs="仿宋"/>
          <w:sz w:val="32"/>
          <w:szCs w:val="32"/>
          <w:lang w:val="zh-CN"/>
        </w:rPr>
      </w:pPr>
      <w:r>
        <w:rPr>
          <w:rFonts w:hint="eastAsia" w:ascii="仿宋_GB2312" w:hAnsi="宋体" w:eastAsia="仿宋_GB2312"/>
          <w:sz w:val="32"/>
          <w:szCs w:val="32"/>
          <w:lang w:val="en-US" w:eastAsia="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w:t>
      </w:r>
      <w:r>
        <w:rPr>
          <w:rFonts w:hint="eastAsia" w:ascii="仿宋" w:hAnsi="仿宋" w:eastAsia="仿宋" w:cs="仿宋"/>
          <w:b/>
          <w:sz w:val="32"/>
          <w:szCs w:val="32"/>
          <w:lang w:val="zh-CN"/>
        </w:rPr>
        <w:t>相关建议</w:t>
      </w:r>
    </w:p>
    <w:p>
      <w:pPr>
        <w:widowControl/>
        <w:ind w:firstLine="1920" w:firstLineChars="600"/>
        <w:jc w:val="left"/>
        <w:rPr>
          <w:rFonts w:hint="eastAsia" w:ascii="仿宋_GB2312" w:hAnsi="宋体" w:eastAsia="仿宋_GB2312"/>
          <w:sz w:val="32"/>
          <w:szCs w:val="32"/>
          <w:lang w:val="zh-CN"/>
        </w:rPr>
      </w:pPr>
      <w:r>
        <w:rPr>
          <w:rFonts w:hint="eastAsia" w:ascii="仿宋_GB2312" w:hAnsi="宋体" w:eastAsia="仿宋_GB2312"/>
          <w:sz w:val="32"/>
          <w:szCs w:val="32"/>
          <w:lang w:val="en-US" w:eastAsia="zh-CN"/>
        </w:rPr>
        <w:t>无</w:t>
      </w: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0"/>
        </w:numPr>
        <w:spacing w:line="600" w:lineRule="exact"/>
        <w:ind w:leftChars="150"/>
        <w:jc w:val="center"/>
        <w:outlineLvl w:val="0"/>
        <w:rPr>
          <w:rStyle w:val="15"/>
          <w:rFonts w:hint="eastAsia" w:ascii="黑体" w:hAnsi="黑体" w:eastAsia="黑体"/>
          <w:b w:val="0"/>
        </w:rPr>
      </w:pPr>
      <w:bookmarkStart w:id="96" w:name="_Toc15396618"/>
      <w:r>
        <w:rPr>
          <w:rStyle w:val="15"/>
          <w:rFonts w:hint="eastAsia" w:ascii="黑体" w:hAnsi="黑体" w:eastAsia="黑体"/>
          <w:b w:val="0"/>
          <w:lang w:val="en-US" w:eastAsia="zh-CN"/>
        </w:rPr>
        <w:t xml:space="preserve">第五部分 </w:t>
      </w:r>
      <w:bookmarkStart w:id="97" w:name="_Toc7963"/>
      <w:r>
        <w:rPr>
          <w:rStyle w:val="15"/>
          <w:rFonts w:hint="eastAsia" w:ascii="黑体" w:hAnsi="黑体" w:eastAsia="黑体"/>
          <w:b w:val="0"/>
        </w:rPr>
        <w:t>附表</w:t>
      </w:r>
      <w:bookmarkEnd w:id="89"/>
      <w:bookmarkEnd w:id="96"/>
      <w:bookmarkEnd w:id="97"/>
      <w:bookmarkStart w:id="98" w:name="_Toc15396619"/>
    </w:p>
    <w:p>
      <w:pPr>
        <w:numPr>
          <w:ilvl w:val="0"/>
          <w:numId w:val="0"/>
        </w:numPr>
        <w:spacing w:line="600" w:lineRule="exact"/>
        <w:ind w:leftChars="150"/>
        <w:jc w:val="both"/>
        <w:outlineLvl w:val="0"/>
        <w:rPr>
          <w:rStyle w:val="15"/>
          <w:rFonts w:hint="eastAsia" w:ascii="黑体" w:hAnsi="黑体" w:eastAsia="黑体"/>
          <w:b w:val="0"/>
        </w:rPr>
      </w:pPr>
    </w:p>
    <w:bookmarkEnd w:id="98"/>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99" w:name="_Toc30727"/>
      <w:bookmarkStart w:id="100" w:name="_Toc13437"/>
      <w:r>
        <w:rPr>
          <w:rFonts w:hint="eastAsia" w:ascii="仿宋" w:hAnsi="仿宋" w:eastAsia="仿宋"/>
          <w:b w:val="0"/>
          <w:bCs/>
          <w:color w:val="000000"/>
        </w:rPr>
        <w:t>一、收</w:t>
      </w:r>
      <w:r>
        <w:rPr>
          <w:rStyle w:val="19"/>
          <w:rFonts w:hint="eastAsia" w:ascii="仿宋" w:hAnsi="仿宋" w:eastAsia="仿宋"/>
          <w:b w:val="0"/>
          <w:bCs/>
        </w:rPr>
        <w:t>入支出决算总表</w:t>
      </w:r>
      <w:bookmarkEnd w:id="99"/>
      <w:bookmarkEnd w:id="100"/>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1" w:name="_Toc16370"/>
      <w:bookmarkStart w:id="102" w:name="_Toc15396620"/>
      <w:bookmarkStart w:id="103" w:name="_Toc6493"/>
      <w:r>
        <w:rPr>
          <w:rFonts w:hint="eastAsia" w:ascii="仿宋" w:hAnsi="仿宋" w:eastAsia="仿宋"/>
          <w:b w:val="0"/>
          <w:bCs/>
          <w:color w:val="000000"/>
        </w:rPr>
        <w:t>二、收</w:t>
      </w:r>
      <w:r>
        <w:rPr>
          <w:rStyle w:val="19"/>
          <w:rFonts w:hint="eastAsia" w:ascii="仿宋" w:hAnsi="仿宋" w:eastAsia="仿宋"/>
          <w:b w:val="0"/>
          <w:bCs/>
        </w:rPr>
        <w:t>入决算表</w:t>
      </w:r>
      <w:bookmarkEnd w:id="101"/>
      <w:bookmarkEnd w:id="102"/>
      <w:bookmarkEnd w:id="103"/>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4" w:name="_Toc5558"/>
      <w:bookmarkStart w:id="105" w:name="_Toc23752"/>
      <w:bookmarkStart w:id="106" w:name="_Toc15396621"/>
      <w:r>
        <w:rPr>
          <w:rStyle w:val="19"/>
          <w:rFonts w:hint="eastAsia" w:ascii="仿宋" w:hAnsi="仿宋" w:eastAsia="仿宋"/>
          <w:b w:val="0"/>
          <w:bCs/>
        </w:rPr>
        <w:t>三、</w:t>
      </w:r>
      <w:r>
        <w:rPr>
          <w:rFonts w:hint="eastAsia" w:ascii="仿宋" w:hAnsi="仿宋" w:eastAsia="仿宋"/>
          <w:b w:val="0"/>
          <w:bCs/>
          <w:color w:val="000000"/>
        </w:rPr>
        <w:t>支</w:t>
      </w:r>
      <w:r>
        <w:rPr>
          <w:rStyle w:val="19"/>
          <w:rFonts w:hint="eastAsia" w:ascii="仿宋" w:hAnsi="仿宋" w:eastAsia="仿宋"/>
          <w:b w:val="0"/>
          <w:bCs/>
        </w:rPr>
        <w:t>出决算表</w:t>
      </w:r>
      <w:bookmarkEnd w:id="104"/>
      <w:bookmarkEnd w:id="105"/>
      <w:bookmarkEnd w:id="106"/>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07" w:name="_Toc23348"/>
      <w:bookmarkStart w:id="108" w:name="_Toc15396622"/>
      <w:bookmarkStart w:id="109" w:name="_Toc3504"/>
      <w:r>
        <w:rPr>
          <w:rStyle w:val="19"/>
          <w:rFonts w:hint="eastAsia" w:ascii="仿宋" w:hAnsi="仿宋" w:eastAsia="仿宋"/>
          <w:b w:val="0"/>
          <w:bCs/>
        </w:rPr>
        <w:t>四、</w:t>
      </w:r>
      <w:r>
        <w:rPr>
          <w:rFonts w:hint="eastAsia" w:ascii="仿宋" w:hAnsi="仿宋" w:eastAsia="仿宋"/>
          <w:b w:val="0"/>
          <w:bCs/>
          <w:color w:val="000000"/>
        </w:rPr>
        <w:t>财</w:t>
      </w:r>
      <w:r>
        <w:rPr>
          <w:rStyle w:val="19"/>
          <w:rFonts w:hint="eastAsia" w:ascii="仿宋" w:hAnsi="仿宋" w:eastAsia="仿宋"/>
          <w:b w:val="0"/>
          <w:bCs/>
        </w:rPr>
        <w:t>政拨款收入支出决算总表</w:t>
      </w:r>
      <w:bookmarkEnd w:id="107"/>
      <w:bookmarkEnd w:id="108"/>
      <w:bookmarkEnd w:id="109"/>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9"/>
          <w:rFonts w:ascii="仿宋" w:hAnsi="仿宋" w:eastAsia="仿宋"/>
          <w:b w:val="0"/>
          <w:bCs/>
        </w:rPr>
      </w:pPr>
      <w:bookmarkStart w:id="110" w:name="_Toc15396623"/>
      <w:bookmarkStart w:id="111" w:name="_Toc26829"/>
      <w:bookmarkStart w:id="112" w:name="_Toc30002"/>
      <w:r>
        <w:rPr>
          <w:rStyle w:val="19"/>
          <w:rFonts w:hint="eastAsia" w:ascii="仿宋" w:hAnsi="仿宋" w:eastAsia="仿宋"/>
          <w:b w:val="0"/>
          <w:bCs/>
        </w:rPr>
        <w:t>五、</w:t>
      </w:r>
      <w:r>
        <w:rPr>
          <w:rFonts w:hint="eastAsia" w:ascii="仿宋" w:hAnsi="仿宋" w:eastAsia="仿宋"/>
          <w:b w:val="0"/>
          <w:bCs/>
          <w:color w:val="000000"/>
        </w:rPr>
        <w:t>财</w:t>
      </w:r>
      <w:r>
        <w:rPr>
          <w:rStyle w:val="19"/>
          <w:rFonts w:hint="eastAsia" w:ascii="仿宋" w:hAnsi="仿宋" w:eastAsia="仿宋"/>
          <w:b w:val="0"/>
          <w:bCs/>
        </w:rPr>
        <w:t>政拨款支出决算明细表</w:t>
      </w:r>
      <w:bookmarkEnd w:id="110"/>
      <w:bookmarkEnd w:id="111"/>
      <w:bookmarkEnd w:id="112"/>
      <w:bookmarkStart w:id="113" w:name="_Toc153966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4" w:name="_Toc20089"/>
      <w:bookmarkStart w:id="115" w:name="_Toc19691"/>
      <w:r>
        <w:rPr>
          <w:rStyle w:val="19"/>
          <w:rFonts w:hint="eastAsia" w:ascii="仿宋" w:hAnsi="仿宋" w:eastAsia="仿宋"/>
          <w:b w:val="0"/>
          <w:bCs/>
        </w:rPr>
        <w:t>六、</w:t>
      </w:r>
      <w:r>
        <w:rPr>
          <w:rFonts w:hint="eastAsia" w:ascii="仿宋" w:hAnsi="仿宋" w:eastAsia="仿宋"/>
          <w:b w:val="0"/>
          <w:bCs/>
          <w:color w:val="000000"/>
        </w:rPr>
        <w:t>一</w:t>
      </w:r>
      <w:r>
        <w:rPr>
          <w:rStyle w:val="19"/>
          <w:rFonts w:hint="eastAsia" w:ascii="仿宋" w:hAnsi="仿宋" w:eastAsia="仿宋"/>
          <w:b w:val="0"/>
          <w:bCs/>
        </w:rPr>
        <w:t>般公共预算财政拨款支出决算表</w:t>
      </w:r>
      <w:bookmarkEnd w:id="113"/>
      <w:bookmarkEnd w:id="114"/>
      <w:bookmarkEnd w:id="115"/>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6" w:name="_Toc25647"/>
      <w:bookmarkStart w:id="117" w:name="_Toc14330"/>
      <w:bookmarkStart w:id="118" w:name="_Toc15396625"/>
      <w:r>
        <w:rPr>
          <w:rStyle w:val="19"/>
          <w:rFonts w:hint="eastAsia" w:ascii="仿宋" w:hAnsi="仿宋" w:eastAsia="仿宋"/>
          <w:b w:val="0"/>
          <w:bCs/>
        </w:rPr>
        <w:t>七、</w:t>
      </w:r>
      <w:r>
        <w:rPr>
          <w:rFonts w:hint="eastAsia" w:ascii="仿宋" w:hAnsi="仿宋" w:eastAsia="仿宋"/>
          <w:b w:val="0"/>
          <w:bCs/>
          <w:color w:val="000000"/>
        </w:rPr>
        <w:t>一</w:t>
      </w:r>
      <w:r>
        <w:rPr>
          <w:rStyle w:val="19"/>
          <w:rFonts w:hint="eastAsia" w:ascii="仿宋" w:hAnsi="仿宋" w:eastAsia="仿宋"/>
          <w:b w:val="0"/>
          <w:bCs/>
        </w:rPr>
        <w:t>般公共预算财政拨款支出决算明细表</w:t>
      </w:r>
      <w:bookmarkEnd w:id="116"/>
      <w:bookmarkEnd w:id="117"/>
      <w:bookmarkEnd w:id="118"/>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19" w:name="_Toc10119"/>
      <w:bookmarkStart w:id="120" w:name="_Toc15396626"/>
      <w:bookmarkStart w:id="121" w:name="_Toc6679"/>
      <w:r>
        <w:rPr>
          <w:rStyle w:val="19"/>
          <w:rFonts w:hint="eastAsia" w:ascii="仿宋" w:hAnsi="仿宋" w:eastAsia="仿宋"/>
          <w:b w:val="0"/>
          <w:bCs/>
        </w:rPr>
        <w:t>八、</w:t>
      </w:r>
      <w:r>
        <w:rPr>
          <w:rFonts w:hint="eastAsia" w:ascii="仿宋" w:hAnsi="仿宋" w:eastAsia="仿宋"/>
          <w:b w:val="0"/>
          <w:bCs/>
          <w:color w:val="000000"/>
        </w:rPr>
        <w:t>一</w:t>
      </w:r>
      <w:r>
        <w:rPr>
          <w:rStyle w:val="19"/>
          <w:rFonts w:hint="eastAsia" w:ascii="仿宋" w:hAnsi="仿宋" w:eastAsia="仿宋"/>
          <w:b w:val="0"/>
          <w:bCs/>
        </w:rPr>
        <w:t>般公共预算财政拨款基本支出决算表</w:t>
      </w:r>
      <w:bookmarkEnd w:id="119"/>
      <w:bookmarkEnd w:id="120"/>
      <w:bookmarkEnd w:id="121"/>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2" w:name="_Toc21697"/>
      <w:bookmarkStart w:id="123" w:name="_Toc3412"/>
      <w:bookmarkStart w:id="124" w:name="_Toc15396627"/>
      <w:r>
        <w:rPr>
          <w:rStyle w:val="19"/>
          <w:rFonts w:hint="eastAsia" w:ascii="仿宋" w:hAnsi="仿宋" w:eastAsia="仿宋"/>
          <w:b w:val="0"/>
          <w:bCs/>
        </w:rPr>
        <w:t>九、</w:t>
      </w:r>
      <w:r>
        <w:rPr>
          <w:rFonts w:hint="eastAsia" w:ascii="仿宋" w:hAnsi="仿宋" w:eastAsia="仿宋"/>
          <w:b w:val="0"/>
          <w:bCs/>
          <w:color w:val="000000"/>
        </w:rPr>
        <w:t>一</w:t>
      </w:r>
      <w:r>
        <w:rPr>
          <w:rStyle w:val="19"/>
          <w:rFonts w:hint="eastAsia" w:ascii="仿宋" w:hAnsi="仿宋" w:eastAsia="仿宋"/>
          <w:b w:val="0"/>
          <w:bCs/>
        </w:rPr>
        <w:t>般公共预算财政拨款项目支出决算表</w:t>
      </w:r>
      <w:bookmarkEnd w:id="122"/>
      <w:bookmarkEnd w:id="123"/>
      <w:bookmarkEnd w:id="124"/>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5" w:name="_Toc28481"/>
      <w:bookmarkStart w:id="126" w:name="_Toc18065"/>
      <w:bookmarkStart w:id="127" w:name="_Toc15396628"/>
      <w:r>
        <w:rPr>
          <w:rStyle w:val="19"/>
          <w:rFonts w:hint="eastAsia" w:ascii="仿宋" w:hAnsi="仿宋" w:eastAsia="仿宋"/>
          <w:b w:val="0"/>
          <w:bCs/>
        </w:rPr>
        <w:t>十、</w:t>
      </w:r>
      <w:r>
        <w:rPr>
          <w:rFonts w:hint="eastAsia" w:ascii="仿宋" w:hAnsi="仿宋" w:eastAsia="仿宋"/>
          <w:b w:val="0"/>
          <w:bCs/>
          <w:color w:val="000000"/>
        </w:rPr>
        <w:t>一</w:t>
      </w:r>
      <w:r>
        <w:rPr>
          <w:rStyle w:val="19"/>
          <w:rFonts w:hint="eastAsia" w:ascii="仿宋" w:hAnsi="仿宋" w:eastAsia="仿宋"/>
          <w:b w:val="0"/>
          <w:bCs/>
        </w:rPr>
        <w:t>般公共预算财政拨款“三公”经费支出决算表</w:t>
      </w:r>
      <w:bookmarkEnd w:id="125"/>
      <w:bookmarkEnd w:id="126"/>
      <w:bookmarkEnd w:id="127"/>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28" w:name="_Toc751"/>
      <w:bookmarkStart w:id="129" w:name="_Toc24938"/>
      <w:bookmarkStart w:id="130" w:name="_Toc15396629"/>
      <w:r>
        <w:rPr>
          <w:rStyle w:val="19"/>
          <w:rFonts w:hint="eastAsia" w:ascii="仿宋" w:hAnsi="仿宋" w:eastAsia="仿宋"/>
          <w:b w:val="0"/>
          <w:bCs/>
        </w:rPr>
        <w:t>十一、</w:t>
      </w:r>
      <w:r>
        <w:rPr>
          <w:rFonts w:hint="eastAsia" w:ascii="仿宋" w:hAnsi="仿宋" w:eastAsia="仿宋"/>
          <w:b w:val="0"/>
          <w:bCs/>
          <w:color w:val="000000"/>
        </w:rPr>
        <w:t>政</w:t>
      </w:r>
      <w:r>
        <w:rPr>
          <w:rStyle w:val="19"/>
          <w:rFonts w:hint="eastAsia" w:ascii="仿宋" w:hAnsi="仿宋" w:eastAsia="仿宋"/>
          <w:b w:val="0"/>
          <w:bCs/>
        </w:rPr>
        <w:t>府性基金预算财政拨款收入支出决算表</w:t>
      </w:r>
      <w:bookmarkEnd w:id="128"/>
      <w:bookmarkEnd w:id="129"/>
      <w:bookmarkEnd w:id="130"/>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1" w:name="_Toc15396630"/>
      <w:bookmarkStart w:id="132" w:name="_Toc3423"/>
      <w:bookmarkStart w:id="133" w:name="_Toc29380"/>
      <w:r>
        <w:rPr>
          <w:rStyle w:val="19"/>
          <w:rFonts w:hint="eastAsia" w:ascii="仿宋" w:hAnsi="仿宋" w:eastAsia="仿宋"/>
          <w:b w:val="0"/>
          <w:bCs/>
        </w:rPr>
        <w:t>十二、</w:t>
      </w:r>
      <w:r>
        <w:rPr>
          <w:rFonts w:hint="eastAsia" w:ascii="仿宋" w:hAnsi="仿宋" w:eastAsia="仿宋"/>
          <w:b w:val="0"/>
          <w:bCs/>
          <w:color w:val="000000"/>
        </w:rPr>
        <w:t>政</w:t>
      </w:r>
      <w:r>
        <w:rPr>
          <w:rStyle w:val="19"/>
          <w:rFonts w:hint="eastAsia" w:ascii="仿宋" w:hAnsi="仿宋" w:eastAsia="仿宋"/>
          <w:b w:val="0"/>
          <w:bCs/>
        </w:rPr>
        <w:t>府性基金预算财政拨款“三公”经费支出决算表</w:t>
      </w:r>
      <w:bookmarkEnd w:id="131"/>
      <w:bookmarkEnd w:id="132"/>
      <w:bookmarkEnd w:id="133"/>
    </w:p>
    <w:p>
      <w:pPr>
        <w:pStyle w:val="3"/>
        <w:keepNext/>
        <w:keepLines/>
        <w:pageBreakBefore w:val="0"/>
        <w:widowControl w:val="0"/>
        <w:kinsoku/>
        <w:wordWrap/>
        <w:overflowPunct/>
        <w:topLinePunct w:val="0"/>
        <w:autoSpaceDE/>
        <w:autoSpaceDN/>
        <w:bidi w:val="0"/>
        <w:adjustRightInd/>
        <w:snapToGrid/>
        <w:spacing w:line="580" w:lineRule="exact"/>
        <w:textAlignment w:val="auto"/>
        <w:rPr>
          <w:rStyle w:val="19"/>
          <w:rFonts w:ascii="仿宋" w:hAnsi="仿宋" w:eastAsia="仿宋"/>
          <w:b w:val="0"/>
          <w:bCs/>
        </w:rPr>
      </w:pPr>
      <w:bookmarkStart w:id="134" w:name="_Toc15396631"/>
      <w:bookmarkStart w:id="135" w:name="_Toc23785"/>
      <w:bookmarkStart w:id="136" w:name="_Toc27620"/>
      <w:r>
        <w:rPr>
          <w:rStyle w:val="19"/>
          <w:rFonts w:hint="eastAsia" w:ascii="仿宋" w:hAnsi="仿宋" w:eastAsia="仿宋"/>
          <w:b w:val="0"/>
          <w:bCs/>
        </w:rPr>
        <w:t>十三、</w:t>
      </w:r>
      <w:r>
        <w:rPr>
          <w:rFonts w:hint="eastAsia" w:ascii="仿宋" w:hAnsi="仿宋" w:eastAsia="仿宋"/>
          <w:b w:val="0"/>
          <w:bCs/>
          <w:color w:val="000000"/>
        </w:rPr>
        <w:t>国</w:t>
      </w:r>
      <w:r>
        <w:rPr>
          <w:rStyle w:val="19"/>
          <w:rFonts w:hint="eastAsia" w:ascii="仿宋" w:hAnsi="仿宋" w:eastAsia="仿宋"/>
          <w:b w:val="0"/>
          <w:bCs/>
        </w:rPr>
        <w:t>有资本经营预算财政拨款收入支出决算表</w:t>
      </w:r>
      <w:bookmarkEnd w:id="134"/>
      <w:bookmarkEnd w:id="135"/>
      <w:bookmarkEnd w:id="136"/>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ascii="仿宋" w:hAnsi="仿宋" w:eastAsia="仿宋"/>
          <w:b w:val="0"/>
          <w:bCs/>
          <w:color w:val="000000"/>
        </w:rPr>
      </w:pPr>
      <w:bookmarkStart w:id="137" w:name="_Toc14404"/>
      <w:bookmarkStart w:id="138" w:name="_Toc11289"/>
      <w:r>
        <w:rPr>
          <w:rStyle w:val="19"/>
          <w:rFonts w:hint="eastAsia" w:ascii="仿宋" w:hAnsi="仿宋" w:eastAsia="仿宋"/>
          <w:b w:val="0"/>
          <w:bCs/>
        </w:rPr>
        <w:t>十四、</w:t>
      </w:r>
      <w:r>
        <w:rPr>
          <w:rFonts w:hint="eastAsia" w:ascii="仿宋" w:hAnsi="仿宋" w:eastAsia="仿宋"/>
          <w:b w:val="0"/>
          <w:bCs/>
          <w:color w:val="000000"/>
        </w:rPr>
        <w:t>国</w:t>
      </w:r>
      <w:r>
        <w:rPr>
          <w:rStyle w:val="19"/>
          <w:rFonts w:hint="eastAsia" w:ascii="仿宋" w:hAnsi="仿宋" w:eastAsia="仿宋"/>
          <w:b w:val="0"/>
          <w:bCs/>
        </w:rPr>
        <w:t>有资本经营预算财政拨款支出决算表</w:t>
      </w:r>
      <w:bookmarkEnd w:id="137"/>
      <w:bookmarkEnd w:id="138"/>
    </w:p>
    <w:p>
      <w:pPr>
        <w:rPr>
          <w:rFonts w:hint="eastAsia" w:eastAsiaTheme="minorEastAsia"/>
          <w:lang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010C9D7"/>
    <w:multiLevelType w:val="singleLevel"/>
    <w:tmpl w:val="E010C9D7"/>
    <w:lvl w:ilvl="0" w:tentative="0">
      <w:start w:val="2"/>
      <w:numFmt w:val="decimal"/>
      <w:suff w:val="nothing"/>
      <w:lvlText w:val="%1．"/>
      <w:lvlJc w:val="left"/>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F6CC13E2"/>
    <w:multiLevelType w:val="singleLevel"/>
    <w:tmpl w:val="F6CC13E2"/>
    <w:lvl w:ilvl="0" w:tentative="0">
      <w:start w:val="2"/>
      <w:numFmt w:val="chineseCounting"/>
      <w:suff w:val="nothing"/>
      <w:lvlText w:val="（%1）"/>
      <w:lvlJc w:val="left"/>
      <w:rPr>
        <w:rFonts w:hint="eastAsia"/>
      </w:rPr>
    </w:lvl>
  </w:abstractNum>
  <w:abstractNum w:abstractNumId="4">
    <w:nsid w:val="F7BBCEEB"/>
    <w:multiLevelType w:val="singleLevel"/>
    <w:tmpl w:val="F7BBCEEB"/>
    <w:lvl w:ilvl="0" w:tentative="0">
      <w:start w:val="2"/>
      <w:numFmt w:val="decimal"/>
      <w:suff w:val="nothing"/>
      <w:lvlText w:val="%1．"/>
      <w:lvlJc w:val="left"/>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1DA1CD08"/>
    <w:multiLevelType w:val="singleLevel"/>
    <w:tmpl w:val="1DA1CD08"/>
    <w:lvl w:ilvl="0" w:tentative="0">
      <w:start w:val="2"/>
      <w:numFmt w:val="chineseCounting"/>
      <w:suff w:val="nothing"/>
      <w:lvlText w:val="（%1）"/>
      <w:lvlJc w:val="left"/>
      <w:rPr>
        <w:rFonts w:hint="eastAsia"/>
      </w:rPr>
    </w:lvl>
  </w:abstractNum>
  <w:abstractNum w:abstractNumId="7">
    <w:nsid w:val="2DF79ECB"/>
    <w:multiLevelType w:val="singleLevel"/>
    <w:tmpl w:val="2DF79ECB"/>
    <w:lvl w:ilvl="0" w:tentative="0">
      <w:start w:val="2"/>
      <w:numFmt w:val="chineseCounting"/>
      <w:suff w:val="nothing"/>
      <w:lvlText w:val="（%1）"/>
      <w:lvlJc w:val="left"/>
      <w:rPr>
        <w:rFonts w:hint="eastAsia"/>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66DB"/>
    <w:rsid w:val="00624AEE"/>
    <w:rsid w:val="00B11930"/>
    <w:rsid w:val="00DF6ECF"/>
    <w:rsid w:val="010D2661"/>
    <w:rsid w:val="01B64868"/>
    <w:rsid w:val="01BC5869"/>
    <w:rsid w:val="01C11E30"/>
    <w:rsid w:val="01E3205D"/>
    <w:rsid w:val="02E065BA"/>
    <w:rsid w:val="02E93779"/>
    <w:rsid w:val="03557094"/>
    <w:rsid w:val="03BC23B4"/>
    <w:rsid w:val="047D2B2F"/>
    <w:rsid w:val="04D12053"/>
    <w:rsid w:val="05287A32"/>
    <w:rsid w:val="052A6E74"/>
    <w:rsid w:val="05645302"/>
    <w:rsid w:val="058420F1"/>
    <w:rsid w:val="05CE6C04"/>
    <w:rsid w:val="06951C7E"/>
    <w:rsid w:val="06977505"/>
    <w:rsid w:val="069A6762"/>
    <w:rsid w:val="06E55597"/>
    <w:rsid w:val="07604836"/>
    <w:rsid w:val="07CD3868"/>
    <w:rsid w:val="089844FD"/>
    <w:rsid w:val="089A28A1"/>
    <w:rsid w:val="08CC033C"/>
    <w:rsid w:val="09186640"/>
    <w:rsid w:val="09C430F7"/>
    <w:rsid w:val="09CB7031"/>
    <w:rsid w:val="09D407DB"/>
    <w:rsid w:val="0A1A5C21"/>
    <w:rsid w:val="0A5510C7"/>
    <w:rsid w:val="0A6806B6"/>
    <w:rsid w:val="0A810083"/>
    <w:rsid w:val="0A8B345C"/>
    <w:rsid w:val="0B0D441B"/>
    <w:rsid w:val="0B0D49A2"/>
    <w:rsid w:val="0B225F17"/>
    <w:rsid w:val="0B482663"/>
    <w:rsid w:val="0BFC6B85"/>
    <w:rsid w:val="0C285864"/>
    <w:rsid w:val="0C6F1C0B"/>
    <w:rsid w:val="0C8913FF"/>
    <w:rsid w:val="0C943154"/>
    <w:rsid w:val="0D511AC8"/>
    <w:rsid w:val="0D7063F4"/>
    <w:rsid w:val="0E9F0C06"/>
    <w:rsid w:val="0EA223AD"/>
    <w:rsid w:val="0F735599"/>
    <w:rsid w:val="0F96152D"/>
    <w:rsid w:val="0FFF6BA1"/>
    <w:rsid w:val="104F5FF3"/>
    <w:rsid w:val="105967B7"/>
    <w:rsid w:val="1061082F"/>
    <w:rsid w:val="107172A0"/>
    <w:rsid w:val="10C30504"/>
    <w:rsid w:val="10F24AC0"/>
    <w:rsid w:val="11077143"/>
    <w:rsid w:val="112962C2"/>
    <w:rsid w:val="11383E35"/>
    <w:rsid w:val="118D3F5F"/>
    <w:rsid w:val="11A650B1"/>
    <w:rsid w:val="132B421F"/>
    <w:rsid w:val="13726BCC"/>
    <w:rsid w:val="13C14374"/>
    <w:rsid w:val="13D51776"/>
    <w:rsid w:val="13E41CDB"/>
    <w:rsid w:val="141A66B9"/>
    <w:rsid w:val="144D0F77"/>
    <w:rsid w:val="14591C55"/>
    <w:rsid w:val="14B06E34"/>
    <w:rsid w:val="15316F8B"/>
    <w:rsid w:val="15441BB6"/>
    <w:rsid w:val="158B2B38"/>
    <w:rsid w:val="15DA618C"/>
    <w:rsid w:val="16385338"/>
    <w:rsid w:val="1639537D"/>
    <w:rsid w:val="16544B70"/>
    <w:rsid w:val="16665107"/>
    <w:rsid w:val="16AC0C91"/>
    <w:rsid w:val="16EA395F"/>
    <w:rsid w:val="17E0018E"/>
    <w:rsid w:val="17FE1A10"/>
    <w:rsid w:val="1887488F"/>
    <w:rsid w:val="194046CD"/>
    <w:rsid w:val="19A509E8"/>
    <w:rsid w:val="19A87E02"/>
    <w:rsid w:val="19C42560"/>
    <w:rsid w:val="1A1C0E06"/>
    <w:rsid w:val="1AD35EA8"/>
    <w:rsid w:val="1AEC5330"/>
    <w:rsid w:val="1B4D70B6"/>
    <w:rsid w:val="1B6E3FD6"/>
    <w:rsid w:val="1B91706E"/>
    <w:rsid w:val="1C2365C6"/>
    <w:rsid w:val="1CB219C3"/>
    <w:rsid w:val="1D2A6AA0"/>
    <w:rsid w:val="1D6A1234"/>
    <w:rsid w:val="1D737AE6"/>
    <w:rsid w:val="1D8B46EB"/>
    <w:rsid w:val="1DD045F0"/>
    <w:rsid w:val="1DD51D3B"/>
    <w:rsid w:val="1DDF10B1"/>
    <w:rsid w:val="1E217132"/>
    <w:rsid w:val="1E421890"/>
    <w:rsid w:val="1EB21019"/>
    <w:rsid w:val="1F91291C"/>
    <w:rsid w:val="201B24C0"/>
    <w:rsid w:val="202030ED"/>
    <w:rsid w:val="20482E83"/>
    <w:rsid w:val="213A62B4"/>
    <w:rsid w:val="213B5427"/>
    <w:rsid w:val="2167349A"/>
    <w:rsid w:val="21C54CAA"/>
    <w:rsid w:val="21CA6603"/>
    <w:rsid w:val="224D0AF4"/>
    <w:rsid w:val="22C05089"/>
    <w:rsid w:val="22D85D2A"/>
    <w:rsid w:val="23B05943"/>
    <w:rsid w:val="24B1088C"/>
    <w:rsid w:val="24C877E1"/>
    <w:rsid w:val="25736D7C"/>
    <w:rsid w:val="2594492F"/>
    <w:rsid w:val="25BB4992"/>
    <w:rsid w:val="26A23B04"/>
    <w:rsid w:val="27071E7D"/>
    <w:rsid w:val="27267E43"/>
    <w:rsid w:val="27306953"/>
    <w:rsid w:val="27450BEB"/>
    <w:rsid w:val="27EE54D6"/>
    <w:rsid w:val="27FD0D0E"/>
    <w:rsid w:val="281A68C5"/>
    <w:rsid w:val="28312D27"/>
    <w:rsid w:val="284E5E4B"/>
    <w:rsid w:val="290415B0"/>
    <w:rsid w:val="290E2754"/>
    <w:rsid w:val="290F015E"/>
    <w:rsid w:val="29303F43"/>
    <w:rsid w:val="293F3240"/>
    <w:rsid w:val="296B3F4B"/>
    <w:rsid w:val="29DB7B33"/>
    <w:rsid w:val="2A412F8F"/>
    <w:rsid w:val="2A903862"/>
    <w:rsid w:val="2A94785A"/>
    <w:rsid w:val="2B2A381E"/>
    <w:rsid w:val="2B9A4747"/>
    <w:rsid w:val="2BBD3CB4"/>
    <w:rsid w:val="2C0E0AA2"/>
    <w:rsid w:val="2C412B3E"/>
    <w:rsid w:val="2CAB3AC4"/>
    <w:rsid w:val="2CBF0E37"/>
    <w:rsid w:val="2CC92BF1"/>
    <w:rsid w:val="2CD24DD2"/>
    <w:rsid w:val="2CE324C0"/>
    <w:rsid w:val="2D2456D1"/>
    <w:rsid w:val="2D4466DA"/>
    <w:rsid w:val="2DE36CBE"/>
    <w:rsid w:val="2E154B85"/>
    <w:rsid w:val="2E473EBC"/>
    <w:rsid w:val="2E9D416D"/>
    <w:rsid w:val="2EDF30C4"/>
    <w:rsid w:val="2F695544"/>
    <w:rsid w:val="2F7D0C8C"/>
    <w:rsid w:val="300517CD"/>
    <w:rsid w:val="30434438"/>
    <w:rsid w:val="309375FE"/>
    <w:rsid w:val="30AD22F7"/>
    <w:rsid w:val="30B1294E"/>
    <w:rsid w:val="30CF551D"/>
    <w:rsid w:val="30FF79F1"/>
    <w:rsid w:val="319C2B39"/>
    <w:rsid w:val="31AF05DF"/>
    <w:rsid w:val="31F37C98"/>
    <w:rsid w:val="32C01F73"/>
    <w:rsid w:val="32DE5329"/>
    <w:rsid w:val="332B5C89"/>
    <w:rsid w:val="33C57E9A"/>
    <w:rsid w:val="340B49FB"/>
    <w:rsid w:val="3445531D"/>
    <w:rsid w:val="34895F9A"/>
    <w:rsid w:val="34F05427"/>
    <w:rsid w:val="34FC40CF"/>
    <w:rsid w:val="351C3333"/>
    <w:rsid w:val="35801574"/>
    <w:rsid w:val="358062DE"/>
    <w:rsid w:val="358A6C92"/>
    <w:rsid w:val="35C3263B"/>
    <w:rsid w:val="35CE4126"/>
    <w:rsid w:val="35D5318A"/>
    <w:rsid w:val="3610072D"/>
    <w:rsid w:val="3619770F"/>
    <w:rsid w:val="36206041"/>
    <w:rsid w:val="368D3F86"/>
    <w:rsid w:val="36CA6C86"/>
    <w:rsid w:val="36FA134C"/>
    <w:rsid w:val="370523AF"/>
    <w:rsid w:val="37206344"/>
    <w:rsid w:val="37694D62"/>
    <w:rsid w:val="381B1E02"/>
    <w:rsid w:val="383276CB"/>
    <w:rsid w:val="386246B4"/>
    <w:rsid w:val="388D3D04"/>
    <w:rsid w:val="38F45326"/>
    <w:rsid w:val="39115282"/>
    <w:rsid w:val="392B51C6"/>
    <w:rsid w:val="39B03EBF"/>
    <w:rsid w:val="39EB0E26"/>
    <w:rsid w:val="39EF201E"/>
    <w:rsid w:val="39FC3F49"/>
    <w:rsid w:val="3A14361B"/>
    <w:rsid w:val="3A18237A"/>
    <w:rsid w:val="3A520D8A"/>
    <w:rsid w:val="3A994E53"/>
    <w:rsid w:val="3A9C74E9"/>
    <w:rsid w:val="3A9E6709"/>
    <w:rsid w:val="3AAB0341"/>
    <w:rsid w:val="3AE207E9"/>
    <w:rsid w:val="3B25291B"/>
    <w:rsid w:val="3B2C76E6"/>
    <w:rsid w:val="3B453E63"/>
    <w:rsid w:val="3B5D7C61"/>
    <w:rsid w:val="3DEE5631"/>
    <w:rsid w:val="3E213369"/>
    <w:rsid w:val="3E327B54"/>
    <w:rsid w:val="3F1B770F"/>
    <w:rsid w:val="3F313D50"/>
    <w:rsid w:val="3FCB3A13"/>
    <w:rsid w:val="40194187"/>
    <w:rsid w:val="401A5546"/>
    <w:rsid w:val="40D22E6D"/>
    <w:rsid w:val="41B539F7"/>
    <w:rsid w:val="41CE67C7"/>
    <w:rsid w:val="421D161B"/>
    <w:rsid w:val="421E1DE2"/>
    <w:rsid w:val="425809C0"/>
    <w:rsid w:val="42AE4B68"/>
    <w:rsid w:val="42B816ED"/>
    <w:rsid w:val="431C0FD2"/>
    <w:rsid w:val="43324C84"/>
    <w:rsid w:val="436D57D0"/>
    <w:rsid w:val="43B04E41"/>
    <w:rsid w:val="44417BA6"/>
    <w:rsid w:val="44ED29EA"/>
    <w:rsid w:val="44F14737"/>
    <w:rsid w:val="45180111"/>
    <w:rsid w:val="455E2D16"/>
    <w:rsid w:val="45A4657F"/>
    <w:rsid w:val="45E13E67"/>
    <w:rsid w:val="45E32B66"/>
    <w:rsid w:val="45F77353"/>
    <w:rsid w:val="462A775C"/>
    <w:rsid w:val="464577B2"/>
    <w:rsid w:val="46B25424"/>
    <w:rsid w:val="46BE316A"/>
    <w:rsid w:val="47450513"/>
    <w:rsid w:val="47813CC2"/>
    <w:rsid w:val="47F8508E"/>
    <w:rsid w:val="48A71754"/>
    <w:rsid w:val="48E56D2A"/>
    <w:rsid w:val="49003C66"/>
    <w:rsid w:val="49523DB4"/>
    <w:rsid w:val="496A01DE"/>
    <w:rsid w:val="4A4A697E"/>
    <w:rsid w:val="4A840933"/>
    <w:rsid w:val="4B1E4CBE"/>
    <w:rsid w:val="4B29616C"/>
    <w:rsid w:val="4B3B6A1C"/>
    <w:rsid w:val="4BC17A54"/>
    <w:rsid w:val="4BD82429"/>
    <w:rsid w:val="4BED3CEC"/>
    <w:rsid w:val="4CB83F31"/>
    <w:rsid w:val="4D605DC6"/>
    <w:rsid w:val="4D687FF9"/>
    <w:rsid w:val="4DA27727"/>
    <w:rsid w:val="4E7E138A"/>
    <w:rsid w:val="4E937E91"/>
    <w:rsid w:val="4E9A68DC"/>
    <w:rsid w:val="4F654691"/>
    <w:rsid w:val="4F8708C6"/>
    <w:rsid w:val="50214B33"/>
    <w:rsid w:val="502335D3"/>
    <w:rsid w:val="507F49AE"/>
    <w:rsid w:val="50D949D3"/>
    <w:rsid w:val="50ED543A"/>
    <w:rsid w:val="5114508A"/>
    <w:rsid w:val="512D1163"/>
    <w:rsid w:val="5138364D"/>
    <w:rsid w:val="51736AE0"/>
    <w:rsid w:val="519274CB"/>
    <w:rsid w:val="51D26C2E"/>
    <w:rsid w:val="51F27CA8"/>
    <w:rsid w:val="521C2A17"/>
    <w:rsid w:val="52223986"/>
    <w:rsid w:val="523F04BA"/>
    <w:rsid w:val="52650F40"/>
    <w:rsid w:val="526D72E2"/>
    <w:rsid w:val="528A52AB"/>
    <w:rsid w:val="529A0C32"/>
    <w:rsid w:val="52EE6179"/>
    <w:rsid w:val="53427F5E"/>
    <w:rsid w:val="53487391"/>
    <w:rsid w:val="53793167"/>
    <w:rsid w:val="53A45932"/>
    <w:rsid w:val="541334FF"/>
    <w:rsid w:val="541C090B"/>
    <w:rsid w:val="54A67E3D"/>
    <w:rsid w:val="54DA5C74"/>
    <w:rsid w:val="54EB3532"/>
    <w:rsid w:val="54EE1A60"/>
    <w:rsid w:val="5502153E"/>
    <w:rsid w:val="565A7838"/>
    <w:rsid w:val="56974D41"/>
    <w:rsid w:val="56AB3A5E"/>
    <w:rsid w:val="56D94A3F"/>
    <w:rsid w:val="56F9130E"/>
    <w:rsid w:val="570A602D"/>
    <w:rsid w:val="571346C3"/>
    <w:rsid w:val="574A3ACB"/>
    <w:rsid w:val="576E6004"/>
    <w:rsid w:val="586179DB"/>
    <w:rsid w:val="588538D5"/>
    <w:rsid w:val="58A747AE"/>
    <w:rsid w:val="58FA3B09"/>
    <w:rsid w:val="59500426"/>
    <w:rsid w:val="596737E5"/>
    <w:rsid w:val="59BF27D2"/>
    <w:rsid w:val="59C40752"/>
    <w:rsid w:val="5B9260B6"/>
    <w:rsid w:val="5BC31761"/>
    <w:rsid w:val="5BE572BC"/>
    <w:rsid w:val="5D0E671C"/>
    <w:rsid w:val="5D305D26"/>
    <w:rsid w:val="5D3E4A7C"/>
    <w:rsid w:val="5D412933"/>
    <w:rsid w:val="5DB35D09"/>
    <w:rsid w:val="5DDA1BCF"/>
    <w:rsid w:val="5E1D2BD4"/>
    <w:rsid w:val="5E654F36"/>
    <w:rsid w:val="5E7264B1"/>
    <w:rsid w:val="5E7B3E96"/>
    <w:rsid w:val="5F931B14"/>
    <w:rsid w:val="5F9547CF"/>
    <w:rsid w:val="5FD97134"/>
    <w:rsid w:val="5FE90DFC"/>
    <w:rsid w:val="606833B6"/>
    <w:rsid w:val="60D15139"/>
    <w:rsid w:val="60E3289B"/>
    <w:rsid w:val="611F6C92"/>
    <w:rsid w:val="6146457C"/>
    <w:rsid w:val="61626DF7"/>
    <w:rsid w:val="61D70DA1"/>
    <w:rsid w:val="61EE6B79"/>
    <w:rsid w:val="6225548C"/>
    <w:rsid w:val="62516F4D"/>
    <w:rsid w:val="62A27E50"/>
    <w:rsid w:val="62C9399D"/>
    <w:rsid w:val="62ED6C1F"/>
    <w:rsid w:val="63214156"/>
    <w:rsid w:val="632945F3"/>
    <w:rsid w:val="63D0089C"/>
    <w:rsid w:val="642037B7"/>
    <w:rsid w:val="646A3AF5"/>
    <w:rsid w:val="64BC7A63"/>
    <w:rsid w:val="64D35C2C"/>
    <w:rsid w:val="65CF5A72"/>
    <w:rsid w:val="66027103"/>
    <w:rsid w:val="6603187B"/>
    <w:rsid w:val="66A2418A"/>
    <w:rsid w:val="66B4327E"/>
    <w:rsid w:val="66BE27A7"/>
    <w:rsid w:val="670C2D8E"/>
    <w:rsid w:val="67CC031E"/>
    <w:rsid w:val="67DD406C"/>
    <w:rsid w:val="68063136"/>
    <w:rsid w:val="685714B9"/>
    <w:rsid w:val="688605CA"/>
    <w:rsid w:val="68BC3EA1"/>
    <w:rsid w:val="69416B39"/>
    <w:rsid w:val="69453A20"/>
    <w:rsid w:val="69C32BEC"/>
    <w:rsid w:val="69FD6115"/>
    <w:rsid w:val="6A0A389E"/>
    <w:rsid w:val="6A2650B5"/>
    <w:rsid w:val="6A497906"/>
    <w:rsid w:val="6B511E04"/>
    <w:rsid w:val="6B740CBF"/>
    <w:rsid w:val="6BFB2B99"/>
    <w:rsid w:val="6C297CB8"/>
    <w:rsid w:val="6C4254F6"/>
    <w:rsid w:val="6C5253BE"/>
    <w:rsid w:val="6C8E0D31"/>
    <w:rsid w:val="6C906037"/>
    <w:rsid w:val="6C9C715A"/>
    <w:rsid w:val="6CAF3489"/>
    <w:rsid w:val="6CB23495"/>
    <w:rsid w:val="6CD34F5C"/>
    <w:rsid w:val="6CF971EF"/>
    <w:rsid w:val="6D085172"/>
    <w:rsid w:val="6D396EC6"/>
    <w:rsid w:val="6D9D7B5F"/>
    <w:rsid w:val="6DC86816"/>
    <w:rsid w:val="6DEE6E7D"/>
    <w:rsid w:val="6E1075D5"/>
    <w:rsid w:val="6E7E0683"/>
    <w:rsid w:val="6EBD3BE7"/>
    <w:rsid w:val="6F0A77C5"/>
    <w:rsid w:val="6F874265"/>
    <w:rsid w:val="6F941740"/>
    <w:rsid w:val="6FA01EF0"/>
    <w:rsid w:val="70E426BB"/>
    <w:rsid w:val="70F466ED"/>
    <w:rsid w:val="71741C3F"/>
    <w:rsid w:val="718B25E5"/>
    <w:rsid w:val="718F16A6"/>
    <w:rsid w:val="71BE5748"/>
    <w:rsid w:val="71F00D8A"/>
    <w:rsid w:val="726C369E"/>
    <w:rsid w:val="72B96F51"/>
    <w:rsid w:val="736234E2"/>
    <w:rsid w:val="73905FA1"/>
    <w:rsid w:val="73943FE5"/>
    <w:rsid w:val="7401533B"/>
    <w:rsid w:val="741371CB"/>
    <w:rsid w:val="742B0080"/>
    <w:rsid w:val="743823AB"/>
    <w:rsid w:val="744D5803"/>
    <w:rsid w:val="748B034D"/>
    <w:rsid w:val="74CD6D8F"/>
    <w:rsid w:val="74D14478"/>
    <w:rsid w:val="750F40FA"/>
    <w:rsid w:val="75290E51"/>
    <w:rsid w:val="753A0633"/>
    <w:rsid w:val="754836E3"/>
    <w:rsid w:val="755F0101"/>
    <w:rsid w:val="755F43CF"/>
    <w:rsid w:val="75A50518"/>
    <w:rsid w:val="75BA4B9B"/>
    <w:rsid w:val="7612369C"/>
    <w:rsid w:val="76205F71"/>
    <w:rsid w:val="76EB1E41"/>
    <w:rsid w:val="7700067C"/>
    <w:rsid w:val="77301B08"/>
    <w:rsid w:val="776831DD"/>
    <w:rsid w:val="77A2095A"/>
    <w:rsid w:val="77DA1CBD"/>
    <w:rsid w:val="77EA5FE3"/>
    <w:rsid w:val="783160EF"/>
    <w:rsid w:val="78477399"/>
    <w:rsid w:val="784F0C6B"/>
    <w:rsid w:val="78672953"/>
    <w:rsid w:val="78F315F7"/>
    <w:rsid w:val="78F72856"/>
    <w:rsid w:val="78FD0927"/>
    <w:rsid w:val="793574A5"/>
    <w:rsid w:val="79B770A8"/>
    <w:rsid w:val="79B949EC"/>
    <w:rsid w:val="7A6C528E"/>
    <w:rsid w:val="7B1E4DF2"/>
    <w:rsid w:val="7B2C0627"/>
    <w:rsid w:val="7B510A44"/>
    <w:rsid w:val="7B8A381D"/>
    <w:rsid w:val="7BE3590F"/>
    <w:rsid w:val="7C38495C"/>
    <w:rsid w:val="7C6B587A"/>
    <w:rsid w:val="7C7067B1"/>
    <w:rsid w:val="7CBE4CC0"/>
    <w:rsid w:val="7CE82EFC"/>
    <w:rsid w:val="7CF5629E"/>
    <w:rsid w:val="7D303317"/>
    <w:rsid w:val="7D490F00"/>
    <w:rsid w:val="7E687550"/>
    <w:rsid w:val="7ECE5FCB"/>
    <w:rsid w:val="7EE951F5"/>
    <w:rsid w:val="7F097D2E"/>
    <w:rsid w:val="7F574D58"/>
    <w:rsid w:val="7F60594E"/>
    <w:rsid w:val="7F884E25"/>
    <w:rsid w:val="7FA4052A"/>
    <w:rsid w:val="7FA94641"/>
    <w:rsid w:val="7FAF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24"/>
      <w:szCs w:val="20"/>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99"/>
    <w:rPr>
      <w:rFonts w:cs="Times New Roman"/>
      <w:b/>
    </w:rPr>
  </w:style>
  <w:style w:type="character" w:styleId="14">
    <w:name w:val="Hyperlink"/>
    <w:basedOn w:val="12"/>
    <w:unhideWhenUsed/>
    <w:qFormat/>
    <w:uiPriority w:val="99"/>
    <w:rPr>
      <w:rFonts w:cs="Times New Roman"/>
      <w:color w:val="0000FF"/>
      <w:u w:val="single"/>
    </w:rPr>
  </w:style>
  <w:style w:type="character" w:customStyle="1" w:styleId="15">
    <w:name w:val=" Char Char6"/>
    <w:basedOn w:val="12"/>
    <w:link w:val="2"/>
    <w:qFormat/>
    <w:locked/>
    <w:uiPriority w:val="9"/>
    <w:rPr>
      <w:b/>
      <w:bCs/>
      <w:kern w:val="44"/>
      <w:sz w:val="44"/>
      <w:szCs w:val="44"/>
    </w:rPr>
  </w:style>
  <w:style w:type="character" w:customStyle="1" w:styleId="16">
    <w:name w:val=" Char Char5"/>
    <w:basedOn w:val="12"/>
    <w:link w:val="3"/>
    <w:qFormat/>
    <w:locked/>
    <w:uiPriority w:val="9"/>
    <w:rPr>
      <w:rFonts w:ascii="Cambria" w:hAnsi="Cambria"/>
      <w:b/>
      <w:bCs/>
      <w:sz w:val="32"/>
      <w:szCs w:val="32"/>
    </w:rPr>
  </w:style>
  <w:style w:type="paragraph" w:customStyle="1" w:styleId="17">
    <w:name w:val="List Paragraph"/>
    <w:basedOn w:val="1"/>
    <w:qFormat/>
    <w:uiPriority w:val="34"/>
    <w:pPr>
      <w:ind w:firstLine="420" w:firstLineChars="200"/>
    </w:pPr>
  </w:style>
  <w:style w:type="paragraph" w:customStyle="1" w:styleId="18">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19">
    <w:name w:val="标题 2 字符"/>
    <w:link w:val="3"/>
    <w:qFormat/>
    <w:locked/>
    <w:uiPriority w:val="9"/>
    <w:rPr>
      <w:rFonts w:ascii="Cambria" w:hAnsi="Cambria" w:eastAsia="宋体" w:cs="Times New Roman"/>
      <w:b/>
      <w:bCs/>
      <w:kern w:val="2"/>
      <w:sz w:val="32"/>
      <w:szCs w:val="32"/>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3748906386702"/>
          <c:y val="0.174131111111111"/>
          <c:w val="0.882069553805774"/>
          <c:h val="0.692801481481482"/>
        </c:manualLayout>
      </c:layout>
      <c:barChart>
        <c:barDir val="col"/>
        <c:grouping val="clustered"/>
        <c:varyColors val="0"/>
        <c:ser>
          <c:idx val="0"/>
          <c:order val="0"/>
          <c:tx>
            <c:strRef>
              <c:f>Sheet1!$B$1</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193.73</c:v>
                </c:pt>
                <c:pt idx="1">
                  <c:v>171.31</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Sheet1!$C$2:$C$5</c15:sqref>
                  </c15:fullRef>
                </c:ext>
              </c:extLst>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Sheet1!$D$2:$D$5</c15:sqref>
                  </c15:fullRef>
                </c:ext>
              </c:extLst>
              <c:f>Sheet1!$D$2:$D$3</c:f>
              <c:numCache>
                <c:formatCode>General</c:formatCode>
                <c:ptCount val="2"/>
              </c:numCache>
            </c:numRef>
          </c:val>
        </c:ser>
        <c:dLbls>
          <c:showLegendKey val="0"/>
          <c:showVal val="1"/>
          <c:showCatName val="0"/>
          <c:showSerName val="0"/>
          <c:showPercent val="0"/>
          <c:showBubbleSize val="0"/>
        </c:dLbls>
        <c:gapWidth val="219"/>
        <c:overlap val="-27"/>
        <c:axId val="876570379"/>
        <c:axId val="731084015"/>
      </c:barChart>
      <c:catAx>
        <c:axId val="8765703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1084015"/>
        <c:crosses val="autoZero"/>
        <c:auto val="1"/>
        <c:lblAlgn val="ctr"/>
        <c:lblOffset val="100"/>
        <c:noMultiLvlLbl val="0"/>
      </c:catAx>
      <c:valAx>
        <c:axId val="731084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65703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General</c:formatCode>
                <c:ptCount val="2"/>
                <c:pt idx="0">
                  <c:v>171.31</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167.28</c:v>
                </c:pt>
                <c:pt idx="1">
                  <c:v>4.03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66190476190476"/>
          <c:y val="0.0485089663509978"/>
          <c:w val="0.881952380952381"/>
          <c:h val="0.878571428571428"/>
        </c:manualLayout>
      </c:layout>
      <c:barChart>
        <c:barDir val="col"/>
        <c:grouping val="clustered"/>
        <c:varyColors val="0"/>
        <c:ser>
          <c:idx val="0"/>
          <c:order val="0"/>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193.73</c:v>
                </c:pt>
                <c:pt idx="1">
                  <c:v>171.31</c:v>
                </c:pt>
              </c:numCache>
            </c:numRef>
          </c:val>
        </c:ser>
        <c:dLbls>
          <c:showLegendKey val="0"/>
          <c:showVal val="1"/>
          <c:showCatName val="0"/>
          <c:showSerName val="0"/>
          <c:showPercent val="0"/>
          <c:showBubbleSize val="0"/>
        </c:dLbls>
        <c:gapWidth val="219"/>
        <c:overlap val="-27"/>
        <c:axId val="292170353"/>
        <c:axId val="51845161"/>
      </c:barChart>
      <c:catAx>
        <c:axId val="2921703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845161"/>
        <c:crosses val="autoZero"/>
        <c:auto val="1"/>
        <c:lblAlgn val="ctr"/>
        <c:lblOffset val="100"/>
        <c:noMultiLvlLbl val="0"/>
      </c:catAx>
      <c:valAx>
        <c:axId val="518451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217035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193.73</c:v>
                </c:pt>
                <c:pt idx="1">
                  <c:v>171.31</c:v>
                </c:pt>
              </c:numCache>
            </c:numRef>
          </c:val>
        </c:ser>
        <c:dLbls>
          <c:showLegendKey val="0"/>
          <c:showVal val="1"/>
          <c:showCatName val="0"/>
          <c:showSerName val="0"/>
          <c:showPercent val="0"/>
          <c:showBubbleSize val="0"/>
        </c:dLbls>
        <c:gapWidth val="219"/>
        <c:overlap val="-27"/>
        <c:axId val="455322082"/>
        <c:axId val="984484302"/>
      </c:barChart>
      <c:catAx>
        <c:axId val="4553220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4484302"/>
        <c:crosses val="autoZero"/>
        <c:auto val="1"/>
        <c:lblAlgn val="ctr"/>
        <c:lblOffset val="100"/>
        <c:noMultiLvlLbl val="0"/>
      </c:catAx>
      <c:valAx>
        <c:axId val="9844843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53220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95.52</c:v>
                </c:pt>
                <c:pt idx="1">
                  <c:v>63.93</c:v>
                </c:pt>
                <c:pt idx="2">
                  <c:v>3.7</c:v>
                </c:pt>
                <c:pt idx="3">
                  <c:v>8.16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8685</Words>
  <Characters>9180</Characters>
  <Lines>0</Lines>
  <Paragraphs>0</Paragraphs>
  <TotalTime>1</TotalTime>
  <ScaleCrop>false</ScaleCrop>
  <LinksUpToDate>false</LinksUpToDate>
  <CharactersWithSpaces>9340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2021-09-17T15:06:00Z</dcterms:created>
  <dc:creator>cw</dc:creator>
  <cp:lastModifiedBy>张学琴</cp:lastModifiedBy>
  <dcterms:modified xsi:type="dcterms:W3CDTF">2025-01-21T09:37:42Z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D1A35B3DB791424B8DE8ADFBED7CB66E</vt:lpwstr>
  </property>
</Properties>
</file>