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五通桥区城市管理监察大队</w:t>
      </w:r>
    </w:p>
    <w:p>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default"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2025部门预算编制说明</w:t>
      </w:r>
    </w:p>
    <w:p>
      <w:pPr>
        <w:spacing w:after="0"/>
        <w:rPr>
          <w:rFonts w:ascii="宋体" w:hAnsi="宋体"/>
        </w:rPr>
      </w:pPr>
    </w:p>
    <w:p>
      <w:pPr>
        <w:rPr>
          <w:rFonts w:ascii="宋体" w:hAnsi="宋体"/>
          <w:sz w:val="4"/>
        </w:rPr>
      </w:pPr>
      <w:r>
        <w:rPr>
          <w:rFonts w:ascii="宋体" w:hAnsi="宋体"/>
          <w:sz w:val="4"/>
        </w:rPr>
        <w:br w:type="page"/>
      </w:r>
    </w:p>
    <w:p>
      <w:pPr>
        <w:rPr>
          <w:rFonts w:ascii="宋体" w:hAnsi="宋体"/>
          <w:sz w:val="4"/>
        </w:rPr>
      </w:pPr>
    </w:p>
    <w:p>
      <w:pPr>
        <w:pStyle w:val="4"/>
        <w:spacing w:before="2"/>
        <w:rPr>
          <w:rFonts w:ascii="宋体" w:hAnsi="宋体"/>
          <w:sz w:val="4"/>
        </w:rPr>
      </w:pPr>
    </w:p>
    <w:p>
      <w:pPr>
        <w:pStyle w:val="4"/>
        <w:tabs>
          <w:tab w:val="left" w:pos="4798"/>
        </w:tabs>
        <w:jc w:val="center"/>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
          <w:bCs/>
          <w:sz w:val="48"/>
          <w:szCs w:val="48"/>
          <w:lang w:val="en-US" w:eastAsia="zh-CN"/>
        </w:rPr>
        <w:t>目  录</w:t>
      </w:r>
    </w:p>
    <w:sdt>
      <w:sdtPr>
        <w:rPr>
          <w:rFonts w:ascii="宋体" w:hAnsi="宋体" w:eastAsia="宋体" w:cs="宋体"/>
          <w:sz w:val="21"/>
          <w:szCs w:val="22"/>
          <w:lang w:val="zh-CN" w:eastAsia="zh-CN" w:bidi="zh-CN"/>
        </w:rPr>
        <w:id w:val="147453385"/>
        <w15:color w:val="DBDBDB"/>
        <w:docPartObj>
          <w:docPartGallery w:val="Table of Contents"/>
          <w:docPartUnique/>
        </w:docPartObj>
      </w:sdtPr>
      <w:sdtEndPr>
        <w:rPr>
          <w:rFonts w:hint="eastAsia" w:ascii="宋体" w:hAnsi="宋体" w:eastAsia="方正小标宋简体" w:cs="方正小标宋简体"/>
          <w:bCs/>
          <w:sz w:val="32"/>
          <w:szCs w:val="48"/>
          <w:lang w:val="en-US" w:eastAsia="zh-CN" w:bidi="zh-CN"/>
        </w:rPr>
      </w:sdtEndPr>
      <w:sdtContent>
        <w:p>
          <w:pPr>
            <w:spacing w:before="0" w:beforeLines="0" w:after="0" w:afterLines="0" w:line="240" w:lineRule="auto"/>
            <w:ind w:left="0" w:leftChars="0" w:right="0" w:rightChars="0" w:firstLine="0" w:firstLineChars="0"/>
            <w:jc w:val="center"/>
            <w:rPr>
              <w:rFonts w:ascii="宋体" w:hAnsi="宋体"/>
            </w:rPr>
          </w:pPr>
        </w:p>
        <w:p>
          <w:pPr>
            <w:pStyle w:val="10"/>
            <w:tabs>
              <w:tab w:val="right" w:leader="dot" w:pos="9812"/>
            </w:tabs>
          </w:pPr>
          <w:r>
            <w:rPr>
              <w:rFonts w:hint="eastAsia" w:ascii="宋体" w:hAnsi="宋体" w:eastAsia="方正小标宋简体" w:cs="方正小标宋简体"/>
              <w:b/>
              <w:bCs/>
              <w:sz w:val="48"/>
              <w:szCs w:val="48"/>
              <w:lang w:val="en-US" w:eastAsia="zh-CN"/>
            </w:rPr>
            <w:fldChar w:fldCharType="begin"/>
          </w:r>
          <w:r>
            <w:rPr>
              <w:rFonts w:hint="eastAsia" w:ascii="宋体" w:hAnsi="宋体" w:eastAsia="方正小标宋简体" w:cs="方正小标宋简体"/>
              <w:b/>
              <w:bCs/>
              <w:sz w:val="48"/>
              <w:szCs w:val="48"/>
              <w:lang w:val="en-US" w:eastAsia="zh-CN"/>
            </w:rPr>
            <w:instrText xml:space="preserve">TOC \o "1-3" \h \u </w:instrText>
          </w:r>
          <w:r>
            <w:rPr>
              <w:rFonts w:hint="eastAsia" w:ascii="宋体" w:hAnsi="宋体" w:eastAsia="方正小标宋简体" w:cs="方正小标宋简体"/>
              <w:b/>
              <w:bCs/>
              <w:sz w:val="48"/>
              <w:szCs w:val="48"/>
              <w:lang w:val="en-US" w:eastAsia="zh-CN"/>
            </w:rPr>
            <w:fldChar w:fldCharType="separate"/>
          </w: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_Toc2247 </w:instrText>
          </w:r>
          <w:r>
            <w:rPr>
              <w:rFonts w:hint="eastAsia" w:ascii="宋体" w:hAnsi="宋体" w:eastAsia="方正小标宋简体" w:cs="方正小标宋简体"/>
              <w:bCs/>
              <w:szCs w:val="48"/>
              <w:lang w:val="en-US" w:eastAsia="zh-CN"/>
            </w:rPr>
            <w:fldChar w:fldCharType="separate"/>
          </w:r>
          <w:r>
            <w:rPr>
              <w:rFonts w:hint="eastAsia" w:ascii="宋体" w:hAnsi="宋体" w:eastAsia="方正小标宋简体" w:cs="方正小标宋简体"/>
              <w:bCs/>
              <w:szCs w:val="52"/>
              <w:lang w:val="en-US" w:eastAsia="zh-CN"/>
            </w:rPr>
            <w:t>第一部分 部门概况</w:t>
          </w:r>
          <w:r>
            <w:tab/>
          </w:r>
          <w:r>
            <w:fldChar w:fldCharType="begin"/>
          </w:r>
          <w:r>
            <w:instrText xml:space="preserve"> PAGEREF _Toc2247 \h </w:instrText>
          </w:r>
          <w:r>
            <w:fldChar w:fldCharType="separate"/>
          </w:r>
          <w:r>
            <w:t>1</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_Toc28974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一、基本职能及主要工作</w:t>
          </w:r>
          <w:r>
            <w:tab/>
          </w:r>
          <w:r>
            <w:fldChar w:fldCharType="begin"/>
          </w:r>
          <w:r>
            <w:instrText xml:space="preserve"> PAGEREF _Toc28974 \h </w:instrText>
          </w:r>
          <w:r>
            <w:fldChar w:fldCharType="separate"/>
          </w:r>
          <w:r>
            <w:t>2</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rPr>
              <w:highlight w:val="none"/>
            </w:rPr>
          </w:pPr>
          <w:r>
            <w:rPr>
              <w:rFonts w:hint="eastAsia" w:ascii="宋体" w:hAnsi="宋体" w:eastAsia="方正小标宋简体" w:cs="方正小标宋简体"/>
              <w:bCs/>
              <w:szCs w:val="48"/>
              <w:highlight w:val="none"/>
              <w:lang w:val="en-US" w:eastAsia="zh-CN"/>
            </w:rPr>
            <w:fldChar w:fldCharType="begin"/>
          </w:r>
          <w:r>
            <w:rPr>
              <w:rFonts w:hint="eastAsia" w:ascii="宋体" w:hAnsi="宋体" w:eastAsia="方正小标宋简体" w:cs="方正小标宋简体"/>
              <w:bCs/>
              <w:szCs w:val="48"/>
              <w:highlight w:val="none"/>
              <w:lang w:val="en-US" w:eastAsia="zh-CN"/>
            </w:rPr>
            <w:instrText xml:space="preserve"> HYPERLINK \l _Toc15111 </w:instrText>
          </w:r>
          <w:r>
            <w:rPr>
              <w:rFonts w:hint="eastAsia" w:ascii="宋体" w:hAnsi="宋体" w:eastAsia="方正小标宋简体" w:cs="方正小标宋简体"/>
              <w:bCs/>
              <w:szCs w:val="48"/>
              <w:highlight w:val="none"/>
              <w:lang w:val="en-US" w:eastAsia="zh-CN"/>
            </w:rPr>
            <w:fldChar w:fldCharType="separate"/>
          </w:r>
          <w:r>
            <w:rPr>
              <w:rFonts w:ascii="宋体" w:hAnsi="宋体"/>
              <w:highlight w:val="none"/>
            </w:rPr>
            <w:t>（一）部门职能简介</w:t>
          </w:r>
          <w:r>
            <w:rPr>
              <w:highlight w:val="none"/>
            </w:rPr>
            <w:tab/>
          </w:r>
          <w:r>
            <w:rPr>
              <w:highlight w:val="none"/>
            </w:rPr>
            <w:fldChar w:fldCharType="begin"/>
          </w:r>
          <w:r>
            <w:rPr>
              <w:highlight w:val="none"/>
            </w:rPr>
            <w:instrText xml:space="preserve"> PAGEREF _Toc15111 \h </w:instrText>
          </w:r>
          <w:r>
            <w:rPr>
              <w:highlight w:val="none"/>
            </w:rPr>
            <w:fldChar w:fldCharType="separate"/>
          </w:r>
          <w:r>
            <w:rPr>
              <w:b/>
            </w:rPr>
            <w:t>错误！未定义书签。</w:t>
          </w:r>
          <w:r>
            <w:rPr>
              <w:highlight w:val="none"/>
            </w:rPr>
            <w:fldChar w:fldCharType="end"/>
          </w:r>
          <w:r>
            <w:rPr>
              <w:rFonts w:hint="eastAsia" w:ascii="宋体" w:hAnsi="宋体" w:eastAsia="方正小标宋简体" w:cs="方正小标宋简体"/>
              <w:bCs/>
              <w:szCs w:val="48"/>
              <w:highlight w:val="none"/>
              <w:lang w:val="en-US" w:eastAsia="zh-CN"/>
            </w:rPr>
            <w:fldChar w:fldCharType="end"/>
          </w:r>
        </w:p>
        <w:p>
          <w:pPr>
            <w:pStyle w:val="7"/>
            <w:tabs>
              <w:tab w:val="right" w:leader="dot" w:pos="9812"/>
            </w:tabs>
          </w:pPr>
          <w:r>
            <w:rPr>
              <w:rFonts w:hint="eastAsia" w:ascii="宋体" w:hAnsi="宋体" w:eastAsia="方正小标宋简体" w:cs="方正小标宋简体"/>
              <w:bCs/>
              <w:szCs w:val="48"/>
              <w:highlight w:val="none"/>
              <w:lang w:val="en-US" w:eastAsia="zh-CN"/>
            </w:rPr>
            <w:fldChar w:fldCharType="begin"/>
          </w:r>
          <w:r>
            <w:rPr>
              <w:rFonts w:hint="eastAsia" w:ascii="宋体" w:hAnsi="宋体" w:eastAsia="方正小标宋简体" w:cs="方正小标宋简体"/>
              <w:bCs/>
              <w:szCs w:val="48"/>
              <w:highlight w:val="none"/>
              <w:lang w:val="en-US" w:eastAsia="zh-CN"/>
            </w:rPr>
            <w:instrText xml:space="preserve"> HYPERLINK \l _Toc13885 </w:instrText>
          </w:r>
          <w:r>
            <w:rPr>
              <w:rFonts w:hint="eastAsia" w:ascii="宋体" w:hAnsi="宋体" w:eastAsia="方正小标宋简体" w:cs="方正小标宋简体"/>
              <w:bCs/>
              <w:szCs w:val="48"/>
              <w:highlight w:val="none"/>
              <w:lang w:val="en-US" w:eastAsia="zh-CN"/>
            </w:rPr>
            <w:fldChar w:fldCharType="separate"/>
          </w:r>
          <w:r>
            <w:rPr>
              <w:rFonts w:ascii="宋体" w:hAnsi="宋体"/>
              <w:highlight w:val="none"/>
            </w:rPr>
            <w:t>（二）部门</w:t>
          </w:r>
          <w:r>
            <w:rPr>
              <w:rFonts w:hint="eastAsia" w:ascii="宋体" w:hAnsi="宋体"/>
              <w:highlight w:val="none"/>
              <w:lang w:val="en-US" w:eastAsia="zh-CN"/>
            </w:rPr>
            <w:t>2025</w:t>
          </w:r>
          <w:r>
            <w:rPr>
              <w:rFonts w:ascii="宋体" w:hAnsi="宋体"/>
              <w:highlight w:val="none"/>
            </w:rPr>
            <w:t>年重点工</w:t>
          </w:r>
          <w:r>
            <w:rPr>
              <w:rFonts w:hint="eastAsia" w:ascii="宋体" w:hAnsi="宋体"/>
              <w:highlight w:val="none"/>
            </w:rPr>
            <w:t>作</w:t>
          </w:r>
          <w:r>
            <w:rPr>
              <w:highlight w:val="none"/>
            </w:rPr>
            <w:tab/>
          </w:r>
          <w:r>
            <w:rPr>
              <w:highlight w:val="none"/>
            </w:rPr>
            <w:fldChar w:fldCharType="begin"/>
          </w:r>
          <w:r>
            <w:rPr>
              <w:highlight w:val="none"/>
            </w:rPr>
            <w:instrText xml:space="preserve"> PAGEREF _Toc13885 \h </w:instrText>
          </w:r>
          <w:r>
            <w:rPr>
              <w:highlight w:val="none"/>
            </w:rPr>
            <w:fldChar w:fldCharType="separate"/>
          </w:r>
          <w:r>
            <w:rPr>
              <w:b/>
            </w:rPr>
            <w:t>错误！未定义书签。</w:t>
          </w:r>
          <w:r>
            <w:rPr>
              <w:highlight w:val="none"/>
            </w:rPr>
            <w:fldChar w:fldCharType="end"/>
          </w:r>
          <w:r>
            <w:rPr>
              <w:rFonts w:hint="eastAsia" w:ascii="宋体" w:hAnsi="宋体" w:eastAsia="方正小标宋简体" w:cs="方正小标宋简体"/>
              <w:bCs/>
              <w:szCs w:val="48"/>
              <w:highlight w:val="none"/>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_Toc21640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二、部门预算单位构成</w:t>
          </w:r>
          <w:r>
            <w:tab/>
          </w:r>
          <w:r>
            <w:fldChar w:fldCharType="begin"/>
          </w:r>
          <w:r>
            <w:instrText xml:space="preserve"> PAGEREF _Toc21640 \h </w:instrText>
          </w:r>
          <w:r>
            <w:fldChar w:fldCharType="separate"/>
          </w:r>
          <w:r>
            <w:t>2</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_Toc15185 </w:instrText>
          </w:r>
          <w:r>
            <w:rPr>
              <w:rFonts w:hint="eastAsia" w:ascii="宋体" w:hAnsi="宋体" w:eastAsia="方正小标宋简体" w:cs="方正小标宋简体"/>
              <w:bCs/>
              <w:szCs w:val="48"/>
              <w:lang w:val="en-US" w:eastAsia="zh-CN"/>
            </w:rPr>
            <w:fldChar w:fldCharType="separate"/>
          </w:r>
          <w:r>
            <w:rPr>
              <w:rFonts w:hint="eastAsia" w:ascii="宋体" w:hAnsi="宋体" w:eastAsia="方正小标宋简体" w:cs="方正小标宋简体"/>
              <w:bCs/>
              <w:szCs w:val="52"/>
              <w:lang w:val="en-US" w:eastAsia="zh-CN"/>
            </w:rPr>
            <w:t>第二部分 五通桥区城市管理监察大队2025年部门预算表</w:t>
          </w:r>
          <w:r>
            <w:tab/>
          </w:r>
          <w:r>
            <w:fldChar w:fldCharType="begin"/>
          </w:r>
          <w:r>
            <w:instrText xml:space="preserve"> PAGEREF _Toc15185 \h </w:instrText>
          </w:r>
          <w:r>
            <w:fldChar w:fldCharType="separate"/>
          </w:r>
          <w:r>
            <w:t>5</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_Toc11696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一、收支预算总表（收支总表1）</w:t>
          </w:r>
          <w:r>
            <w:tab/>
          </w:r>
          <w:r>
            <w:fldChar w:fldCharType="begin"/>
          </w:r>
          <w:r>
            <w:instrText xml:space="preserve"> PAGEREF _Toc11696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_Toc24403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二、收入预算总表（收入总表2）</w:t>
          </w:r>
          <w:r>
            <w:tab/>
          </w:r>
          <w:r>
            <w:fldChar w:fldCharType="begin"/>
          </w:r>
          <w:r>
            <w:instrText xml:space="preserve"> PAGEREF _Toc24403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_Toc31065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三、征收预期表（征收预期3）</w:t>
          </w:r>
          <w:r>
            <w:tab/>
          </w:r>
          <w:r>
            <w:fldChar w:fldCharType="begin"/>
          </w:r>
          <w:r>
            <w:instrText xml:space="preserve"> PAGEREF _Toc31065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_Toc748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四、支出预算总表（支出总表4）</w:t>
          </w:r>
          <w:r>
            <w:tab/>
          </w:r>
          <w:r>
            <w:fldChar w:fldCharType="begin"/>
          </w:r>
          <w:r>
            <w:instrText xml:space="preserve"> PAGEREF _Toc748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_Toc29172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五、财政拨款预算总表（财拨总表5）</w:t>
          </w:r>
          <w:r>
            <w:tab/>
          </w:r>
          <w:r>
            <w:fldChar w:fldCharType="begin"/>
          </w:r>
          <w:r>
            <w:instrText xml:space="preserve"> PAGEREF _Toc29172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_Toc2440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六、一般公共预算支出表（一般预算支出6）</w:t>
          </w:r>
          <w:r>
            <w:tab/>
          </w:r>
          <w:r>
            <w:fldChar w:fldCharType="begin"/>
          </w:r>
          <w:r>
            <w:instrText xml:space="preserve"> PAGEREF _Toc2440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_Toc15605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七、一般公共预算基本支出表（基本支出7）</w:t>
          </w:r>
          <w:r>
            <w:tab/>
          </w:r>
          <w:r>
            <w:fldChar w:fldCharType="begin"/>
          </w:r>
          <w:r>
            <w:instrText xml:space="preserve"> PAGEREF _Toc15605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_Toc31647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八、一般公共预算“三公”经费支出预算表（三公8）</w:t>
          </w:r>
          <w:r>
            <w:tab/>
          </w:r>
          <w:r>
            <w:fldChar w:fldCharType="begin"/>
          </w:r>
          <w:r>
            <w:instrText xml:space="preserve"> PAGEREF _Toc31647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_Toc7813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九、政府性基金预算支出表（基金9）</w:t>
          </w:r>
          <w:r>
            <w:tab/>
          </w:r>
          <w:r>
            <w:fldChar w:fldCharType="begin"/>
          </w:r>
          <w:r>
            <w:instrText xml:space="preserve"> PAGEREF _Toc7813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_Toc7191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十、国有资本经营预算支出表（国资10）</w:t>
          </w:r>
          <w:r>
            <w:tab/>
          </w:r>
          <w:r>
            <w:fldChar w:fldCharType="begin"/>
          </w:r>
          <w:r>
            <w:instrText xml:space="preserve"> PAGEREF _Toc7191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_Toc10179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十一、支出功能分类预算表（支出功能11）</w:t>
          </w:r>
          <w:r>
            <w:tab/>
          </w:r>
          <w:r>
            <w:fldChar w:fldCharType="begin"/>
          </w:r>
          <w:r>
            <w:instrText xml:space="preserve"> PAGEREF _Toc10179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_Toc4612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十二、支出经济分类预算表（支出经济分类12）</w:t>
          </w:r>
          <w:r>
            <w:tab/>
          </w:r>
          <w:r>
            <w:fldChar w:fldCharType="begin"/>
          </w:r>
          <w:r>
            <w:instrText xml:space="preserve"> PAGEREF _Toc4612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_Toc7204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十三、上级资金安排情况表（上级资金安排13）</w:t>
          </w:r>
          <w:r>
            <w:tab/>
          </w:r>
          <w:r>
            <w:fldChar w:fldCharType="begin"/>
          </w:r>
          <w:r>
            <w:instrText xml:space="preserve"> PAGEREF _Toc7204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_Toc4364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十四、项目支出表（项目支出14）</w:t>
          </w:r>
          <w:r>
            <w:tab/>
          </w:r>
          <w:r>
            <w:fldChar w:fldCharType="begin"/>
          </w:r>
          <w:r>
            <w:instrText xml:space="preserve"> PAGEREF _Toc4364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_Toc28331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十六、政府购买服务预算表（购买服务16）</w:t>
          </w:r>
          <w:r>
            <w:tab/>
          </w:r>
          <w:r>
            <w:fldChar w:fldCharType="begin"/>
          </w:r>
          <w:r>
            <w:instrText xml:space="preserve"> PAGEREF _Toc28331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_Toc32309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十七、采购需求表（采购需求表17）</w:t>
          </w:r>
          <w:r>
            <w:tab/>
          </w:r>
          <w:r>
            <w:fldChar w:fldCharType="begin"/>
          </w:r>
          <w:r>
            <w:instrText xml:space="preserve"> PAGEREF _Toc32309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_Toc32276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十八、国有资产配置预算表（资产18）</w:t>
          </w:r>
          <w:r>
            <w:tab/>
          </w:r>
          <w:r>
            <w:fldChar w:fldCharType="begin"/>
          </w:r>
          <w:r>
            <w:instrText xml:space="preserve"> PAGEREF _Toc32276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_Toc15343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十九、项目支出绩效表（项目绩效19）</w:t>
          </w:r>
          <w:r>
            <w:tab/>
          </w:r>
          <w:r>
            <w:fldChar w:fldCharType="begin"/>
          </w:r>
          <w:r>
            <w:instrText xml:space="preserve"> PAGEREF _Toc15343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_Toc12073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二十、部门绩效表（部门绩效20）</w:t>
          </w:r>
          <w:r>
            <w:tab/>
          </w:r>
          <w:r>
            <w:fldChar w:fldCharType="begin"/>
          </w:r>
          <w:r>
            <w:instrText xml:space="preserve"> PAGEREF _Toc12073 \h </w:instrText>
          </w:r>
          <w:r>
            <w:fldChar w:fldCharType="separate"/>
          </w:r>
          <w:r>
            <w:t>7</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_Toc24463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二十一、年初政府采购项目预算表（政府采购项目预算表21）</w:t>
          </w:r>
          <w:r>
            <w:tab/>
          </w:r>
          <w:r>
            <w:fldChar w:fldCharType="begin"/>
          </w:r>
          <w:r>
            <w:instrText xml:space="preserve"> PAGEREF _Toc24463 \h </w:instrText>
          </w:r>
          <w:r>
            <w:fldChar w:fldCharType="separate"/>
          </w:r>
          <w:r>
            <w:t>7</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_Toc16079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二十二、2025-2027年支出计划总表（三年计划总表22）</w:t>
          </w:r>
          <w:r>
            <w:tab/>
          </w:r>
          <w:r>
            <w:fldChar w:fldCharType="begin"/>
          </w:r>
          <w:r>
            <w:instrText xml:space="preserve"> PAGEREF _Toc16079 \h </w:instrText>
          </w:r>
          <w:r>
            <w:fldChar w:fldCharType="separate"/>
          </w:r>
          <w:r>
            <w:t>7</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_Toc25506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二十三、2025-2027年支出计划明细表（三年计划明细表23）</w:t>
          </w:r>
          <w:r>
            <w:tab/>
          </w:r>
          <w:r>
            <w:fldChar w:fldCharType="begin"/>
          </w:r>
          <w:r>
            <w:instrText xml:space="preserve"> PAGEREF _Toc25506 \h </w:instrText>
          </w:r>
          <w:r>
            <w:fldChar w:fldCharType="separate"/>
          </w:r>
          <w:r>
            <w:t>7</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_Toc12703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二十四、人员和车辆基本情况表（人员24）</w:t>
          </w:r>
          <w:r>
            <w:tab/>
          </w:r>
          <w:r>
            <w:fldChar w:fldCharType="begin"/>
          </w:r>
          <w:r>
            <w:instrText xml:space="preserve"> PAGEREF _Toc12703 \h </w:instrText>
          </w:r>
          <w:r>
            <w:fldChar w:fldCharType="separate"/>
          </w:r>
          <w:r>
            <w:t>7</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_Toc17846 </w:instrText>
          </w:r>
          <w:r>
            <w:rPr>
              <w:rFonts w:hint="eastAsia" w:ascii="宋体" w:hAnsi="宋体" w:eastAsia="方正小标宋简体" w:cs="方正小标宋简体"/>
              <w:bCs/>
              <w:szCs w:val="48"/>
              <w:lang w:val="en-US" w:eastAsia="zh-CN"/>
            </w:rPr>
            <w:fldChar w:fldCharType="separate"/>
          </w:r>
          <w:r>
            <w:rPr>
              <w:rFonts w:hint="eastAsia" w:ascii="宋体" w:hAnsi="宋体"/>
              <w:bCs/>
              <w:lang w:val="en-US" w:eastAsia="zh-CN"/>
            </w:rPr>
            <w:t>以上所有表格详见部门说明后附件。</w:t>
          </w:r>
          <w:r>
            <w:tab/>
          </w:r>
          <w:r>
            <w:fldChar w:fldCharType="begin"/>
          </w:r>
          <w:r>
            <w:instrText xml:space="preserve"> PAGEREF _Toc17846 \h </w:instrText>
          </w:r>
          <w:r>
            <w:fldChar w:fldCharType="separate"/>
          </w:r>
          <w:r>
            <w:t>7</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_Toc13561 </w:instrText>
          </w:r>
          <w:r>
            <w:rPr>
              <w:rFonts w:hint="eastAsia" w:ascii="宋体" w:hAnsi="宋体" w:eastAsia="方正小标宋简体" w:cs="方正小标宋简体"/>
              <w:bCs/>
              <w:szCs w:val="48"/>
              <w:lang w:val="en-US" w:eastAsia="zh-CN"/>
            </w:rPr>
            <w:fldChar w:fldCharType="separate"/>
          </w:r>
          <w:r>
            <w:rPr>
              <w:rFonts w:hint="eastAsia" w:ascii="宋体" w:hAnsi="宋体" w:eastAsia="方正小标宋简体" w:cs="方正小标宋简体"/>
              <w:szCs w:val="36"/>
              <w:lang w:val="en-US" w:eastAsia="zh-CN"/>
            </w:rPr>
            <w:t>第三部分 五通桥区城市管理监察大队2025年</w:t>
          </w:r>
          <w:r>
            <w:tab/>
          </w:r>
          <w:r>
            <w:fldChar w:fldCharType="begin"/>
          </w:r>
          <w:r>
            <w:instrText xml:space="preserve"> PAGEREF _Toc13561 \h </w:instrText>
          </w:r>
          <w:r>
            <w:fldChar w:fldCharType="separate"/>
          </w:r>
          <w:r>
            <w:t>8</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_Toc13196 </w:instrText>
          </w:r>
          <w:r>
            <w:rPr>
              <w:rFonts w:hint="eastAsia" w:ascii="宋体" w:hAnsi="宋体" w:eastAsia="方正小标宋简体" w:cs="方正小标宋简体"/>
              <w:bCs/>
              <w:szCs w:val="48"/>
              <w:lang w:val="en-US" w:eastAsia="zh-CN"/>
            </w:rPr>
            <w:fldChar w:fldCharType="separate"/>
          </w:r>
          <w:r>
            <w:rPr>
              <w:rFonts w:hint="eastAsia" w:ascii="宋体" w:hAnsi="宋体" w:eastAsia="方正小标宋简体" w:cs="方正小标宋简体"/>
              <w:szCs w:val="36"/>
              <w:lang w:val="en-US" w:eastAsia="zh-CN"/>
            </w:rPr>
            <w:t>预算情况说明</w:t>
          </w:r>
          <w:r>
            <w:tab/>
          </w:r>
          <w:r>
            <w:fldChar w:fldCharType="begin"/>
          </w:r>
          <w:r>
            <w:instrText xml:space="preserve"> PAGEREF _Toc13196 \h </w:instrText>
          </w:r>
          <w:r>
            <w:fldChar w:fldCharType="separate"/>
          </w:r>
          <w:r>
            <w:t>8</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_Toc9712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一、收支预算情况说明</w:t>
          </w:r>
          <w:r>
            <w:tab/>
          </w:r>
          <w:r>
            <w:fldChar w:fldCharType="begin"/>
          </w:r>
          <w:r>
            <w:instrText xml:space="preserve"> PAGEREF _Toc9712 \h </w:instrText>
          </w:r>
          <w:r>
            <w:fldChar w:fldCharType="separate"/>
          </w:r>
          <w:r>
            <w:t>9</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_Toc19161 </w:instrText>
          </w:r>
          <w:r>
            <w:rPr>
              <w:rFonts w:hint="eastAsia" w:ascii="宋体" w:hAnsi="宋体" w:eastAsia="方正小标宋简体" w:cs="方正小标宋简体"/>
              <w:bCs/>
              <w:szCs w:val="48"/>
              <w:lang w:val="en-US" w:eastAsia="zh-CN"/>
            </w:rPr>
            <w:fldChar w:fldCharType="separate"/>
          </w:r>
          <w:r>
            <w:rPr>
              <w:rFonts w:ascii="宋体" w:hAnsi="宋体"/>
            </w:rPr>
            <w:t>（一）收入预算情况</w:t>
          </w:r>
          <w:r>
            <w:tab/>
          </w:r>
          <w:r>
            <w:fldChar w:fldCharType="begin"/>
          </w:r>
          <w:r>
            <w:instrText xml:space="preserve"> PAGEREF _Toc19161 \h </w:instrText>
          </w:r>
          <w:r>
            <w:fldChar w:fldCharType="separate"/>
          </w:r>
          <w:r>
            <w:t>9</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_Toc21650 </w:instrText>
          </w:r>
          <w:r>
            <w:rPr>
              <w:rFonts w:hint="eastAsia" w:ascii="宋体" w:hAnsi="宋体" w:eastAsia="方正小标宋简体" w:cs="方正小标宋简体"/>
              <w:bCs/>
              <w:szCs w:val="48"/>
              <w:lang w:val="en-US" w:eastAsia="zh-CN"/>
            </w:rPr>
            <w:fldChar w:fldCharType="separate"/>
          </w:r>
          <w:r>
            <w:rPr>
              <w:rFonts w:ascii="宋体" w:hAnsi="宋体"/>
            </w:rPr>
            <w:t>（二）支出预算情况</w:t>
          </w:r>
          <w:r>
            <w:tab/>
          </w:r>
          <w:r>
            <w:fldChar w:fldCharType="begin"/>
          </w:r>
          <w:r>
            <w:instrText xml:space="preserve"> PAGEREF _Toc21650 \h </w:instrText>
          </w:r>
          <w:r>
            <w:fldChar w:fldCharType="separate"/>
          </w:r>
          <w:r>
            <w:t>9</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_Toc18424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二、财政拨款收支预算情况说明</w:t>
          </w:r>
          <w:r>
            <w:tab/>
          </w:r>
          <w:r>
            <w:fldChar w:fldCharType="begin"/>
          </w:r>
          <w:r>
            <w:instrText xml:space="preserve"> PAGEREF _Toc18424 \h </w:instrText>
          </w:r>
          <w:r>
            <w:fldChar w:fldCharType="separate"/>
          </w:r>
          <w:r>
            <w:t>9</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_Toc3658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三、一般公共预算当年拨款情况说明</w:t>
          </w:r>
          <w:r>
            <w:tab/>
          </w:r>
          <w:r>
            <w:fldChar w:fldCharType="begin"/>
          </w:r>
          <w:r>
            <w:instrText xml:space="preserve"> PAGEREF _Toc3658 \h </w:instrText>
          </w:r>
          <w:r>
            <w:fldChar w:fldCharType="separate"/>
          </w:r>
          <w:r>
            <w:t>10</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_Toc9016 </w:instrText>
          </w:r>
          <w:r>
            <w:rPr>
              <w:rFonts w:hint="eastAsia" w:ascii="宋体" w:hAnsi="宋体" w:eastAsia="方正小标宋简体" w:cs="方正小标宋简体"/>
              <w:bCs/>
              <w:szCs w:val="48"/>
              <w:lang w:val="en-US" w:eastAsia="zh-CN"/>
            </w:rPr>
            <w:fldChar w:fldCharType="separate"/>
          </w:r>
          <w:r>
            <w:rPr>
              <w:rFonts w:ascii="宋体" w:hAnsi="宋体"/>
            </w:rPr>
            <w:t>（一）一般公共预算当年拨款规模变化情况</w:t>
          </w:r>
          <w:r>
            <w:tab/>
          </w:r>
          <w:r>
            <w:fldChar w:fldCharType="begin"/>
          </w:r>
          <w:r>
            <w:instrText xml:space="preserve"> PAGEREF _Toc9016 \h </w:instrText>
          </w:r>
          <w:r>
            <w:fldChar w:fldCharType="separate"/>
          </w:r>
          <w:r>
            <w:t>10</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_Toc4207 </w:instrText>
          </w:r>
          <w:r>
            <w:rPr>
              <w:rFonts w:hint="eastAsia" w:ascii="宋体" w:hAnsi="宋体" w:eastAsia="方正小标宋简体" w:cs="方正小标宋简体"/>
              <w:bCs/>
              <w:szCs w:val="48"/>
              <w:lang w:val="en-US" w:eastAsia="zh-CN"/>
            </w:rPr>
            <w:fldChar w:fldCharType="separate"/>
          </w:r>
          <w:r>
            <w:rPr>
              <w:rFonts w:ascii="宋体" w:hAnsi="宋体"/>
            </w:rPr>
            <w:t>（二）一般公共预算当年拨款结构情况</w:t>
          </w:r>
          <w:r>
            <w:tab/>
          </w:r>
          <w:r>
            <w:fldChar w:fldCharType="begin"/>
          </w:r>
          <w:r>
            <w:instrText xml:space="preserve"> PAGEREF _Toc4207 \h </w:instrText>
          </w:r>
          <w:r>
            <w:fldChar w:fldCharType="separate"/>
          </w:r>
          <w:r>
            <w:t>10</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_Toc22967 </w:instrText>
          </w:r>
          <w:r>
            <w:rPr>
              <w:rFonts w:hint="eastAsia" w:ascii="宋体" w:hAnsi="宋体" w:eastAsia="方正小标宋简体" w:cs="方正小标宋简体"/>
              <w:bCs/>
              <w:szCs w:val="48"/>
              <w:lang w:val="en-US" w:eastAsia="zh-CN"/>
            </w:rPr>
            <w:fldChar w:fldCharType="separate"/>
          </w:r>
          <w:r>
            <w:rPr>
              <w:rFonts w:ascii="宋体" w:hAnsi="宋体"/>
            </w:rPr>
            <w:t>（三）一般公共预算当年拨款具体使用情况</w:t>
          </w:r>
          <w:r>
            <w:tab/>
          </w:r>
          <w:r>
            <w:fldChar w:fldCharType="begin"/>
          </w:r>
          <w:r>
            <w:instrText xml:space="preserve"> PAGEREF _Toc22967 \h </w:instrText>
          </w:r>
          <w:r>
            <w:fldChar w:fldCharType="separate"/>
          </w:r>
          <w:r>
            <w:t>11</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_Toc19523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四、一般公共预算基本支出情况说明</w:t>
          </w:r>
          <w:r>
            <w:tab/>
          </w:r>
          <w:r>
            <w:fldChar w:fldCharType="begin"/>
          </w:r>
          <w:r>
            <w:instrText xml:space="preserve"> PAGEREF _Toc19523 \h </w:instrText>
          </w:r>
          <w:r>
            <w:fldChar w:fldCharType="separate"/>
          </w:r>
          <w:r>
            <w:t>12</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_Toc17891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五、“三公”经费财政拨款预算安排情况说明</w:t>
          </w:r>
          <w:r>
            <w:tab/>
          </w:r>
          <w:r>
            <w:fldChar w:fldCharType="begin"/>
          </w:r>
          <w:r>
            <w:instrText xml:space="preserve"> PAGEREF _Toc17891 \h </w:instrText>
          </w:r>
          <w:r>
            <w:fldChar w:fldCharType="separate"/>
          </w:r>
          <w:r>
            <w:t>13</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_Toc28651 </w:instrText>
          </w:r>
          <w:r>
            <w:rPr>
              <w:rFonts w:hint="eastAsia" w:ascii="宋体" w:hAnsi="宋体" w:eastAsia="方正小标宋简体" w:cs="方正小标宋简体"/>
              <w:bCs/>
              <w:szCs w:val="48"/>
              <w:lang w:val="en-US" w:eastAsia="zh-CN"/>
            </w:rPr>
            <w:fldChar w:fldCharType="separate"/>
          </w:r>
          <w:r>
            <w:rPr>
              <w:rFonts w:ascii="宋体" w:hAnsi="宋体"/>
            </w:rPr>
            <w:t>（一）</w:t>
          </w:r>
          <w:r>
            <w:rPr>
              <w:rFonts w:hint="eastAsia" w:ascii="宋体" w:hAnsi="宋体"/>
              <w:lang w:val="en-US" w:eastAsia="zh-CN"/>
            </w:rPr>
            <w:t>公务接待费变化情况</w:t>
          </w:r>
          <w:r>
            <w:tab/>
          </w:r>
          <w:r>
            <w:fldChar w:fldCharType="begin"/>
          </w:r>
          <w:r>
            <w:instrText xml:space="preserve"> PAGEREF _Toc28651 \h </w:instrText>
          </w:r>
          <w:r>
            <w:fldChar w:fldCharType="separate"/>
          </w:r>
          <w:r>
            <w:t>13</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_Toc19725 </w:instrText>
          </w:r>
          <w:r>
            <w:rPr>
              <w:rFonts w:hint="eastAsia" w:ascii="宋体" w:hAnsi="宋体" w:eastAsia="方正小标宋简体" w:cs="方正小标宋简体"/>
              <w:bCs/>
              <w:szCs w:val="48"/>
              <w:lang w:val="en-US" w:eastAsia="zh-CN"/>
            </w:rPr>
            <w:fldChar w:fldCharType="separate"/>
          </w:r>
          <w:r>
            <w:rPr>
              <w:rFonts w:ascii="宋体" w:hAnsi="宋体"/>
            </w:rPr>
            <w:t>（</w:t>
          </w:r>
          <w:r>
            <w:rPr>
              <w:rFonts w:hint="eastAsia" w:ascii="宋体" w:hAnsi="宋体"/>
              <w:lang w:val="en-US" w:eastAsia="zh-CN"/>
            </w:rPr>
            <w:t>二</w:t>
          </w:r>
          <w:r>
            <w:rPr>
              <w:rFonts w:ascii="宋体" w:hAnsi="宋体"/>
            </w:rPr>
            <w:t>）</w:t>
          </w:r>
          <w:r>
            <w:rPr>
              <w:rFonts w:hint="eastAsia" w:ascii="宋体" w:hAnsi="宋体"/>
              <w:lang w:val="en-US" w:eastAsia="zh-CN"/>
            </w:rPr>
            <w:t>公务用车购置及运行维护费变化情况</w:t>
          </w:r>
          <w:r>
            <w:tab/>
          </w:r>
          <w:r>
            <w:fldChar w:fldCharType="begin"/>
          </w:r>
          <w:r>
            <w:instrText xml:space="preserve"> PAGEREF _Toc19725 \h </w:instrText>
          </w:r>
          <w:r>
            <w:fldChar w:fldCharType="separate"/>
          </w:r>
          <w:r>
            <w:t>13</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_Toc1064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六、政府性基金预算支出情况说明</w:t>
          </w:r>
          <w:r>
            <w:tab/>
          </w:r>
          <w:r>
            <w:fldChar w:fldCharType="begin"/>
          </w:r>
          <w:r>
            <w:instrText xml:space="preserve"> PAGEREF _Toc1064 \h </w:instrText>
          </w:r>
          <w:r>
            <w:fldChar w:fldCharType="separate"/>
          </w:r>
          <w:r>
            <w:t>14</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_Toc4804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lang w:val="en-US" w:eastAsia="zh-CN"/>
            </w:rPr>
            <w:t>七、</w:t>
          </w:r>
          <w:r>
            <w:rPr>
              <w:rFonts w:hint="eastAsia" w:ascii="宋体" w:hAnsi="宋体" w:eastAsia="黑体"/>
            </w:rPr>
            <w:t>国有资本经营预算情况说明</w:t>
          </w:r>
          <w:r>
            <w:tab/>
          </w:r>
          <w:r>
            <w:fldChar w:fldCharType="begin"/>
          </w:r>
          <w:r>
            <w:instrText xml:space="preserve"> PAGEREF _Toc4804 \h </w:instrText>
          </w:r>
          <w:r>
            <w:fldChar w:fldCharType="separate"/>
          </w:r>
          <w:r>
            <w:t>14</w:t>
          </w:r>
          <w:r>
            <w:fldChar w:fldCharType="end"/>
          </w:r>
          <w:r>
            <w:rPr>
              <w:rFonts w:hint="eastAsia" w:ascii="宋体" w:hAnsi="宋体" w:eastAsia="方正小标宋简体" w:cs="方正小标宋简体"/>
              <w:bCs/>
              <w:szCs w:val="48"/>
              <w:lang w:val="en-US" w:eastAsia="zh-CN"/>
            </w:rPr>
            <w:fldChar w:fldCharType="end"/>
          </w:r>
        </w:p>
        <w:p>
          <w:pPr>
            <w:pStyle w:val="11"/>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_Toc11482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lang w:val="en-US" w:eastAsia="zh-CN"/>
            </w:rPr>
            <w:t>八、其他重要事项的情况说明</w:t>
          </w:r>
          <w:r>
            <w:tab/>
          </w:r>
          <w:r>
            <w:fldChar w:fldCharType="begin"/>
          </w:r>
          <w:r>
            <w:instrText xml:space="preserve"> PAGEREF _Toc11482 \h </w:instrText>
          </w:r>
          <w:r>
            <w:fldChar w:fldCharType="separate"/>
          </w:r>
          <w:r>
            <w:t>14</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_Toc10187 </w:instrText>
          </w:r>
          <w:r>
            <w:rPr>
              <w:rFonts w:hint="eastAsia" w:ascii="宋体" w:hAnsi="宋体" w:eastAsia="方正小标宋简体" w:cs="方正小标宋简体"/>
              <w:bCs/>
              <w:szCs w:val="48"/>
              <w:lang w:val="en-US" w:eastAsia="zh-CN"/>
            </w:rPr>
            <w:fldChar w:fldCharType="separate"/>
          </w:r>
          <w:r>
            <w:rPr>
              <w:rFonts w:ascii="宋体" w:hAnsi="宋体"/>
            </w:rPr>
            <w:t>（一）机关运行经费情况</w:t>
          </w:r>
          <w:r>
            <w:tab/>
          </w:r>
          <w:r>
            <w:fldChar w:fldCharType="begin"/>
          </w:r>
          <w:r>
            <w:instrText xml:space="preserve"> PAGEREF _Toc10187 \h </w:instrText>
          </w:r>
          <w:r>
            <w:fldChar w:fldCharType="separate"/>
          </w:r>
          <w:r>
            <w:t>14</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_Toc19089 </w:instrText>
          </w:r>
          <w:r>
            <w:rPr>
              <w:rFonts w:hint="eastAsia" w:ascii="宋体" w:hAnsi="宋体" w:eastAsia="方正小标宋简体" w:cs="方正小标宋简体"/>
              <w:bCs/>
              <w:szCs w:val="48"/>
              <w:lang w:val="en-US" w:eastAsia="zh-CN"/>
            </w:rPr>
            <w:fldChar w:fldCharType="separate"/>
          </w:r>
          <w:r>
            <w:rPr>
              <w:rFonts w:ascii="宋体" w:hAnsi="宋体"/>
            </w:rPr>
            <w:t>（二）政府采购情况</w:t>
          </w:r>
          <w:r>
            <w:tab/>
          </w:r>
          <w:r>
            <w:fldChar w:fldCharType="begin"/>
          </w:r>
          <w:r>
            <w:instrText xml:space="preserve"> PAGEREF _Toc19089 \h </w:instrText>
          </w:r>
          <w:r>
            <w:fldChar w:fldCharType="separate"/>
          </w:r>
          <w:r>
            <w:t>15</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_Toc6623 </w:instrText>
          </w:r>
          <w:r>
            <w:rPr>
              <w:rFonts w:hint="eastAsia" w:ascii="宋体" w:hAnsi="宋体" w:eastAsia="方正小标宋简体" w:cs="方正小标宋简体"/>
              <w:bCs/>
              <w:szCs w:val="48"/>
              <w:lang w:val="en-US" w:eastAsia="zh-CN"/>
            </w:rPr>
            <w:fldChar w:fldCharType="separate"/>
          </w:r>
          <w:r>
            <w:rPr>
              <w:rFonts w:ascii="宋体" w:hAnsi="宋体"/>
            </w:rPr>
            <w:t>（三）国有资产占有使用情况</w:t>
          </w:r>
          <w:r>
            <w:tab/>
          </w:r>
          <w:r>
            <w:fldChar w:fldCharType="begin"/>
          </w:r>
          <w:r>
            <w:instrText xml:space="preserve"> PAGEREF _Toc6623 \h </w:instrText>
          </w:r>
          <w:r>
            <w:fldChar w:fldCharType="separate"/>
          </w:r>
          <w:r>
            <w:t>15</w:t>
          </w:r>
          <w:r>
            <w:fldChar w:fldCharType="end"/>
          </w:r>
          <w:r>
            <w:rPr>
              <w:rFonts w:hint="eastAsia" w:ascii="宋体" w:hAnsi="宋体" w:eastAsia="方正小标宋简体" w:cs="方正小标宋简体"/>
              <w:bCs/>
              <w:szCs w:val="48"/>
              <w:lang w:val="en-US" w:eastAsia="zh-CN"/>
            </w:rPr>
            <w:fldChar w:fldCharType="end"/>
          </w:r>
        </w:p>
        <w:p>
          <w:pPr>
            <w:pStyle w:val="7"/>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_Toc28094 </w:instrText>
          </w:r>
          <w:r>
            <w:rPr>
              <w:rFonts w:hint="eastAsia" w:ascii="宋体" w:hAnsi="宋体" w:eastAsia="方正小标宋简体" w:cs="方正小标宋简体"/>
              <w:bCs/>
              <w:szCs w:val="48"/>
              <w:lang w:val="en-US" w:eastAsia="zh-CN"/>
            </w:rPr>
            <w:fldChar w:fldCharType="separate"/>
          </w:r>
          <w:r>
            <w:rPr>
              <w:rFonts w:hint="eastAsia" w:ascii="宋体" w:hAnsi="宋体"/>
              <w:lang w:eastAsia="zh-CN"/>
            </w:rPr>
            <w:t>（</w:t>
          </w:r>
          <w:r>
            <w:rPr>
              <w:rFonts w:hint="eastAsia" w:ascii="宋体" w:hAnsi="宋体"/>
              <w:lang w:val="en-US" w:eastAsia="zh-CN"/>
            </w:rPr>
            <w:t>四</w:t>
          </w:r>
          <w:r>
            <w:rPr>
              <w:rFonts w:hint="eastAsia" w:ascii="宋体" w:hAnsi="宋体"/>
              <w:lang w:eastAsia="zh-CN"/>
            </w:rPr>
            <w:t>）</w:t>
          </w:r>
          <w:r>
            <w:rPr>
              <w:rFonts w:ascii="宋体" w:hAnsi="宋体"/>
            </w:rPr>
            <w:t>预算绩效情况</w:t>
          </w:r>
          <w:r>
            <w:tab/>
          </w:r>
          <w:r>
            <w:fldChar w:fldCharType="begin"/>
          </w:r>
          <w:r>
            <w:instrText xml:space="preserve"> PAGEREF _Toc28094 \h </w:instrText>
          </w:r>
          <w:r>
            <w:fldChar w:fldCharType="separate"/>
          </w:r>
          <w:r>
            <w:t>15</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_Toc12984 </w:instrText>
          </w:r>
          <w:r>
            <w:rPr>
              <w:rFonts w:hint="eastAsia" w:ascii="宋体" w:hAnsi="宋体" w:eastAsia="方正小标宋简体" w:cs="方正小标宋简体"/>
              <w:bCs/>
              <w:szCs w:val="48"/>
              <w:lang w:val="en-US" w:eastAsia="zh-CN"/>
            </w:rPr>
            <w:fldChar w:fldCharType="separate"/>
          </w:r>
          <w:r>
            <w:rPr>
              <w:rFonts w:hint="eastAsia" w:ascii="宋体" w:hAnsi="宋体" w:eastAsia="方正小标宋简体" w:cs="方正小标宋简体"/>
              <w:szCs w:val="52"/>
              <w:lang w:val="en-US" w:eastAsia="zh-CN"/>
            </w:rPr>
            <w:t>第四部分  名词解释</w:t>
          </w:r>
          <w:r>
            <w:tab/>
          </w:r>
          <w:r>
            <w:fldChar w:fldCharType="begin"/>
          </w:r>
          <w:r>
            <w:instrText xml:space="preserve"> PAGEREF _Toc12984 \h </w:instrText>
          </w:r>
          <w:r>
            <w:fldChar w:fldCharType="separate"/>
          </w:r>
          <w:r>
            <w:t>16</w:t>
          </w:r>
          <w:r>
            <w:fldChar w:fldCharType="end"/>
          </w:r>
          <w:r>
            <w:rPr>
              <w:rFonts w:hint="eastAsia" w:ascii="宋体" w:hAnsi="宋体" w:eastAsia="方正小标宋简体" w:cs="方正小标宋简体"/>
              <w:bCs/>
              <w:szCs w:val="48"/>
              <w:lang w:val="en-US" w:eastAsia="zh-CN"/>
            </w:rPr>
            <w:fldChar w:fldCharType="end"/>
          </w:r>
        </w:p>
        <w:p>
          <w:pPr>
            <w:pStyle w:val="4"/>
            <w:tabs>
              <w:tab w:val="left" w:pos="4798"/>
            </w:tabs>
            <w:jc w:val="both"/>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Cs/>
              <w:szCs w:val="48"/>
              <w:lang w:val="en-US" w:eastAsia="zh-CN"/>
            </w:rPr>
            <w:fldChar w:fldCharType="end"/>
          </w:r>
        </w:p>
      </w:sdtContent>
    </w:sdt>
    <w:p>
      <w:pPr>
        <w:pStyle w:val="4"/>
        <w:rPr>
          <w:rFonts w:ascii="宋体" w:hAnsi="宋体"/>
          <w:sz w:val="20"/>
        </w:rPr>
        <w:sectPr>
          <w:headerReference r:id="rId5" w:type="default"/>
          <w:footerReference r:id="rId6" w:type="default"/>
          <w:pgSz w:w="11910" w:h="16840"/>
          <w:pgMar w:top="1587" w:right="964" w:bottom="1701" w:left="1134" w:header="737" w:footer="737" w:gutter="0"/>
          <w:pgNumType w:fmt="decimal" w:start="1"/>
          <w:cols w:space="0" w:num="1"/>
          <w:rtlGutter w:val="0"/>
          <w:docGrid w:linePitch="0" w:charSpace="0"/>
        </w:sect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spacing w:before="3"/>
        <w:rPr>
          <w:rFonts w:ascii="宋体" w:hAnsi="宋体"/>
          <w:sz w:val="28"/>
        </w:rPr>
      </w:pPr>
    </w:p>
    <w:p>
      <w:pPr>
        <w:pStyle w:val="4"/>
        <w:numPr>
          <w:ilvl w:val="0"/>
          <w:numId w:val="1"/>
        </w:numPr>
        <w:jc w:val="center"/>
        <w:outlineLvl w:val="0"/>
        <w:rPr>
          <w:rFonts w:hint="eastAsia" w:ascii="宋体" w:hAnsi="宋体" w:eastAsia="方正小标宋简体" w:cs="方正小标宋简体"/>
          <w:b/>
          <w:bCs/>
          <w:sz w:val="52"/>
          <w:szCs w:val="52"/>
          <w:lang w:val="en-US" w:eastAsia="zh-CN"/>
        </w:rPr>
      </w:pPr>
      <w:bookmarkStart w:id="0" w:name="_Toc2247"/>
      <w:r>
        <w:rPr>
          <w:rFonts w:hint="eastAsia" w:ascii="宋体" w:hAnsi="宋体" w:eastAsia="方正小标宋简体" w:cs="方正小标宋简体"/>
          <w:b/>
          <w:bCs/>
          <w:sz w:val="52"/>
          <w:szCs w:val="52"/>
          <w:lang w:val="en-US" w:eastAsia="zh-CN"/>
        </w:rPr>
        <w:t>部门概况</w:t>
      </w:r>
      <w:bookmarkEnd w:id="0"/>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sectPr>
          <w:footerReference r:id="rId7" w:type="default"/>
          <w:pgSz w:w="11910" w:h="16840"/>
          <w:pgMar w:top="1587" w:right="964" w:bottom="1701" w:left="1134" w:header="737" w:footer="737" w:gutter="0"/>
          <w:pgNumType w:fmt="decimal" w:start="1"/>
          <w:cols w:space="0" w:num="1"/>
          <w:rtlGutter w:val="0"/>
          <w:docGrid w:linePitch="0" w:charSpace="0"/>
        </w:sectPr>
      </w:pP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bookmarkStart w:id="1" w:name="_Toc28974"/>
      <w:r>
        <w:rPr>
          <w:rFonts w:hint="eastAsia" w:ascii="宋体" w:hAnsi="宋体" w:eastAsia="黑体"/>
          <w:color w:val="333333"/>
        </w:rPr>
        <w:t>一、基本职能及主要工作</w:t>
      </w:r>
      <w:bookmarkEnd w:id="1"/>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lang w:eastAsia="zh-CN"/>
        </w:rPr>
      </w:pPr>
      <w:bookmarkStart w:id="2" w:name="_Toc11418"/>
      <w:bookmarkStart w:id="3" w:name="_Toc21640"/>
      <w:r>
        <w:rPr>
          <w:rFonts w:ascii="宋体" w:hAnsi="宋体"/>
        </w:rPr>
        <w:t>（一）部门职能简介</w:t>
      </w:r>
      <w:bookmarkEnd w:id="2"/>
    </w:p>
    <w:p>
      <w:pPr>
        <w:spacing w:line="360" w:lineRule="auto"/>
        <w:ind w:left="334" w:leftChars="152" w:right="108" w:rightChars="49" w:firstLine="480" w:firstLineChars="150"/>
        <w:rPr>
          <w:rFonts w:hint="eastAsia" w:ascii="仿宋" w:hAnsi="仿宋" w:eastAsia="仿宋" w:cs="Times New Roman"/>
          <w:bCs/>
          <w:sz w:val="32"/>
          <w:szCs w:val="32"/>
        </w:rPr>
      </w:pPr>
      <w:bookmarkStart w:id="4" w:name="_Toc16925"/>
      <w:r>
        <w:rPr>
          <w:rFonts w:hint="eastAsia" w:ascii="仿宋_GB2312" w:hAnsi="仿宋_GB2312" w:eastAsia="仿宋_GB2312" w:cs="Times New Roman"/>
          <w:color w:val="auto"/>
          <w:kern w:val="2"/>
          <w:sz w:val="32"/>
          <w:szCs w:val="24"/>
          <w:lang w:val="zh-CN" w:eastAsia="zh-CN" w:bidi="ar-SA"/>
        </w:rPr>
        <w:t xml:space="preserve">负责集中行使除公安、税务、农业农村、应急管理、保密部门和生态环境部分领域以外的本级行政部门的行政处罚权和相应的行政检查权、行政强制权。行使发展和改革、自然资源、经济和信息化、教育管理、民政管理、司法、财政、人力资源和社会保障、住房和城乡建设、城市管理、交通运输、水务、文化体育和旅游、卫生健康、退役军人事务、审计、市场监督管理、统计、医疗保障、商务和经济合作、残疾人权益保护、民族宗教、网信、档案等领域所有的行政处罚权和相应的行政检查权、行政强制权。   </w:t>
      </w:r>
      <w:r>
        <w:rPr>
          <w:rFonts w:hint="eastAsia" w:ascii="仿宋" w:hAnsi="仿宋" w:eastAsia="仿宋" w:cs="Times New Roman"/>
          <w:bCs/>
          <w:sz w:val="32"/>
          <w:szCs w:val="32"/>
        </w:rPr>
        <w:t xml:space="preserve">      </w:t>
      </w:r>
    </w:p>
    <w:p>
      <w:pPr>
        <w:pStyle w:val="6"/>
        <w:keepNext w:val="0"/>
        <w:keepLines w:val="0"/>
        <w:pageBreakBefore w:val="0"/>
        <w:widowControl w:val="0"/>
        <w:kinsoku/>
        <w:wordWrap/>
        <w:overflowPunct/>
        <w:topLinePunct w:val="0"/>
        <w:autoSpaceDE w:val="0"/>
        <w:autoSpaceDN w:val="0"/>
        <w:bidi w:val="0"/>
        <w:adjustRightInd/>
        <w:snapToGrid/>
        <w:spacing w:before="190"/>
        <w:ind w:left="0" w:leftChars="0" w:firstLine="964" w:firstLineChars="300"/>
        <w:textAlignment w:val="auto"/>
        <w:rPr>
          <w:rFonts w:hint="eastAsia" w:ascii="宋体" w:hAnsi="宋体"/>
        </w:rPr>
      </w:pPr>
      <w:r>
        <w:rPr>
          <w:rFonts w:ascii="宋体" w:hAnsi="宋体"/>
        </w:rPr>
        <w:t>（二）部门</w:t>
      </w:r>
      <w:r>
        <w:rPr>
          <w:rFonts w:hint="eastAsia" w:ascii="宋体" w:hAnsi="宋体"/>
          <w:lang w:val="en-US" w:eastAsia="zh-CN"/>
        </w:rPr>
        <w:t>2025</w:t>
      </w:r>
      <w:r>
        <w:rPr>
          <w:rFonts w:ascii="宋体" w:hAnsi="宋体"/>
        </w:rPr>
        <w:t>年重点工</w:t>
      </w:r>
      <w:r>
        <w:rPr>
          <w:rFonts w:hint="eastAsia" w:ascii="宋体" w:hAnsi="宋体"/>
        </w:rPr>
        <w:t>作</w:t>
      </w:r>
      <w:bookmarkEnd w:id="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（1）抓理论学习，强化理论武装。</w:t>
      </w:r>
      <w:r>
        <w:rPr>
          <w:rFonts w:hint="eastAsia" w:ascii="仿宋_GB2312" w:hAnsi="仿宋_GB2312" w:eastAsia="仿宋_GB2312" w:cs="仿宋_GB2312"/>
          <w:sz w:val="32"/>
          <w:szCs w:val="32"/>
        </w:rPr>
        <w:t>通过</w:t>
      </w:r>
      <w:r>
        <w:rPr>
          <w:rFonts w:hint="eastAsia" w:ascii="仿宋_GB2312" w:hAnsi="仿宋_GB2312" w:eastAsia="仿宋_GB2312" w:cs="仿宋_GB2312"/>
          <w:sz w:val="32"/>
          <w:szCs w:val="32"/>
          <w:lang w:val="en-US" w:eastAsia="zh-CN"/>
        </w:rPr>
        <w:t>党组会、理论学习中心组、支部会、</w:t>
      </w:r>
      <w:r>
        <w:rPr>
          <w:rFonts w:hint="eastAsia" w:ascii="仿宋_GB2312" w:hAnsi="仿宋_GB2312" w:eastAsia="仿宋_GB2312" w:cs="仿宋_GB2312"/>
          <w:sz w:val="32"/>
          <w:szCs w:val="32"/>
          <w:lang w:eastAsia="zh-CN"/>
        </w:rPr>
        <w:t>机关会、主题党日活动</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lang w:val="en-US" w:eastAsia="zh-CN"/>
        </w:rPr>
        <w:t>深入学习贯彻习近平新时代中国特色社会主义思想、</w:t>
      </w:r>
      <w:bookmarkStart w:id="5" w:name="OLE_LINK1"/>
      <w:r>
        <w:rPr>
          <w:rFonts w:hint="eastAsia" w:ascii="仿宋_GB2312" w:hAnsi="仿宋_GB2312" w:eastAsia="仿宋_GB2312" w:cs="仿宋_GB2312"/>
          <w:sz w:val="32"/>
          <w:szCs w:val="32"/>
          <w:lang w:val="en-US" w:eastAsia="zh-CN"/>
        </w:rPr>
        <w:t>党的二十届三中</w:t>
      </w:r>
      <w:bookmarkStart w:id="55" w:name="_GoBack"/>
      <w:bookmarkEnd w:id="55"/>
      <w:r>
        <w:rPr>
          <w:rFonts w:hint="eastAsia" w:ascii="仿宋_GB2312" w:hAnsi="仿宋_GB2312" w:eastAsia="仿宋_GB2312" w:cs="仿宋_GB2312"/>
          <w:sz w:val="32"/>
          <w:szCs w:val="32"/>
          <w:lang w:val="en-US" w:eastAsia="zh-CN"/>
        </w:rPr>
        <w:t>全会</w:t>
      </w:r>
      <w:bookmarkEnd w:id="5"/>
      <w:r>
        <w:rPr>
          <w:rFonts w:hint="eastAsia" w:ascii="仿宋_GB2312" w:hAnsi="仿宋_GB2312" w:eastAsia="仿宋_GB2312" w:cs="仿宋_GB2312"/>
          <w:sz w:val="32"/>
          <w:szCs w:val="32"/>
          <w:lang w:val="en-US" w:eastAsia="zh-CN"/>
        </w:rPr>
        <w:t>、省委十二届六次全会精神、市委八届九次全会、区委九届七次全会精神。始终把党的政治建设摆在首位，加强思想淬炼、政治历练、实践锤炼、业务训练和作风磨炼，着力锻造政治过硬、本领高强、作风优良的综合行政执法行政铁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（2）抓制度建设，健全体制机制。</w:t>
      </w:r>
      <w:r>
        <w:rPr>
          <w:rFonts w:hint="eastAsia" w:ascii="仿宋_GB2312" w:hAnsi="仿宋_GB2312" w:eastAsia="仿宋_GB2312" w:cs="仿宋_GB2312"/>
          <w:sz w:val="32"/>
          <w:szCs w:val="32"/>
          <w:lang w:val="en-US" w:eastAsia="zh-CN"/>
        </w:rPr>
        <w:t>紧扣区委“133”工作思路，进一步健全联合执法、规范执法、研判机制等机制，以“进一次门、查多项事、一次到位”为原则，健全与区公安分局、区市场监管局等部门“综合查一次”联合执法机制，提升综合行政执法“1+1&gt;2”质效。根据《中华人民共和国行政处罚法》等，从案件受理、办理、执行、自由裁量、法律适用等，多维度健全行政执法规范机制。按照《五通桥区综合行政执法协作机制（试行）》，完善组织架构，召开联席会议，研判会商、协调解决疑难复杂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（3）抓依法管理，提升工作质效。</w:t>
      </w:r>
      <w:r>
        <w:rPr>
          <w:rFonts w:hint="eastAsia" w:ascii="仿宋_GB2312" w:hAnsi="仿宋_GB2312" w:eastAsia="仿宋_GB2312" w:cs="仿宋_GB2312"/>
          <w:sz w:val="32"/>
          <w:szCs w:val="32"/>
          <w:lang w:val="en-US" w:eastAsia="zh-CN"/>
        </w:rPr>
        <w:t>在群众关注领域持续用力，选取反映强烈的“小切口”作为治理重点，加强部门联动，继续按照“坚决遏制新增，逐步消除存量”原则，及时发现处置新增违法建设，摸排核实存量违法建设，分批分类开展整治。继续推进城区主次街道管理标准提升和“门前五包”工作，以背街小巷、城郊结合部、农贸市场周边为重点，加强市容秩序管理，整治占道经营、油烟污染治理、扬尘治理等，下足“绣花”功夫，进一步提升精细化管理水平。</w:t>
      </w: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r>
        <w:rPr>
          <w:rFonts w:hint="eastAsia" w:ascii="宋体" w:hAnsi="宋体" w:eastAsia="黑体"/>
          <w:color w:val="333333"/>
        </w:rPr>
        <w:t>二、部门预算单位构成</w:t>
      </w:r>
      <w:bookmarkEnd w:id="3"/>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单位下属预算单位1个，其中行政单位0个，参照公务员法管理的事业单位1个，其他事业单位0个。主要包括：</w:t>
      </w:r>
    </w:p>
    <w:tbl>
      <w:tblPr>
        <w:tblStyle w:val="12"/>
        <w:tblW w:w="8289" w:type="dxa"/>
        <w:tblInd w:w="7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07"/>
        <w:gridCol w:w="62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2007" w:type="dxa"/>
          </w:tcPr>
          <w:p>
            <w:pPr>
              <w:pStyle w:val="16"/>
              <w:spacing w:before="159"/>
              <w:ind w:left="748"/>
              <w:rPr>
                <w:rFonts w:hint="eastAsia" w:ascii="宋体" w:hAnsi="宋体" w:eastAsia="仿宋_GB2312"/>
                <w:sz w:val="32"/>
              </w:rPr>
            </w:pPr>
            <w:r>
              <w:rPr>
                <w:rFonts w:hint="eastAsia" w:ascii="宋体" w:hAnsi="宋体" w:eastAsia="仿宋_GB2312"/>
                <w:color w:val="333333"/>
                <w:sz w:val="32"/>
              </w:rPr>
              <w:t>序号</w:t>
            </w:r>
          </w:p>
        </w:tc>
        <w:tc>
          <w:tcPr>
            <w:tcW w:w="6282" w:type="dxa"/>
          </w:tcPr>
          <w:p>
            <w:pPr>
              <w:pStyle w:val="16"/>
              <w:spacing w:before="159"/>
              <w:ind w:left="2498"/>
              <w:rPr>
                <w:rFonts w:hint="eastAsia" w:ascii="宋体" w:hAnsi="宋体" w:eastAsia="仿宋_GB2312"/>
                <w:sz w:val="32"/>
              </w:rPr>
            </w:pPr>
            <w:r>
              <w:rPr>
                <w:rFonts w:hint="eastAsia" w:ascii="宋体" w:hAnsi="宋体" w:eastAsia="仿宋_GB2312"/>
                <w:color w:val="333333"/>
                <w:sz w:val="32"/>
              </w:rPr>
              <w:t>预算单位名称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2007" w:type="dxa"/>
          </w:tcPr>
          <w:p>
            <w:pPr>
              <w:pStyle w:val="16"/>
              <w:spacing w:before="181"/>
              <w:ind w:left="748"/>
              <w:rPr>
                <w:rFonts w:ascii="宋体" w:hAnsi="宋体"/>
                <w:sz w:val="32"/>
              </w:rPr>
            </w:pPr>
            <w:r>
              <w:rPr>
                <w:rFonts w:ascii="宋体" w:hAnsi="宋体"/>
                <w:color w:val="333333"/>
                <w:w w:val="99"/>
                <w:sz w:val="32"/>
              </w:rPr>
              <w:t>1</w:t>
            </w:r>
          </w:p>
        </w:tc>
        <w:tc>
          <w:tcPr>
            <w:tcW w:w="6282" w:type="dxa"/>
          </w:tcPr>
          <w:p>
            <w:pPr>
              <w:pStyle w:val="16"/>
              <w:spacing w:before="160"/>
              <w:ind w:left="746"/>
              <w:rPr>
                <w:rFonts w:hint="eastAsia" w:ascii="宋体" w:hAnsi="宋体" w:eastAsia="仿宋_GB2312"/>
                <w:sz w:val="32"/>
              </w:rPr>
            </w:pPr>
            <w:r>
              <w:rPr>
                <w:rFonts w:hint="eastAsia" w:ascii="宋体" w:hAnsi="宋体" w:eastAsia="仿宋_GB2312"/>
                <w:sz w:val="32"/>
              </w:rPr>
              <w:t>385302</w:t>
            </w:r>
            <w:r>
              <w:rPr>
                <w:rFonts w:hint="eastAsia" w:eastAsia="仿宋_GB2312"/>
                <w:sz w:val="32"/>
                <w:lang w:val="en-US" w:eastAsia="zh-CN"/>
              </w:rPr>
              <w:t>-</w:t>
            </w:r>
            <w:r>
              <w:rPr>
                <w:rFonts w:hint="eastAsia" w:ascii="宋体" w:hAnsi="宋体" w:eastAsia="仿宋_GB2312"/>
                <w:sz w:val="32"/>
              </w:rPr>
              <w:t>五通桥区城市管理监察大队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6"/>
              <w:spacing w:before="183"/>
              <w:ind w:left="748"/>
              <w:rPr>
                <w:rFonts w:ascii="宋体" w:hAnsi="宋体"/>
                <w:sz w:val="32"/>
              </w:rPr>
            </w:pPr>
            <w:r>
              <w:rPr>
                <w:rFonts w:ascii="宋体" w:hAnsi="宋体"/>
                <w:color w:val="333333"/>
                <w:w w:val="99"/>
                <w:sz w:val="32"/>
              </w:rPr>
              <w:t>2</w:t>
            </w:r>
          </w:p>
        </w:tc>
        <w:tc>
          <w:tcPr>
            <w:tcW w:w="6282" w:type="dxa"/>
          </w:tcPr>
          <w:p>
            <w:pPr>
              <w:pStyle w:val="16"/>
              <w:spacing w:before="162"/>
              <w:ind w:left="746"/>
              <w:rPr>
                <w:rFonts w:hint="eastAsia" w:ascii="宋体" w:hAnsi="宋体" w:eastAsia="仿宋_GB2312"/>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6"/>
              <w:spacing w:before="183"/>
              <w:ind w:left="748"/>
              <w:rPr>
                <w:rFonts w:ascii="宋体" w:hAnsi="宋体"/>
                <w:sz w:val="32"/>
              </w:rPr>
            </w:pPr>
            <w:r>
              <w:rPr>
                <w:rFonts w:ascii="宋体" w:hAnsi="宋体"/>
                <w:color w:val="333333"/>
                <w:w w:val="99"/>
                <w:sz w:val="32"/>
              </w:rPr>
              <w:t>3</w:t>
            </w:r>
          </w:p>
        </w:tc>
        <w:tc>
          <w:tcPr>
            <w:tcW w:w="6282" w:type="dxa"/>
          </w:tcPr>
          <w:p>
            <w:pPr>
              <w:pStyle w:val="16"/>
              <w:spacing w:before="162"/>
              <w:ind w:left="746"/>
              <w:rPr>
                <w:rFonts w:hint="eastAsia" w:ascii="宋体" w:hAnsi="宋体" w:eastAsia="仿宋_GB2312"/>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pPr>
              <w:pStyle w:val="16"/>
              <w:spacing w:before="183"/>
              <w:ind w:left="748"/>
              <w:rPr>
                <w:rFonts w:ascii="宋体" w:hAnsi="宋体"/>
                <w:sz w:val="32"/>
              </w:rPr>
            </w:pPr>
            <w:r>
              <w:rPr>
                <w:rFonts w:ascii="宋体" w:hAnsi="宋体"/>
                <w:color w:val="333333"/>
                <w:w w:val="99"/>
                <w:sz w:val="32"/>
              </w:rPr>
              <w:t>4</w:t>
            </w:r>
          </w:p>
        </w:tc>
        <w:tc>
          <w:tcPr>
            <w:tcW w:w="6282" w:type="dxa"/>
          </w:tcPr>
          <w:p>
            <w:pPr>
              <w:pStyle w:val="16"/>
              <w:spacing w:before="162"/>
              <w:ind w:left="746"/>
              <w:rPr>
                <w:rFonts w:hint="eastAsia" w:ascii="宋体" w:hAnsi="宋体" w:eastAsia="仿宋_GB2312"/>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6"/>
              <w:spacing w:before="183"/>
              <w:ind w:left="748"/>
              <w:rPr>
                <w:rFonts w:ascii="宋体" w:hAnsi="宋体"/>
                <w:sz w:val="32"/>
              </w:rPr>
            </w:pPr>
            <w:r>
              <w:rPr>
                <w:rFonts w:ascii="宋体" w:hAnsi="宋体"/>
                <w:color w:val="333333"/>
                <w:w w:val="99"/>
                <w:sz w:val="32"/>
              </w:rPr>
              <w:t>5</w:t>
            </w:r>
          </w:p>
        </w:tc>
        <w:tc>
          <w:tcPr>
            <w:tcW w:w="6282" w:type="dxa"/>
          </w:tcPr>
          <w:p>
            <w:pPr>
              <w:pStyle w:val="16"/>
              <w:spacing w:before="162"/>
              <w:ind w:left="746"/>
              <w:rPr>
                <w:rFonts w:hint="eastAsia" w:ascii="宋体" w:hAnsi="宋体" w:eastAsia="仿宋_GB2312"/>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6"/>
              <w:spacing w:before="184"/>
              <w:ind w:left="748"/>
              <w:rPr>
                <w:rFonts w:ascii="宋体" w:hAnsi="宋体"/>
                <w:sz w:val="32"/>
              </w:rPr>
            </w:pPr>
            <w:r>
              <w:rPr>
                <w:rFonts w:ascii="宋体" w:hAnsi="宋体"/>
                <w:color w:val="333333"/>
                <w:w w:val="99"/>
                <w:sz w:val="32"/>
              </w:rPr>
              <w:t>6</w:t>
            </w:r>
          </w:p>
        </w:tc>
        <w:tc>
          <w:tcPr>
            <w:tcW w:w="6282" w:type="dxa"/>
          </w:tcPr>
          <w:p>
            <w:pPr>
              <w:pStyle w:val="16"/>
              <w:spacing w:before="162"/>
              <w:ind w:left="746"/>
              <w:rPr>
                <w:rFonts w:hint="eastAsia" w:ascii="宋体" w:hAnsi="宋体" w:eastAsia="仿宋_GB2312"/>
                <w:sz w:val="32"/>
              </w:rPr>
            </w:pPr>
          </w:p>
        </w:tc>
      </w:tr>
    </w:tbl>
    <w:p>
      <w:pPr>
        <w:rPr>
          <w:rFonts w:ascii="宋体" w:hAnsi="宋体"/>
          <w:sz w:val="20"/>
        </w:rPr>
      </w:pPr>
      <w:r>
        <w:rPr>
          <w:rFonts w:ascii="宋体" w:hAnsi="宋体"/>
          <w:sz w:val="20"/>
        </w:rPr>
        <w:br w:type="page"/>
      </w: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numPr>
          <w:ilvl w:val="0"/>
          <w:numId w:val="2"/>
        </w:numPr>
        <w:jc w:val="center"/>
        <w:outlineLvl w:val="0"/>
        <w:rPr>
          <w:rFonts w:hint="default" w:ascii="宋体" w:hAnsi="宋体" w:eastAsia="方正小标宋简体" w:cs="方正小标宋简体"/>
          <w:b/>
          <w:bCs/>
          <w:sz w:val="52"/>
          <w:szCs w:val="52"/>
          <w:lang w:val="en-US" w:eastAsia="zh-CN"/>
        </w:rPr>
      </w:pPr>
      <w:bookmarkStart w:id="6" w:name="_Toc15185"/>
      <w:r>
        <w:rPr>
          <w:rFonts w:hint="eastAsia" w:ascii="宋体" w:hAnsi="宋体" w:eastAsia="方正小标宋简体" w:cs="方正小标宋简体"/>
          <w:b/>
          <w:bCs/>
          <w:sz w:val="52"/>
          <w:szCs w:val="52"/>
          <w:lang w:val="en-US" w:eastAsia="zh-CN"/>
        </w:rPr>
        <w:t>五通桥区城市管理监察大队2025年部门预算表</w:t>
      </w:r>
      <w:bookmarkEnd w:id="6"/>
    </w:p>
    <w:p>
      <w:pPr>
        <w:rPr>
          <w:rFonts w:hint="eastAsia" w:ascii="宋体" w:hAnsi="宋体"/>
          <w:sz w:val="32"/>
          <w:lang w:val="en-US" w:eastAsia="zh-CN"/>
        </w:rPr>
      </w:pPr>
      <w:r>
        <w:rPr>
          <w:rFonts w:ascii="宋体" w:hAnsi="宋体"/>
          <w:color w:val="333333"/>
        </w:rPr>
        <w:br w:type="page"/>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7" w:name="_Toc11696"/>
      <w:r>
        <w:rPr>
          <w:rFonts w:hint="eastAsia" w:ascii="宋体" w:hAnsi="宋体"/>
          <w:sz w:val="32"/>
          <w:lang w:val="en-US" w:eastAsia="zh-CN"/>
        </w:rPr>
        <w:t>一、收支预算总表（收支总表1）</w:t>
      </w:r>
      <w:bookmarkEnd w:id="7"/>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8" w:name="_Toc24403"/>
      <w:r>
        <w:rPr>
          <w:rFonts w:hint="eastAsia" w:ascii="宋体" w:hAnsi="宋体"/>
          <w:sz w:val="32"/>
          <w:lang w:val="en-US" w:eastAsia="zh-CN"/>
        </w:rPr>
        <w:t>二、收入预算总表（收入总表2）</w:t>
      </w:r>
      <w:bookmarkEnd w:id="8"/>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9" w:name="_Toc31065"/>
      <w:r>
        <w:rPr>
          <w:rFonts w:hint="eastAsia" w:ascii="宋体" w:hAnsi="宋体"/>
          <w:sz w:val="32"/>
          <w:lang w:val="en-US" w:eastAsia="zh-CN"/>
        </w:rPr>
        <w:t>三、征收预期表（征收预期3）</w:t>
      </w:r>
      <w:bookmarkEnd w:id="9"/>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0" w:name="_Toc748"/>
      <w:r>
        <w:rPr>
          <w:rFonts w:hint="eastAsia" w:ascii="宋体" w:hAnsi="宋体"/>
          <w:sz w:val="32"/>
          <w:lang w:val="en-US" w:eastAsia="zh-CN"/>
        </w:rPr>
        <w:t>四、支出预算总表（支出总表4）</w:t>
      </w:r>
      <w:bookmarkEnd w:id="10"/>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1" w:name="_Toc29172"/>
      <w:r>
        <w:rPr>
          <w:rFonts w:hint="eastAsia" w:ascii="宋体" w:hAnsi="宋体"/>
          <w:sz w:val="32"/>
          <w:lang w:val="en-US" w:eastAsia="zh-CN"/>
        </w:rPr>
        <w:t>五、财政拨款预算总表（财拨总表5）</w:t>
      </w:r>
      <w:bookmarkEnd w:id="11"/>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2" w:name="_Toc2440"/>
      <w:r>
        <w:rPr>
          <w:rFonts w:hint="eastAsia" w:ascii="宋体" w:hAnsi="宋体"/>
          <w:sz w:val="32"/>
          <w:lang w:val="en-US" w:eastAsia="zh-CN"/>
        </w:rPr>
        <w:t>六、一般公共预算支出表（一般预算支出6）</w:t>
      </w:r>
      <w:bookmarkEnd w:id="12"/>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3" w:name="_Toc15605"/>
      <w:r>
        <w:rPr>
          <w:rFonts w:hint="eastAsia" w:ascii="宋体" w:hAnsi="宋体"/>
          <w:sz w:val="32"/>
          <w:lang w:val="en-US" w:eastAsia="zh-CN"/>
        </w:rPr>
        <w:t>七、一般公共预算基本支出表（基本支出7）</w:t>
      </w:r>
      <w:bookmarkEnd w:id="13"/>
      <w:r>
        <w:rPr>
          <w:rFonts w:hint="eastAsia" w:ascii="宋体" w:hAnsi="宋体"/>
          <w:sz w:val="32"/>
          <w:lang w:val="en-US" w:eastAsia="zh-CN"/>
        </w:rPr>
        <w:t xml:space="preserve"> </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4" w:name="_Toc31647"/>
      <w:r>
        <w:rPr>
          <w:rFonts w:hint="eastAsia" w:ascii="宋体" w:hAnsi="宋体"/>
          <w:sz w:val="32"/>
          <w:lang w:val="en-US" w:eastAsia="zh-CN"/>
        </w:rPr>
        <w:t>八、一般公共预算“三公”经费支出预算表（三公8）</w:t>
      </w:r>
      <w:bookmarkEnd w:id="14"/>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5" w:name="_Toc7813"/>
      <w:r>
        <w:rPr>
          <w:rFonts w:hint="eastAsia" w:ascii="宋体" w:hAnsi="宋体"/>
          <w:sz w:val="32"/>
          <w:lang w:val="en-US" w:eastAsia="zh-CN"/>
        </w:rPr>
        <w:t>九、政府性基金预算支出表（基金9）</w:t>
      </w:r>
      <w:bookmarkEnd w:id="15"/>
      <w:r>
        <w:rPr>
          <w:rFonts w:hint="eastAsia" w:ascii="宋体" w:hAnsi="宋体"/>
          <w:sz w:val="32"/>
          <w:lang w:val="en-US" w:eastAsia="zh-CN"/>
        </w:rPr>
        <w:t xml:space="preserve"> </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6" w:name="_Toc7191"/>
      <w:r>
        <w:rPr>
          <w:rFonts w:hint="eastAsia" w:ascii="宋体" w:hAnsi="宋体"/>
          <w:sz w:val="32"/>
          <w:lang w:val="en-US" w:eastAsia="zh-CN"/>
        </w:rPr>
        <w:t>十、国有资本经营预算支出表（国资10）</w:t>
      </w:r>
      <w:bookmarkEnd w:id="16"/>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7" w:name="_Toc10179"/>
      <w:r>
        <w:rPr>
          <w:rFonts w:hint="eastAsia" w:ascii="宋体" w:hAnsi="宋体"/>
          <w:sz w:val="32"/>
          <w:lang w:val="en-US" w:eastAsia="zh-CN"/>
        </w:rPr>
        <w:t>十一、支出功能分类预算表（支出功能11）</w:t>
      </w:r>
      <w:bookmarkEnd w:id="17"/>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8" w:name="_Toc4612"/>
      <w:r>
        <w:rPr>
          <w:rFonts w:hint="eastAsia" w:ascii="宋体" w:hAnsi="宋体"/>
          <w:sz w:val="32"/>
          <w:lang w:val="en-US" w:eastAsia="zh-CN"/>
        </w:rPr>
        <w:t>十二、支出经济分类预算表（支出经济分类12）</w:t>
      </w:r>
      <w:bookmarkEnd w:id="18"/>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9" w:name="_Toc7204"/>
      <w:r>
        <w:rPr>
          <w:rFonts w:hint="eastAsia" w:ascii="宋体" w:hAnsi="宋体"/>
          <w:sz w:val="32"/>
          <w:lang w:val="en-US" w:eastAsia="zh-CN"/>
        </w:rPr>
        <w:t>十三、上级资金安排情况表（上级资金安排13）</w:t>
      </w:r>
      <w:bookmarkEnd w:id="19"/>
      <w:r>
        <w:rPr>
          <w:rFonts w:hint="eastAsia" w:ascii="宋体" w:hAnsi="宋体"/>
          <w:sz w:val="32"/>
          <w:lang w:val="en-US" w:eastAsia="zh-CN"/>
        </w:rPr>
        <w:t xml:space="preserve"> </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0" w:name="_Toc4364"/>
      <w:r>
        <w:rPr>
          <w:rFonts w:hint="eastAsia" w:ascii="宋体" w:hAnsi="宋体"/>
          <w:sz w:val="32"/>
          <w:lang w:val="en-US" w:eastAsia="zh-CN"/>
        </w:rPr>
        <w:t>十四、项目支出表（项目支出14）</w:t>
      </w:r>
      <w:bookmarkEnd w:id="20"/>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1" w:name="_Toc28331"/>
      <w:r>
        <w:rPr>
          <w:rFonts w:hint="eastAsia" w:ascii="宋体" w:hAnsi="宋体"/>
          <w:sz w:val="32"/>
          <w:lang w:val="en-US" w:eastAsia="zh-CN"/>
        </w:rPr>
        <w:t>十六、政府购买服务预算表（购买服务16）</w:t>
      </w:r>
      <w:bookmarkEnd w:id="21"/>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2" w:name="_Toc32309"/>
      <w:bookmarkStart w:id="23" w:name="_Toc16458"/>
      <w:r>
        <w:rPr>
          <w:rFonts w:hint="eastAsia" w:ascii="宋体" w:hAnsi="宋体"/>
          <w:sz w:val="32"/>
          <w:lang w:val="en-US" w:eastAsia="zh-CN"/>
        </w:rPr>
        <w:t>十七、采购需求表（采购需求表17）</w:t>
      </w:r>
      <w:bookmarkEnd w:id="22"/>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4" w:name="_Toc32276"/>
      <w:r>
        <w:rPr>
          <w:rFonts w:hint="eastAsia" w:ascii="宋体" w:hAnsi="宋体"/>
          <w:sz w:val="32"/>
          <w:lang w:val="en-US" w:eastAsia="zh-CN"/>
        </w:rPr>
        <w:t>十八、国有资产配置预算表（资产18）</w:t>
      </w:r>
      <w:bookmarkEnd w:id="24"/>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5" w:name="_Toc15343"/>
      <w:r>
        <w:rPr>
          <w:rFonts w:hint="eastAsia" w:ascii="宋体" w:hAnsi="宋体"/>
          <w:sz w:val="32"/>
          <w:lang w:val="en-US" w:eastAsia="zh-CN"/>
        </w:rPr>
        <w:t>十九、项目支出绩效表（项目绩效19）</w:t>
      </w:r>
      <w:bookmarkEnd w:id="25"/>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6" w:name="_Toc12073"/>
      <w:r>
        <w:rPr>
          <w:rFonts w:hint="eastAsia" w:ascii="宋体" w:hAnsi="宋体"/>
          <w:sz w:val="32"/>
          <w:lang w:val="en-US" w:eastAsia="zh-CN"/>
        </w:rPr>
        <w:t>二十、部门绩效表（部门绩效20）</w:t>
      </w:r>
      <w:bookmarkEnd w:id="26"/>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7" w:name="_Toc24463"/>
      <w:r>
        <w:rPr>
          <w:rFonts w:hint="eastAsia" w:ascii="宋体" w:hAnsi="宋体"/>
          <w:sz w:val="32"/>
          <w:lang w:val="en-US" w:eastAsia="zh-CN"/>
        </w:rPr>
        <w:t>二十一、年初政府采购项目预算表（政府采购项目预算表21）</w:t>
      </w:r>
      <w:bookmarkEnd w:id="27"/>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8" w:name="_Toc16079"/>
      <w:r>
        <w:rPr>
          <w:rFonts w:hint="eastAsia" w:ascii="宋体" w:hAnsi="宋体"/>
          <w:sz w:val="32"/>
          <w:lang w:val="en-US" w:eastAsia="zh-CN"/>
        </w:rPr>
        <w:t>二十二、2025-2027年支出计划总表（三年计划总表22）</w:t>
      </w:r>
      <w:bookmarkEnd w:id="28"/>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9" w:name="_Toc25506"/>
      <w:r>
        <w:rPr>
          <w:rFonts w:hint="eastAsia" w:ascii="宋体" w:hAnsi="宋体"/>
          <w:sz w:val="32"/>
          <w:lang w:val="en-US" w:eastAsia="zh-CN"/>
        </w:rPr>
        <w:t>二十三、2025-2027年支出计划明细表（三年计划明细表23）</w:t>
      </w:r>
      <w:bookmarkEnd w:id="29"/>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30" w:name="_Toc12703"/>
      <w:r>
        <w:rPr>
          <w:rFonts w:hint="eastAsia" w:ascii="宋体" w:hAnsi="宋体"/>
          <w:sz w:val="32"/>
          <w:lang w:val="en-US" w:eastAsia="zh-CN"/>
        </w:rPr>
        <w:t>二十四、人员和车辆基本情况表（人员24）</w:t>
      </w:r>
      <w:bookmarkEnd w:id="30"/>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right="660" w:rightChars="300" w:firstLine="643" w:firstLineChars="200"/>
        <w:jc w:val="left"/>
        <w:textAlignment w:val="auto"/>
        <w:outlineLvl w:val="1"/>
        <w:rPr>
          <w:rFonts w:hint="default" w:ascii="宋体" w:hAnsi="宋体"/>
          <w:b/>
          <w:bCs/>
          <w:sz w:val="32"/>
          <w:lang w:val="en-US" w:eastAsia="zh-CN"/>
        </w:rPr>
      </w:pPr>
      <w:bookmarkStart w:id="31" w:name="_Toc17846"/>
      <w:r>
        <w:rPr>
          <w:rFonts w:hint="eastAsia" w:ascii="宋体" w:hAnsi="宋体"/>
          <w:b/>
          <w:bCs/>
          <w:sz w:val="32"/>
          <w:lang w:val="en-US" w:eastAsia="zh-CN"/>
        </w:rPr>
        <w:t>以上所有表格详见部门说明后附件。</w:t>
      </w:r>
      <w:bookmarkEnd w:id="23"/>
      <w:bookmarkEnd w:id="31"/>
    </w:p>
    <w:p>
      <w:pPr>
        <w:rPr>
          <w:rFonts w:ascii="宋体" w:hAnsi="宋体"/>
          <w:sz w:val="20"/>
        </w:rPr>
      </w:pPr>
      <w:r>
        <w:rPr>
          <w:rFonts w:ascii="宋体" w:hAnsi="宋体"/>
          <w:sz w:val="20"/>
        </w:rPr>
        <w:br w:type="page"/>
      </w: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numPr>
          <w:ilvl w:val="0"/>
          <w:numId w:val="2"/>
        </w:numPr>
        <w:spacing w:before="6"/>
        <w:ind w:left="0" w:leftChars="0" w:firstLine="0" w:firstLineChars="0"/>
        <w:jc w:val="center"/>
        <w:outlineLvl w:val="0"/>
        <w:rPr>
          <w:rFonts w:hint="eastAsia" w:ascii="宋体" w:hAnsi="宋体" w:eastAsia="方正小标宋简体" w:cs="方正小标宋简体"/>
          <w:sz w:val="36"/>
          <w:szCs w:val="36"/>
          <w:lang w:val="en-US" w:eastAsia="zh-CN"/>
        </w:rPr>
      </w:pPr>
      <w:bookmarkStart w:id="32" w:name="_Toc13561"/>
      <w:r>
        <w:rPr>
          <w:rFonts w:hint="eastAsia" w:ascii="宋体" w:hAnsi="宋体" w:eastAsia="方正小标宋简体" w:cs="方正小标宋简体"/>
          <w:sz w:val="36"/>
          <w:szCs w:val="36"/>
          <w:lang w:val="en-US" w:eastAsia="zh-CN"/>
        </w:rPr>
        <w:t>五通桥区城市管理监察大队2025年</w:t>
      </w:r>
      <w:bookmarkEnd w:id="32"/>
    </w:p>
    <w:p>
      <w:pPr>
        <w:pStyle w:val="4"/>
        <w:numPr>
          <w:ilvl w:val="0"/>
          <w:numId w:val="0"/>
        </w:numPr>
        <w:spacing w:before="6"/>
        <w:ind w:leftChars="0" w:right="0" w:rightChars="0"/>
        <w:jc w:val="center"/>
        <w:outlineLvl w:val="1"/>
        <w:rPr>
          <w:rFonts w:hint="default" w:ascii="宋体" w:hAnsi="宋体"/>
          <w:sz w:val="36"/>
          <w:szCs w:val="36"/>
          <w:lang w:val="en-US"/>
        </w:rPr>
        <w:sectPr>
          <w:headerReference r:id="rId8" w:type="default"/>
          <w:pgSz w:w="11910" w:h="16840"/>
          <w:pgMar w:top="1440" w:right="1800" w:bottom="1440" w:left="1800" w:header="737" w:footer="737" w:gutter="0"/>
          <w:pgNumType w:fmt="decimal"/>
          <w:cols w:space="0" w:num="1"/>
          <w:rtlGutter w:val="0"/>
          <w:docGrid w:linePitch="0" w:charSpace="0"/>
        </w:sectPr>
      </w:pPr>
      <w:bookmarkStart w:id="33" w:name="_Toc1047"/>
      <w:bookmarkStart w:id="34" w:name="_Toc13196"/>
      <w:r>
        <w:rPr>
          <w:rFonts w:hint="eastAsia" w:ascii="宋体" w:hAnsi="宋体" w:eastAsia="方正小标宋简体" w:cs="方正小标宋简体"/>
          <w:sz w:val="36"/>
          <w:szCs w:val="36"/>
          <w:lang w:val="en-US" w:eastAsia="zh-CN"/>
        </w:rPr>
        <w:t>预算情况说明</w:t>
      </w:r>
      <w:bookmarkEnd w:id="33"/>
      <w:bookmarkEnd w:id="34"/>
    </w:p>
    <w:p>
      <w:pPr>
        <w:pStyle w:val="4"/>
        <w:keepNext w:val="0"/>
        <w:keepLines w:val="0"/>
        <w:pageBreakBefore w:val="0"/>
        <w:widowControl w:val="0"/>
        <w:kinsoku/>
        <w:wordWrap/>
        <w:overflowPunct/>
        <w:topLinePunct w:val="0"/>
        <w:autoSpaceDE w:val="0"/>
        <w:autoSpaceDN w:val="0"/>
        <w:bidi w:val="0"/>
        <w:adjustRightInd/>
        <w:snapToGrid/>
        <w:spacing w:before="40" w:after="0" w:afterLines="50"/>
        <w:textAlignment w:val="auto"/>
        <w:rPr>
          <w:rFonts w:hint="eastAsia" w:ascii="宋体" w:hAnsi="宋体" w:eastAsia="黑体"/>
          <w:color w:val="333333"/>
        </w:rPr>
      </w:pP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5" w:name="_Toc9712"/>
      <w:r>
        <w:rPr>
          <w:rFonts w:hint="eastAsia" w:ascii="宋体" w:hAnsi="宋体" w:eastAsia="黑体"/>
          <w:color w:val="333333"/>
        </w:rPr>
        <w:t>一、收支预算情况说明</w:t>
      </w:r>
      <w:bookmarkEnd w:id="35"/>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按照综合预算的原则，五通桥区城市管理监察大队所有收入和支出均纳入部门预算管理。收入包括：一般公共预算拨款收入；支出包括：社会保障和就业支出、卫生健康支出。城乡社区支出、住房保障支出。2025年收支预算总数1345.93万元,比2024年收支预算总数966.05万元增加379.88万元。主要原因：社会保障和就业支出增加47.62万元、卫生健康支出增加14.99万元、城乡社区支出增加287.82万元、住房保障支出增加29.45万元所致。</w:t>
      </w:r>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6" w:name="_Toc19161"/>
      <w:r>
        <w:rPr>
          <w:rFonts w:ascii="宋体" w:hAnsi="宋体"/>
        </w:rPr>
        <w:t>（一）收入预算情况</w:t>
      </w:r>
      <w:bookmarkEnd w:id="36"/>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城市管理监察大队2025年收入预算1345.93万元，其中：上年结转0万元，占0%；一般公共预算拨款收入1345.93万元，占100%；政府基金预算拨款收入0万元，占0%；事业收入0万元，占0%；事业单位经营收入0万元，占0%；其他收入0万元，占0%。</w:t>
      </w:r>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7" w:name="_Toc21650"/>
      <w:r>
        <w:rPr>
          <w:rFonts w:ascii="宋体" w:hAnsi="宋体"/>
        </w:rPr>
        <w:t>（二）支出预算情况</w:t>
      </w:r>
      <w:bookmarkEnd w:id="37"/>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五通桥区城市管理监察大队2025年支出预算1345.93万元，其中：人员支出1158.43万元，日常公用支出183.36万元，对个人和家庭的补助支出4.15万元，专项支出0万元。</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8" w:name="_Toc18424"/>
      <w:r>
        <w:rPr>
          <w:rFonts w:hint="eastAsia" w:ascii="宋体" w:hAnsi="宋体" w:eastAsia="黑体"/>
          <w:color w:val="333333"/>
        </w:rPr>
        <w:t>二、财政拨款收支预算情况说明</w:t>
      </w:r>
      <w:bookmarkEnd w:id="38"/>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城市管理监察大队2025年财政拨款收支预算总数1345.93万元,比2024年财政拨款收支预算总数966.05万元增加379.88万元。主要原因：社会保障和就业支出增加47.62万元、卫生健康支出增加14.99万元、城乡社区支出增加287.82万元、住房保障支出增加29.45万元所致。</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其中：基本支出1345.93万元，占100%；项目支出0万元，占0%。</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基本支出，是用于保障执法大队等机构正常运转的日常支出，包括基本工资、津贴补贴等人员经费以及办公费、印刷费、水电费、办公设备购置等日常公用经费。</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项目支出，是用于保障执法大队等机构为完成特定的行政工作任务或事业发展目标，用于专项业务工作的经费支出。</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9" w:name="_Toc3658"/>
      <w:r>
        <w:rPr>
          <w:rFonts w:hint="eastAsia" w:ascii="宋体" w:hAnsi="宋体" w:eastAsia="黑体"/>
          <w:color w:val="333333"/>
        </w:rPr>
        <w:t>三、一般公共预算当年拨款情况说明</w:t>
      </w:r>
      <w:bookmarkEnd w:id="39"/>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0" w:name="_Toc9016"/>
      <w:r>
        <w:rPr>
          <w:rFonts w:ascii="宋体" w:hAnsi="宋体"/>
        </w:rPr>
        <w:t>（一）一般公共预算当年拨款规模变化情况</w:t>
      </w:r>
      <w:bookmarkEnd w:id="40"/>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城市管理监察大队2025年一般公共预算当年拨款1345.93万元，比2024年财政拨款收支预算总数966.05万元增加379.88万元。主要原因：社会保障和就业支出增加47.62万元、卫生健康支出增加14.99万元、城乡社区支出增加287.82万元、住房保障支出增加29.45万元所致。</w:t>
      </w:r>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1" w:name="_Toc4207"/>
      <w:r>
        <w:rPr>
          <w:rFonts w:ascii="宋体" w:hAnsi="宋体"/>
        </w:rPr>
        <w:t>（二）一般公共预算当年拨款结构情况</w:t>
      </w:r>
      <w:bookmarkEnd w:id="41"/>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城市管理监察大队2025年一般公共预算支出1345.93万元，主要包括一般公共服务支出0万元，占0%；外交支出0万元，占0%；国防支出0万元，占0%；公共安全支出0万元，占0%；教育支出0万元，占0%；科学技术支出0万元，占0%；文化旅游体育与传媒支出0万元，占0%；社会保障和就业支出127.65万元，占9.48%；卫生健康支出32.69万元，占2.43%；节能环保支出0万元，占0%；城乡社区支出1118.03万元，占83.07%；农林水支出0万元，占0%；交通运输支出0万元，占0%；资源勘探工业信息等支出0万元，占0%；商业服务业等支出0万元，占0%；金融支出0万元，占0%；援助其他地区支出0万元，占0%；自然资源海洋气象等支出0万元，占0%；住房保障支出67.56万元，占5.02%；粮油物资储备支出0万元，占0%；灾害防治及应急管理支出0万元，占0%；预备费0万元，占0%；其他支出0万元，占0%；转移性支出0万元，占0%；债务还本支出0万元，占0%；债务付息支出0万元，占0%；债务发行费支出0万元，占0%。</w:t>
      </w:r>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highlight w:val="yellow"/>
          <w:lang w:eastAsia="zh-CN"/>
        </w:rPr>
      </w:pPr>
      <w:bookmarkStart w:id="42" w:name="_Toc22967"/>
      <w:r>
        <w:rPr>
          <w:rFonts w:ascii="宋体" w:hAnsi="宋体"/>
        </w:rPr>
        <w:t>（三）一般公共预算当年拨款具体使用情况</w:t>
      </w:r>
      <w:bookmarkEnd w:id="42"/>
    </w:p>
    <w:p>
      <w:pPr>
        <w:pStyle w:val="20"/>
        <w:numPr>
          <w:ilvl w:val="0"/>
          <w:numId w:val="0"/>
        </w:numPr>
        <w:ind w:left="638" w:leftChars="290" w:firstLine="640" w:firstLineChars="200"/>
        <w:rPr>
          <w:rFonts w:hint="eastAsia"/>
        </w:rPr>
      </w:pPr>
      <w:r>
        <w:rPr>
          <w:rFonts w:hint="eastAsia" w:ascii="宋体" w:hAnsi="宋体"/>
          <w:sz w:val="32"/>
          <w:lang w:val="en-US" w:eastAsia="zh-CN"/>
        </w:rPr>
        <w:t>1.</w:t>
      </w:r>
      <w:r>
        <w:rPr>
          <w:rFonts w:hint="eastAsia"/>
        </w:rPr>
        <w:t>社会保障和就业（类）行政事业单位离退休（款）机关</w:t>
      </w:r>
    </w:p>
    <w:p>
      <w:pPr>
        <w:pStyle w:val="20"/>
        <w:numPr>
          <w:ilvl w:val="0"/>
          <w:numId w:val="0"/>
        </w:numPr>
        <w:ind w:left="638" w:leftChars="290" w:firstLine="0" w:firstLineChars="0"/>
        <w:rPr>
          <w:rFonts w:hint="eastAsia"/>
        </w:rPr>
      </w:pPr>
      <w:r>
        <w:rPr>
          <w:rFonts w:hint="eastAsia"/>
        </w:rPr>
        <w:t>事业单位基本养老保险缴费支出（项）:20</w:t>
      </w:r>
      <w:r>
        <w:rPr>
          <w:rFonts w:hint="eastAsia"/>
          <w:lang w:val="en-US" w:eastAsia="zh-CN"/>
        </w:rPr>
        <w:t>25</w:t>
      </w:r>
      <w:r>
        <w:rPr>
          <w:rFonts w:hint="eastAsia"/>
        </w:rPr>
        <w:t>年预算数为</w:t>
      </w:r>
      <w:r>
        <w:rPr>
          <w:rFonts w:hint="eastAsia"/>
          <w:lang w:val="en-US" w:eastAsia="zh-CN"/>
        </w:rPr>
        <w:t>81.65</w:t>
      </w:r>
      <w:r>
        <w:rPr>
          <w:rFonts w:hint="eastAsia"/>
        </w:rPr>
        <w:t>万元，主要用于：实施养老保险制度后，部门按规定由单位缴</w:t>
      </w:r>
    </w:p>
    <w:p>
      <w:pPr>
        <w:pStyle w:val="20"/>
        <w:numPr>
          <w:ilvl w:val="0"/>
          <w:numId w:val="0"/>
        </w:numPr>
        <w:ind w:left="638" w:leftChars="290" w:firstLine="0" w:firstLineChars="0"/>
        <w:rPr>
          <w:rFonts w:hint="eastAsia"/>
        </w:rPr>
      </w:pPr>
      <w:r>
        <w:rPr>
          <w:rFonts w:hint="eastAsia"/>
        </w:rPr>
        <w:t>纳的基本养老保险费支出。</w:t>
      </w:r>
    </w:p>
    <w:p>
      <w:pPr>
        <w:pStyle w:val="20"/>
        <w:numPr>
          <w:ilvl w:val="0"/>
          <w:numId w:val="0"/>
        </w:numPr>
        <w:ind w:right="0" w:rightChars="0" w:firstLine="1280" w:firstLineChars="400"/>
        <w:rPr>
          <w:rFonts w:hint="eastAsia"/>
        </w:rPr>
      </w:pPr>
      <w:r>
        <w:rPr>
          <w:rFonts w:hint="eastAsia"/>
          <w:lang w:val="en-US" w:eastAsia="zh-CN"/>
        </w:rPr>
        <w:t>2.</w:t>
      </w:r>
      <w:r>
        <w:rPr>
          <w:rFonts w:hint="eastAsia"/>
        </w:rPr>
        <w:t>社会保障和就业（类）行政事业单位离退休（款）</w:t>
      </w:r>
    </w:p>
    <w:p>
      <w:pPr>
        <w:pStyle w:val="20"/>
        <w:numPr>
          <w:ilvl w:val="0"/>
          <w:numId w:val="0"/>
        </w:numPr>
        <w:ind w:right="0" w:rightChars="0" w:firstLine="640" w:firstLineChars="200"/>
        <w:rPr>
          <w:rFonts w:hint="default"/>
          <w:lang w:val="en-US" w:eastAsia="zh-CN"/>
        </w:rPr>
      </w:pPr>
      <w:r>
        <w:rPr>
          <w:rFonts w:hint="eastAsia"/>
        </w:rPr>
        <w:t>机关事业单位职业年金缴费支出（项）:20</w:t>
      </w:r>
      <w:r>
        <w:rPr>
          <w:rFonts w:hint="eastAsia"/>
          <w:lang w:val="en-US" w:eastAsia="zh-CN"/>
        </w:rPr>
        <w:t>25</w:t>
      </w:r>
      <w:r>
        <w:rPr>
          <w:rFonts w:hint="eastAsia"/>
        </w:rPr>
        <w:t>年预算数为</w:t>
      </w:r>
      <w:r>
        <w:rPr>
          <w:rFonts w:hint="eastAsia"/>
          <w:lang w:val="en-US" w:eastAsia="zh-CN"/>
        </w:rPr>
        <w:t>40.83</w:t>
      </w:r>
    </w:p>
    <w:p>
      <w:pPr>
        <w:pStyle w:val="20"/>
        <w:numPr>
          <w:ilvl w:val="0"/>
          <w:numId w:val="0"/>
        </w:numPr>
        <w:ind w:left="638" w:leftChars="290" w:right="0" w:rightChars="0" w:firstLine="0" w:firstLineChars="0"/>
        <w:rPr>
          <w:rFonts w:hint="eastAsia"/>
        </w:rPr>
      </w:pPr>
      <w:r>
        <w:rPr>
          <w:rFonts w:hint="eastAsia"/>
        </w:rPr>
        <w:t>万元，主要用于：实施养老保险制度后，部门按规定由单位缴</w:t>
      </w:r>
    </w:p>
    <w:p>
      <w:pPr>
        <w:pStyle w:val="20"/>
        <w:numPr>
          <w:ilvl w:val="0"/>
          <w:numId w:val="0"/>
        </w:numPr>
        <w:ind w:left="638" w:leftChars="290" w:right="0" w:rightChars="0" w:firstLine="0" w:firstLineChars="0"/>
        <w:rPr>
          <w:rFonts w:hint="eastAsia"/>
        </w:rPr>
      </w:pPr>
      <w:r>
        <w:rPr>
          <w:rFonts w:hint="eastAsia"/>
        </w:rPr>
        <w:t>纳的职业年金支出。</w:t>
      </w:r>
    </w:p>
    <w:p>
      <w:pPr>
        <w:pStyle w:val="20"/>
        <w:numPr>
          <w:ilvl w:val="0"/>
          <w:numId w:val="3"/>
        </w:numPr>
        <w:ind w:left="638" w:leftChars="290" w:firstLine="640" w:firstLineChars="200"/>
        <w:rPr>
          <w:rFonts w:hint="eastAsia"/>
        </w:rPr>
      </w:pPr>
      <w:r>
        <w:rPr>
          <w:rFonts w:hint="eastAsia"/>
        </w:rPr>
        <w:t>社会保障和就业（类）行政事业单位离退休（款）其</w:t>
      </w:r>
    </w:p>
    <w:p>
      <w:pPr>
        <w:pStyle w:val="20"/>
        <w:numPr>
          <w:ilvl w:val="0"/>
          <w:numId w:val="0"/>
        </w:numPr>
        <w:ind w:right="0" w:rightChars="0" w:firstLine="640" w:firstLineChars="200"/>
        <w:rPr>
          <w:rFonts w:hint="eastAsia"/>
        </w:rPr>
      </w:pPr>
      <w:r>
        <w:rPr>
          <w:rFonts w:hint="eastAsia"/>
        </w:rPr>
        <w:t>他行政事业单位养老支出（项）:20</w:t>
      </w:r>
      <w:r>
        <w:rPr>
          <w:rFonts w:hint="eastAsia"/>
          <w:lang w:val="en-US" w:eastAsia="zh-CN"/>
        </w:rPr>
        <w:t>25</w:t>
      </w:r>
      <w:r>
        <w:rPr>
          <w:rFonts w:hint="eastAsia"/>
        </w:rPr>
        <w:t>年预算数为</w:t>
      </w:r>
      <w:r>
        <w:rPr>
          <w:rFonts w:hint="eastAsia"/>
          <w:lang w:val="en-US" w:eastAsia="zh-CN"/>
        </w:rPr>
        <w:t>4.15</w:t>
      </w:r>
      <w:r>
        <w:rPr>
          <w:rFonts w:hint="eastAsia"/>
        </w:rPr>
        <w:t>万元，</w:t>
      </w:r>
    </w:p>
    <w:p>
      <w:pPr>
        <w:pStyle w:val="20"/>
        <w:numPr>
          <w:ilvl w:val="0"/>
          <w:numId w:val="0"/>
        </w:numPr>
        <w:ind w:right="0" w:rightChars="0" w:firstLine="640" w:firstLineChars="200"/>
        <w:rPr>
          <w:rFonts w:hint="eastAsia"/>
        </w:rPr>
      </w:pPr>
      <w:r>
        <w:rPr>
          <w:rFonts w:hint="eastAsia"/>
        </w:rPr>
        <w:t>主要用于：保障离退休人员经费支出。</w:t>
      </w:r>
    </w:p>
    <w:p>
      <w:pPr>
        <w:pStyle w:val="20"/>
        <w:numPr>
          <w:ilvl w:val="0"/>
          <w:numId w:val="0"/>
        </w:numPr>
        <w:ind w:right="0" w:rightChars="0" w:firstLine="1280" w:firstLineChars="400"/>
        <w:rPr>
          <w:rFonts w:hint="eastAsia"/>
        </w:rPr>
      </w:pPr>
      <w:r>
        <w:rPr>
          <w:rFonts w:hint="eastAsia"/>
          <w:lang w:val="en-US" w:eastAsia="zh-CN"/>
        </w:rPr>
        <w:t>4.</w:t>
      </w:r>
      <w:r>
        <w:rPr>
          <w:rFonts w:hint="eastAsia"/>
        </w:rPr>
        <w:t>社会保障和就业（类）其他社会保障和就业支出（款）</w:t>
      </w:r>
    </w:p>
    <w:p>
      <w:pPr>
        <w:pStyle w:val="20"/>
        <w:numPr>
          <w:ilvl w:val="0"/>
          <w:numId w:val="0"/>
        </w:numPr>
        <w:ind w:right="0" w:rightChars="0" w:firstLine="640" w:firstLineChars="200"/>
        <w:rPr>
          <w:rFonts w:hint="eastAsia"/>
        </w:rPr>
      </w:pPr>
      <w:r>
        <w:rPr>
          <w:rFonts w:hint="eastAsia"/>
        </w:rPr>
        <w:t>其他社会保障和就业支出（项）:20</w:t>
      </w:r>
      <w:r>
        <w:rPr>
          <w:rFonts w:hint="eastAsia"/>
          <w:lang w:val="en-US" w:eastAsia="zh-CN"/>
        </w:rPr>
        <w:t>25</w:t>
      </w:r>
      <w:r>
        <w:rPr>
          <w:rFonts w:hint="eastAsia"/>
        </w:rPr>
        <w:t>年预算数为</w:t>
      </w:r>
      <w:r>
        <w:rPr>
          <w:rFonts w:hint="eastAsia"/>
          <w:lang w:val="en-US" w:eastAsia="zh-CN"/>
        </w:rPr>
        <w:t>1.02</w:t>
      </w:r>
      <w:r>
        <w:rPr>
          <w:rFonts w:hint="eastAsia"/>
        </w:rPr>
        <w:t>万元，</w:t>
      </w:r>
    </w:p>
    <w:p>
      <w:pPr>
        <w:pStyle w:val="20"/>
        <w:numPr>
          <w:ilvl w:val="0"/>
          <w:numId w:val="0"/>
        </w:numPr>
        <w:ind w:right="0" w:rightChars="0" w:firstLine="640" w:firstLineChars="200"/>
        <w:rPr>
          <w:rFonts w:hint="eastAsia"/>
        </w:rPr>
      </w:pPr>
      <w:r>
        <w:rPr>
          <w:rFonts w:hint="eastAsia"/>
        </w:rPr>
        <w:t>主要用于：其他社会保障和就业</w:t>
      </w:r>
      <w:r>
        <w:rPr>
          <w:rFonts w:hint="eastAsia"/>
          <w:lang w:eastAsia="zh-CN"/>
        </w:rPr>
        <w:t>方面的</w:t>
      </w:r>
      <w:r>
        <w:rPr>
          <w:rFonts w:hint="eastAsia"/>
        </w:rPr>
        <w:t>支出。</w:t>
      </w:r>
    </w:p>
    <w:p>
      <w:pPr>
        <w:pStyle w:val="20"/>
        <w:numPr>
          <w:ilvl w:val="0"/>
          <w:numId w:val="0"/>
        </w:numPr>
        <w:ind w:leftChars="500" w:right="0" w:rightChars="0" w:firstLine="320" w:firstLineChars="100"/>
        <w:rPr>
          <w:rFonts w:hint="eastAsia"/>
        </w:rPr>
      </w:pPr>
      <w:r>
        <w:rPr>
          <w:rFonts w:hint="eastAsia"/>
          <w:lang w:val="en-US" w:eastAsia="zh-CN"/>
        </w:rPr>
        <w:t>5.</w:t>
      </w:r>
      <w:r>
        <w:rPr>
          <w:rFonts w:hint="eastAsia"/>
        </w:rPr>
        <w:t>卫生健康支出（类）行政事业单位医疗（款）行政单</w:t>
      </w:r>
    </w:p>
    <w:p>
      <w:pPr>
        <w:pStyle w:val="20"/>
        <w:numPr>
          <w:ilvl w:val="0"/>
          <w:numId w:val="0"/>
        </w:numPr>
        <w:ind w:right="0" w:rightChars="0" w:firstLine="640" w:firstLineChars="200"/>
        <w:rPr>
          <w:rFonts w:hint="eastAsia"/>
        </w:rPr>
      </w:pPr>
      <w:r>
        <w:rPr>
          <w:rFonts w:hint="eastAsia"/>
          <w:lang w:eastAsia="zh-CN"/>
        </w:rPr>
        <w:t>位</w:t>
      </w:r>
      <w:r>
        <w:rPr>
          <w:rFonts w:hint="eastAsia"/>
        </w:rPr>
        <w:t>医疗（项）:20</w:t>
      </w:r>
      <w:r>
        <w:rPr>
          <w:rFonts w:hint="eastAsia"/>
          <w:lang w:val="en-US" w:eastAsia="zh-CN"/>
        </w:rPr>
        <w:t>25</w:t>
      </w:r>
      <w:r>
        <w:rPr>
          <w:rFonts w:hint="eastAsia"/>
        </w:rPr>
        <w:t>年预算数为</w:t>
      </w:r>
      <w:r>
        <w:rPr>
          <w:rFonts w:hint="eastAsia"/>
          <w:lang w:val="en-US" w:eastAsia="zh-CN"/>
        </w:rPr>
        <w:t>26.79</w:t>
      </w:r>
      <w:r>
        <w:rPr>
          <w:rFonts w:hint="eastAsia"/>
        </w:rPr>
        <w:t>万元，主要用于：机关单</w:t>
      </w:r>
    </w:p>
    <w:p>
      <w:pPr>
        <w:pStyle w:val="20"/>
        <w:numPr>
          <w:ilvl w:val="0"/>
          <w:numId w:val="0"/>
        </w:numPr>
        <w:ind w:right="0" w:rightChars="0" w:firstLine="640" w:firstLineChars="200"/>
        <w:rPr>
          <w:rFonts w:hint="eastAsia"/>
        </w:rPr>
      </w:pPr>
      <w:r>
        <w:rPr>
          <w:rFonts w:hint="eastAsia"/>
        </w:rPr>
        <w:t>位基本医疗保险缴费支出。</w:t>
      </w:r>
    </w:p>
    <w:p>
      <w:pPr>
        <w:pStyle w:val="20"/>
        <w:numPr>
          <w:ilvl w:val="0"/>
          <w:numId w:val="0"/>
        </w:numPr>
        <w:ind w:left="638" w:leftChars="290" w:right="0" w:rightChars="0" w:firstLine="640" w:firstLineChars="200"/>
        <w:rPr>
          <w:rFonts w:hint="eastAsia"/>
          <w:highlight w:val="none"/>
          <w:lang w:val="en-US" w:eastAsia="zh-CN"/>
        </w:rPr>
      </w:pPr>
      <w:r>
        <w:rPr>
          <w:rFonts w:hint="eastAsia"/>
          <w:lang w:val="en-US" w:eastAsia="zh-CN"/>
        </w:rPr>
        <w:t>6.</w:t>
      </w:r>
      <w:r>
        <w:rPr>
          <w:rFonts w:hint="eastAsia"/>
        </w:rPr>
        <w:t>卫生健康支出（类）行政事业单位医疗（款） 公务员医疗补助（项）:20</w:t>
      </w:r>
      <w:r>
        <w:rPr>
          <w:rFonts w:hint="eastAsia"/>
          <w:lang w:val="en-US" w:eastAsia="zh-CN"/>
        </w:rPr>
        <w:t>25</w:t>
      </w:r>
      <w:r>
        <w:rPr>
          <w:rFonts w:hint="eastAsia"/>
        </w:rPr>
        <w:t>年预算数为</w:t>
      </w:r>
      <w:r>
        <w:rPr>
          <w:rFonts w:hint="eastAsia"/>
          <w:lang w:val="en-US" w:eastAsia="zh-CN"/>
        </w:rPr>
        <w:t>5.9</w:t>
      </w:r>
      <w:r>
        <w:rPr>
          <w:rFonts w:hint="eastAsia"/>
        </w:rPr>
        <w:t>万元，主要用于：机关单位 公务员医疗补助保险缴费支出。</w:t>
      </w:r>
    </w:p>
    <w:p>
      <w:pPr>
        <w:pStyle w:val="20"/>
        <w:ind w:left="638" w:leftChars="290" w:firstLine="640" w:firstLineChars="200"/>
        <w:rPr>
          <w:rFonts w:hint="eastAsia"/>
        </w:rPr>
      </w:pPr>
      <w:r>
        <w:rPr>
          <w:rFonts w:hint="eastAsia"/>
          <w:lang w:val="en-US" w:eastAsia="zh-CN"/>
        </w:rPr>
        <w:t>7.</w:t>
      </w:r>
      <w:r>
        <w:rPr>
          <w:rFonts w:hint="eastAsia"/>
        </w:rPr>
        <w:t>城乡社区支出（类）城乡社区管理事务（款）行政运行（项）:20</w:t>
      </w:r>
      <w:r>
        <w:rPr>
          <w:rFonts w:hint="eastAsia"/>
          <w:lang w:val="en-US" w:eastAsia="zh-CN"/>
        </w:rPr>
        <w:t>25</w:t>
      </w:r>
      <w:r>
        <w:rPr>
          <w:rFonts w:hint="eastAsia"/>
        </w:rPr>
        <w:t>年预算数为</w:t>
      </w:r>
      <w:r>
        <w:rPr>
          <w:rFonts w:hint="eastAsia"/>
          <w:lang w:val="en-US" w:eastAsia="zh-CN"/>
        </w:rPr>
        <w:t>1118.04</w:t>
      </w:r>
      <w:r>
        <w:rPr>
          <w:rFonts w:hint="eastAsia"/>
        </w:rPr>
        <w:t>万元，主要用于：机关及参公管</w:t>
      </w:r>
    </w:p>
    <w:p>
      <w:pPr>
        <w:pStyle w:val="20"/>
        <w:ind w:left="638" w:leftChars="290" w:firstLine="0" w:firstLineChars="0"/>
        <w:rPr>
          <w:rFonts w:hint="eastAsia"/>
        </w:rPr>
      </w:pPr>
      <w:r>
        <w:rPr>
          <w:rFonts w:hint="eastAsia"/>
        </w:rPr>
        <w:t>理事业单位正常运转的基本支出，包括基本工资、津贴补贴等人员经费以及办公费、印刷费、水电费等日常公用经费。</w:t>
      </w:r>
    </w:p>
    <w:p>
      <w:pPr>
        <w:pStyle w:val="20"/>
        <w:numPr>
          <w:ilvl w:val="0"/>
          <w:numId w:val="0"/>
        </w:numPr>
        <w:ind w:left="638" w:leftChars="290" w:right="0" w:rightChars="0" w:firstLine="640" w:firstLineChars="200"/>
        <w:rPr>
          <w:rFonts w:hint="eastAsia"/>
        </w:rPr>
      </w:pPr>
      <w:r>
        <w:rPr>
          <w:rFonts w:hint="eastAsia"/>
          <w:lang w:val="en-US" w:eastAsia="zh-CN"/>
        </w:rPr>
        <w:t>8.</w:t>
      </w:r>
      <w:r>
        <w:rPr>
          <w:rFonts w:hint="eastAsia"/>
        </w:rPr>
        <w:t>住房保障（类）住房改革支出（款）住房公积金（项）:20</w:t>
      </w:r>
      <w:r>
        <w:rPr>
          <w:rFonts w:hint="eastAsia"/>
          <w:lang w:val="en-US" w:eastAsia="zh-CN"/>
        </w:rPr>
        <w:t>25</w:t>
      </w:r>
      <w:r>
        <w:rPr>
          <w:rFonts w:hint="eastAsia"/>
        </w:rPr>
        <w:t>年预算数为</w:t>
      </w:r>
      <w:r>
        <w:rPr>
          <w:rFonts w:hint="eastAsia"/>
          <w:lang w:val="en-US" w:eastAsia="zh-CN"/>
        </w:rPr>
        <w:t>67.56</w:t>
      </w:r>
      <w:r>
        <w:rPr>
          <w:rFonts w:hint="eastAsia"/>
        </w:rPr>
        <w:t>万元，主要用于：部门按人力</w:t>
      </w:r>
    </w:p>
    <w:p>
      <w:pPr>
        <w:pStyle w:val="20"/>
        <w:numPr>
          <w:ilvl w:val="0"/>
          <w:numId w:val="0"/>
        </w:numPr>
        <w:ind w:right="0" w:rightChars="0" w:firstLine="640" w:firstLineChars="200"/>
        <w:rPr>
          <w:rFonts w:hint="eastAsia"/>
        </w:rPr>
      </w:pPr>
      <w:r>
        <w:rPr>
          <w:rFonts w:hint="eastAsia"/>
        </w:rPr>
        <w:t>资源和社会保障部、财政部规定的基本工资和津贴补贴以及</w:t>
      </w:r>
    </w:p>
    <w:p>
      <w:pPr>
        <w:pStyle w:val="20"/>
        <w:numPr>
          <w:ilvl w:val="0"/>
          <w:numId w:val="0"/>
        </w:numPr>
        <w:ind w:right="0" w:rightChars="0" w:firstLine="640" w:firstLineChars="200"/>
        <w:rPr>
          <w:rFonts w:hint="eastAsia" w:ascii="宋体" w:hAnsi="宋体"/>
          <w:sz w:val="32"/>
          <w:lang w:val="en-US" w:eastAsia="zh-CN"/>
        </w:rPr>
      </w:pPr>
      <w:r>
        <w:rPr>
          <w:rFonts w:hint="eastAsia"/>
        </w:rPr>
        <w:t>规定比例为职工缴纳的住房公积金支出。</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3" w:name="_Toc19523"/>
      <w:r>
        <w:rPr>
          <w:rFonts w:hint="eastAsia" w:ascii="宋体" w:hAnsi="宋体" w:eastAsia="黑体"/>
          <w:color w:val="333333"/>
        </w:rPr>
        <w:t>四、一般公共预算基本支出情况说明</w:t>
      </w:r>
      <w:bookmarkEnd w:id="43"/>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五通桥区城市管理监察大队2025年一般公共预算基本支出1345.93万元，其中：</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人员经费1162.58万元，主要包括：基本工资、津贴补贴、奖金、伙食补助费、绩效工资、机关事业单位基本养老保险缴费、职业年金缴费、职工基本医疗保险缴费、其他社会保障缴费、住房公积金、其他工资福利支出、离休费、抚恤金、生活补助、其他对个人和家庭的补助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公用经费183.36万元，主要包括：主要包括：办公费、印刷费、水费、电费、邮电费、差旅费、维修（护）费、会议费、培训费、公务接待费、劳务费、工会经费、福利费、公务用车运行维护费、其他交通费、其他商品和服务支出。</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4" w:name="_Toc17891"/>
      <w:r>
        <w:rPr>
          <w:rFonts w:hint="eastAsia" w:ascii="宋体" w:hAnsi="宋体" w:eastAsia="黑体"/>
          <w:color w:val="333333"/>
        </w:rPr>
        <w:t>五、“三公”经费财政拨款预算安排情况说明</w:t>
      </w:r>
      <w:bookmarkEnd w:id="44"/>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五通桥区城市管理监察大队2025年“三公”经费财政拨款预算数10万元，其中：公务接待费2万元，公务用车购置0万元，公车运行维护费8万元。</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38" w:leftChars="29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2025年公务接待费计划用于日常工作和特定项目的接待事项等。</w:t>
      </w:r>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5" w:name="_Toc28651"/>
      <w:r>
        <w:rPr>
          <w:rFonts w:ascii="宋体" w:hAnsi="宋体"/>
        </w:rPr>
        <w:t>（一）</w:t>
      </w:r>
      <w:r>
        <w:rPr>
          <w:rFonts w:hint="eastAsia" w:ascii="宋体" w:hAnsi="宋体"/>
          <w:lang w:val="en-US" w:eastAsia="zh-CN"/>
        </w:rPr>
        <w:t>公务接待费变化情况</w:t>
      </w:r>
      <w:bookmarkEnd w:id="45"/>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公务接待费较</w:t>
      </w:r>
      <w:r>
        <w:rPr>
          <w:rFonts w:hint="eastAsia" w:ascii="宋体" w:hAnsi="宋体"/>
          <w:sz w:val="32"/>
          <w:lang w:val="en-US" w:eastAsia="zh-CN"/>
        </w:rPr>
        <w:t>2024</w:t>
      </w:r>
      <w:r>
        <w:rPr>
          <w:rFonts w:hint="default" w:ascii="宋体" w:hAnsi="宋体"/>
          <w:sz w:val="32"/>
          <w:lang w:val="en-US" w:eastAsia="zh-CN"/>
        </w:rPr>
        <w:t>年预算</w:t>
      </w:r>
      <w:r>
        <w:rPr>
          <w:rFonts w:hint="eastAsia" w:ascii="宋体" w:hAnsi="宋体"/>
          <w:sz w:val="32"/>
          <w:lang w:val="en-US" w:eastAsia="zh-CN"/>
        </w:rPr>
        <w:t>2</w:t>
      </w:r>
      <w:r>
        <w:rPr>
          <w:rFonts w:hint="default" w:ascii="宋体" w:hAnsi="宋体"/>
          <w:sz w:val="32"/>
          <w:lang w:val="en-US" w:eastAsia="zh-CN"/>
        </w:rPr>
        <w:t>万元</w:t>
      </w:r>
      <w:r>
        <w:rPr>
          <w:rFonts w:hint="eastAsia" w:ascii="宋体" w:hAnsi="宋体"/>
          <w:sz w:val="32"/>
          <w:lang w:val="en-US" w:eastAsia="zh-CN"/>
        </w:rPr>
        <w:t>持平</w:t>
      </w:r>
      <w:r>
        <w:rPr>
          <w:rFonts w:hint="default" w:ascii="宋体" w:hAnsi="宋体"/>
          <w:sz w:val="32"/>
          <w:lang w:val="en-US" w:eastAsia="zh-CN"/>
        </w:rPr>
        <w:t>。主要原因是厉行节约，压缩接待规模和接待费用。</w:t>
      </w:r>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6" w:name="_Toc19725"/>
      <w:r>
        <w:rPr>
          <w:rFonts w:ascii="宋体" w:hAnsi="宋体"/>
        </w:rPr>
        <w:t>（</w:t>
      </w:r>
      <w:r>
        <w:rPr>
          <w:rFonts w:hint="eastAsia" w:ascii="宋体" w:hAnsi="宋体"/>
          <w:lang w:val="en-US" w:eastAsia="zh-CN"/>
        </w:rPr>
        <w:t>二</w:t>
      </w:r>
      <w:r>
        <w:rPr>
          <w:rFonts w:ascii="宋体" w:hAnsi="宋体"/>
        </w:rPr>
        <w:t>）</w:t>
      </w:r>
      <w:r>
        <w:rPr>
          <w:rFonts w:hint="eastAsia" w:ascii="宋体" w:hAnsi="宋体"/>
          <w:lang w:val="en-US" w:eastAsia="zh-CN"/>
        </w:rPr>
        <w:t>公务用车购置及运行维护费变化情况</w:t>
      </w:r>
      <w:bookmarkEnd w:id="46"/>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公务用车购置及运行维护费较</w:t>
      </w:r>
      <w:r>
        <w:rPr>
          <w:rFonts w:hint="eastAsia" w:ascii="宋体" w:hAnsi="宋体"/>
          <w:sz w:val="32"/>
          <w:lang w:val="en-US" w:eastAsia="zh-CN"/>
        </w:rPr>
        <w:t>2024</w:t>
      </w:r>
      <w:r>
        <w:rPr>
          <w:rFonts w:hint="default" w:ascii="宋体" w:hAnsi="宋体"/>
          <w:sz w:val="32"/>
          <w:lang w:val="en-US" w:eastAsia="zh-CN"/>
        </w:rPr>
        <w:t>预算</w:t>
      </w:r>
      <w:r>
        <w:rPr>
          <w:rFonts w:hint="eastAsia" w:ascii="宋体" w:hAnsi="宋体"/>
          <w:sz w:val="32"/>
          <w:lang w:val="en-US" w:eastAsia="zh-CN"/>
        </w:rPr>
        <w:t>8</w:t>
      </w:r>
      <w:r>
        <w:rPr>
          <w:rFonts w:hint="default" w:ascii="宋体" w:hAnsi="宋体"/>
          <w:sz w:val="32"/>
          <w:lang w:val="en-US" w:eastAsia="zh-CN"/>
        </w:rPr>
        <w:t>万元预算持平。主要原因是厉行节约，规范公务出行，尽量乘坐公共交通工具。</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highlight w:val="none"/>
          <w:lang w:val="en-US" w:eastAsia="zh-CN"/>
        </w:rPr>
      </w:pPr>
      <w:r>
        <w:rPr>
          <w:rFonts w:hint="default" w:ascii="宋体" w:hAnsi="宋体"/>
          <w:sz w:val="32"/>
          <w:highlight w:val="none"/>
          <w:lang w:val="en-US" w:eastAsia="zh-CN"/>
        </w:rPr>
        <w:t>单位实有公务用车</w:t>
      </w:r>
      <w:r>
        <w:rPr>
          <w:rFonts w:hint="eastAsia" w:ascii="宋体" w:hAnsi="宋体"/>
          <w:sz w:val="32"/>
          <w:highlight w:val="none"/>
          <w:lang w:val="en-US" w:eastAsia="zh-CN"/>
        </w:rPr>
        <w:t>4</w:t>
      </w:r>
      <w:r>
        <w:rPr>
          <w:rFonts w:hint="default" w:ascii="宋体" w:hAnsi="宋体"/>
          <w:sz w:val="32"/>
          <w:highlight w:val="none"/>
          <w:lang w:val="en-US" w:eastAsia="zh-CN"/>
        </w:rPr>
        <w:t>辆，其中：轿车</w:t>
      </w:r>
      <w:r>
        <w:rPr>
          <w:rFonts w:hint="eastAsia" w:ascii="宋体" w:hAnsi="宋体"/>
          <w:sz w:val="32"/>
          <w:highlight w:val="none"/>
          <w:lang w:val="en-US" w:eastAsia="zh-CN"/>
        </w:rPr>
        <w:t>4</w:t>
      </w:r>
      <w:r>
        <w:rPr>
          <w:rFonts w:hint="default" w:ascii="宋体" w:hAnsi="宋体"/>
          <w:sz w:val="32"/>
          <w:highlight w:val="none"/>
          <w:lang w:val="en-US" w:eastAsia="zh-CN"/>
        </w:rPr>
        <w:t>辆，多功能乘用车</w:t>
      </w:r>
      <w:r>
        <w:rPr>
          <w:rFonts w:hint="eastAsia" w:ascii="宋体" w:hAnsi="宋体"/>
          <w:sz w:val="32"/>
          <w:highlight w:val="none"/>
          <w:lang w:val="en-US" w:eastAsia="zh-CN"/>
        </w:rPr>
        <w:t>0</w:t>
      </w:r>
      <w:r>
        <w:rPr>
          <w:rFonts w:hint="default" w:ascii="宋体" w:hAnsi="宋体"/>
          <w:sz w:val="32"/>
          <w:highlight w:val="none"/>
          <w:lang w:val="en-US" w:eastAsia="zh-CN"/>
        </w:rPr>
        <w:t>辆。</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highlight w:val="none"/>
          <w:lang w:val="en-US" w:eastAsia="zh-CN"/>
        </w:rPr>
      </w:pPr>
      <w:r>
        <w:rPr>
          <w:rFonts w:hint="eastAsia" w:ascii="宋体" w:hAnsi="宋体"/>
          <w:sz w:val="32"/>
          <w:highlight w:val="none"/>
          <w:lang w:val="en-US" w:eastAsia="zh-CN"/>
        </w:rPr>
        <w:t>2025</w:t>
      </w:r>
      <w:r>
        <w:rPr>
          <w:rFonts w:hint="default" w:ascii="宋体" w:hAnsi="宋体"/>
          <w:sz w:val="32"/>
          <w:highlight w:val="none"/>
          <w:lang w:val="en-US" w:eastAsia="zh-CN"/>
        </w:rPr>
        <w:t>年安排公务用车购置费</w:t>
      </w:r>
      <w:r>
        <w:rPr>
          <w:rFonts w:hint="eastAsia" w:ascii="宋体" w:hAnsi="宋体"/>
          <w:sz w:val="32"/>
          <w:highlight w:val="none"/>
          <w:lang w:val="en-US" w:eastAsia="zh-CN"/>
        </w:rPr>
        <w:t>0</w:t>
      </w:r>
      <w:r>
        <w:rPr>
          <w:rFonts w:hint="default" w:ascii="宋体" w:hAnsi="宋体"/>
          <w:sz w:val="32"/>
          <w:highlight w:val="none"/>
          <w:lang w:val="en-US" w:eastAsia="zh-CN"/>
        </w:rPr>
        <w:t>万元，拟购置公务用车</w:t>
      </w:r>
      <w:r>
        <w:rPr>
          <w:rFonts w:hint="eastAsia" w:ascii="宋体" w:hAnsi="宋体"/>
          <w:sz w:val="32"/>
          <w:highlight w:val="none"/>
          <w:lang w:val="en-US" w:eastAsia="zh-CN"/>
        </w:rPr>
        <w:t>0</w:t>
      </w:r>
      <w:r>
        <w:rPr>
          <w:rFonts w:hint="default" w:ascii="宋体" w:hAnsi="宋体"/>
          <w:sz w:val="32"/>
          <w:highlight w:val="none"/>
          <w:lang w:val="en-US" w:eastAsia="zh-CN"/>
        </w:rPr>
        <w:t>辆，其中：轿车</w:t>
      </w:r>
      <w:r>
        <w:rPr>
          <w:rFonts w:hint="eastAsia" w:ascii="宋体" w:hAnsi="宋体"/>
          <w:sz w:val="32"/>
          <w:highlight w:val="none"/>
          <w:lang w:val="en-US" w:eastAsia="zh-CN"/>
        </w:rPr>
        <w:t>0</w:t>
      </w:r>
      <w:r>
        <w:rPr>
          <w:rFonts w:hint="default" w:ascii="宋体" w:hAnsi="宋体"/>
          <w:sz w:val="32"/>
          <w:highlight w:val="none"/>
          <w:lang w:val="en-US" w:eastAsia="zh-CN"/>
        </w:rPr>
        <w:t>辆，旅行车（含商务车）</w:t>
      </w:r>
      <w:r>
        <w:rPr>
          <w:rFonts w:hint="eastAsia" w:ascii="宋体" w:hAnsi="宋体"/>
          <w:sz w:val="32"/>
          <w:highlight w:val="none"/>
          <w:lang w:val="en-US" w:eastAsia="zh-CN"/>
        </w:rPr>
        <w:t>0</w:t>
      </w:r>
      <w:r>
        <w:rPr>
          <w:rFonts w:hint="default" w:ascii="宋体" w:hAnsi="宋体"/>
          <w:sz w:val="32"/>
          <w:highlight w:val="none"/>
          <w:lang w:val="en-US" w:eastAsia="zh-CN"/>
        </w:rPr>
        <w:t>辆，越野车</w:t>
      </w:r>
      <w:r>
        <w:rPr>
          <w:rFonts w:hint="eastAsia" w:ascii="宋体" w:hAnsi="宋体"/>
          <w:sz w:val="32"/>
          <w:highlight w:val="none"/>
          <w:lang w:val="en-US" w:eastAsia="zh-CN"/>
        </w:rPr>
        <w:t>0</w:t>
      </w:r>
      <w:r>
        <w:rPr>
          <w:rFonts w:hint="default" w:ascii="宋体" w:hAnsi="宋体"/>
          <w:sz w:val="32"/>
          <w:highlight w:val="none"/>
          <w:lang w:val="en-US" w:eastAsia="zh-CN"/>
        </w:rPr>
        <w:t>辆，大型客、货车</w:t>
      </w:r>
      <w:r>
        <w:rPr>
          <w:rFonts w:hint="eastAsia" w:ascii="宋体" w:hAnsi="宋体"/>
          <w:sz w:val="32"/>
          <w:highlight w:val="none"/>
          <w:lang w:val="en-US" w:eastAsia="zh-CN"/>
        </w:rPr>
        <w:t>0</w:t>
      </w:r>
      <w:r>
        <w:rPr>
          <w:rFonts w:hint="default" w:ascii="宋体" w:hAnsi="宋体"/>
          <w:sz w:val="32"/>
          <w:highlight w:val="none"/>
          <w:lang w:val="en-US" w:eastAsia="zh-CN"/>
        </w:rPr>
        <w:t>辆。</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highlight w:val="none"/>
          <w:lang w:val="en-US" w:eastAsia="zh-CN"/>
        </w:rPr>
        <w:t>2025</w:t>
      </w:r>
      <w:r>
        <w:rPr>
          <w:rFonts w:hint="default" w:ascii="宋体" w:hAnsi="宋体"/>
          <w:sz w:val="32"/>
          <w:highlight w:val="none"/>
          <w:lang w:val="en-US" w:eastAsia="zh-CN"/>
        </w:rPr>
        <w:t>年安排公务用车运行维护费</w:t>
      </w:r>
      <w:r>
        <w:rPr>
          <w:rFonts w:hint="eastAsia" w:ascii="宋体" w:hAnsi="宋体"/>
          <w:sz w:val="32"/>
          <w:highlight w:val="none"/>
          <w:lang w:val="en-US" w:eastAsia="zh-CN"/>
        </w:rPr>
        <w:t>8</w:t>
      </w:r>
      <w:r>
        <w:rPr>
          <w:rFonts w:hint="default" w:ascii="宋体" w:hAnsi="宋体"/>
          <w:sz w:val="32"/>
          <w:highlight w:val="none"/>
          <w:lang w:val="en-US" w:eastAsia="zh-CN"/>
        </w:rPr>
        <w:t>万元，</w:t>
      </w:r>
      <w:r>
        <w:rPr>
          <w:rFonts w:hint="eastAsia" w:ascii="宋体" w:hAnsi="宋体"/>
          <w:sz w:val="32"/>
          <w:highlight w:val="none"/>
          <w:lang w:val="en-US" w:eastAsia="zh-CN"/>
        </w:rPr>
        <w:t>用于4</w:t>
      </w:r>
      <w:r>
        <w:rPr>
          <w:rFonts w:hint="default" w:ascii="宋体" w:hAnsi="宋体"/>
          <w:sz w:val="32"/>
          <w:highlight w:val="none"/>
          <w:lang w:val="en-US" w:eastAsia="zh-CN"/>
        </w:rPr>
        <w:t>辆公</w:t>
      </w:r>
      <w:r>
        <w:rPr>
          <w:rFonts w:hint="default" w:ascii="宋体" w:hAnsi="宋体"/>
          <w:sz w:val="32"/>
          <w:lang w:val="en-US" w:eastAsia="zh-CN"/>
        </w:rPr>
        <w:t>务用车</w:t>
      </w:r>
      <w:r>
        <w:rPr>
          <w:rFonts w:hint="eastAsia" w:ascii="宋体" w:hAnsi="宋体"/>
          <w:sz w:val="32"/>
          <w:lang w:val="en-US" w:eastAsia="zh-CN"/>
        </w:rPr>
        <w:t>开展应急保障和执法执勤</w:t>
      </w:r>
      <w:r>
        <w:rPr>
          <w:rFonts w:hint="default" w:ascii="宋体" w:hAnsi="宋体"/>
          <w:sz w:val="32"/>
          <w:lang w:val="en-US" w:eastAsia="zh-CN"/>
        </w:rPr>
        <w:t>等工作所需的公务用车汽油费、维修费、过路过桥费、保险费、停车费等支出。</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7" w:name="_Toc1064"/>
      <w:r>
        <w:rPr>
          <w:rFonts w:hint="eastAsia" w:ascii="宋体" w:hAnsi="宋体" w:eastAsia="黑体"/>
          <w:color w:val="333333"/>
        </w:rPr>
        <w:t>六、政府性基金预算支出情况说明</w:t>
      </w:r>
      <w:bookmarkEnd w:id="47"/>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五通桥区城市管理监察大队2025</w:t>
      </w:r>
      <w:r>
        <w:rPr>
          <w:rFonts w:hint="default" w:ascii="宋体" w:hAnsi="宋体"/>
          <w:sz w:val="32"/>
          <w:lang w:val="en-US" w:eastAsia="zh-CN"/>
        </w:rPr>
        <w:t>年政府性基金预算拨款安排支出</w:t>
      </w:r>
      <w:r>
        <w:rPr>
          <w:rFonts w:hint="eastAsia" w:ascii="宋体" w:hAnsi="宋体"/>
          <w:sz w:val="32"/>
          <w:lang w:val="en-US" w:eastAsia="zh-CN"/>
        </w:rPr>
        <w:t>0万元，较上年预算数持平，主要用于无。</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8" w:name="_Toc4804"/>
      <w:r>
        <w:rPr>
          <w:rFonts w:hint="eastAsia" w:ascii="宋体" w:hAnsi="宋体" w:eastAsia="黑体"/>
          <w:color w:val="333333"/>
          <w:lang w:val="en-US" w:eastAsia="zh-CN"/>
        </w:rPr>
        <w:t>七、</w:t>
      </w:r>
      <w:r>
        <w:rPr>
          <w:rFonts w:hint="eastAsia" w:ascii="宋体" w:hAnsi="宋体" w:eastAsia="黑体"/>
          <w:color w:val="333333"/>
        </w:rPr>
        <w:t>国有资本经营预算情况说明</w:t>
      </w:r>
      <w:bookmarkEnd w:id="48"/>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五通桥区城市管理监察大队2025年国有资本经营预算拨款安排支出0万元,较上年预算数持平，主要用于无。</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lang w:val="en-US" w:eastAsia="zh-CN"/>
        </w:rPr>
      </w:pPr>
      <w:bookmarkStart w:id="49" w:name="_Toc11482"/>
      <w:r>
        <w:rPr>
          <w:rFonts w:hint="eastAsia" w:ascii="宋体" w:hAnsi="宋体" w:eastAsia="黑体"/>
          <w:color w:val="333333"/>
          <w:lang w:val="en-US" w:eastAsia="zh-CN"/>
        </w:rPr>
        <w:t>八、其他重要事项的情况说明</w:t>
      </w:r>
      <w:bookmarkEnd w:id="49"/>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default" w:ascii="宋体" w:hAnsi="宋体"/>
          <w:lang w:val="en-US" w:eastAsia="zh-CN"/>
        </w:rPr>
      </w:pPr>
      <w:bookmarkStart w:id="50" w:name="_Toc10187"/>
      <w:r>
        <w:rPr>
          <w:rFonts w:ascii="宋体" w:hAnsi="宋体"/>
        </w:rPr>
        <w:t>（一）机关运行经费情况</w:t>
      </w:r>
      <w:bookmarkEnd w:id="50"/>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2025年，五通桥区城市管理监察大队下属1家参公管理事业单位的机关运行经费财政拨款预算为183.36万元，比2024年预算70万元增加113.36万元，增长161.94%。主要原因是本年增加了自然资源局监察大队人员，增加了公用经费；其他交通费用、福利费、工会经费从上年的人员经费调到了公用经费致机关运行经费增加。</w:t>
      </w:r>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1" w:name="_Toc19089"/>
      <w:r>
        <w:rPr>
          <w:rFonts w:ascii="宋体" w:hAnsi="宋体"/>
        </w:rPr>
        <w:t>（二）政府采购情况</w:t>
      </w:r>
      <w:bookmarkEnd w:id="51"/>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2025年，五通桥区城市管理监察大队政府采购项目0万元。其中，政府采购货物预算0万元；政府采购工程预算0万元；政府采购服务预算0万元。</w:t>
      </w:r>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2" w:name="_Toc6623"/>
      <w:r>
        <w:rPr>
          <w:rFonts w:ascii="宋体" w:hAnsi="宋体"/>
        </w:rPr>
        <w:t>（三）国有资产占有使用情况</w:t>
      </w:r>
      <w:bookmarkEnd w:id="52"/>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截至2025年底，五通桥区城市管理监察大队所属各预算单位共有</w:t>
      </w:r>
      <w:r>
        <w:rPr>
          <w:rFonts w:hint="eastAsia" w:ascii="宋体" w:hAnsi="宋体"/>
          <w:sz w:val="32"/>
          <w:highlight w:val="none"/>
          <w:lang w:val="en-US" w:eastAsia="zh-CN"/>
        </w:rPr>
        <w:t>车辆4辆。</w:t>
      </w:r>
      <w:r>
        <w:rPr>
          <w:rFonts w:hint="eastAsia" w:ascii="宋体" w:hAnsi="宋体"/>
          <w:sz w:val="32"/>
          <w:lang w:val="en-US" w:eastAsia="zh-CN"/>
        </w:rPr>
        <w:t>单位价值100万元以上大型设备0套，为0。</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2025年部门预算未安排购置车辆及单位价值100万元以上大型设备。</w:t>
      </w:r>
    </w:p>
    <w:p>
      <w:pPr>
        <w:pStyle w:val="6"/>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3" w:name="_Toc28094"/>
      <w:r>
        <w:rPr>
          <w:rFonts w:hint="eastAsia" w:ascii="宋体" w:hAnsi="宋体"/>
          <w:lang w:eastAsia="zh-CN"/>
        </w:rPr>
        <w:t>（</w:t>
      </w:r>
      <w:r>
        <w:rPr>
          <w:rFonts w:hint="eastAsia" w:ascii="宋体" w:hAnsi="宋体"/>
          <w:lang w:val="en-US" w:eastAsia="zh-CN"/>
        </w:rPr>
        <w:t>四</w:t>
      </w:r>
      <w:r>
        <w:rPr>
          <w:rFonts w:hint="eastAsia" w:ascii="宋体" w:hAnsi="宋体"/>
          <w:lang w:eastAsia="zh-CN"/>
        </w:rPr>
        <w:t>）</w:t>
      </w:r>
      <w:r>
        <w:rPr>
          <w:rFonts w:ascii="宋体" w:hAnsi="宋体"/>
        </w:rPr>
        <w:t>预算绩效情况</w:t>
      </w:r>
      <w:bookmarkEnd w:id="53"/>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ascii="宋体" w:hAnsi="宋体"/>
          <w:spacing w:val="6"/>
        </w:rPr>
      </w:pPr>
      <w:r>
        <w:rPr>
          <w:rFonts w:hint="eastAsia" w:ascii="宋体" w:hAnsi="宋体"/>
          <w:sz w:val="32"/>
          <w:lang w:val="en-US" w:eastAsia="zh-CN"/>
        </w:rPr>
        <w:t>2025年五通桥区城市管理监察大队开展绩效目标管理的项目16个，涉及预算1345.93万元。其中：人员类项目10个，涉及预算1162.58万元；运转类项目6个，涉及预算183.36万元；特定目标类项目 0个，涉及预算0万元。</w:t>
      </w:r>
    </w:p>
    <w:p>
      <w:pPr>
        <w:pStyle w:val="4"/>
        <w:spacing w:before="0"/>
        <w:ind w:right="0"/>
        <w:jc w:val="both"/>
        <w:rPr>
          <w:rFonts w:ascii="宋体" w:hAnsi="宋体"/>
          <w:spacing w:val="6"/>
        </w:rPr>
        <w:sectPr>
          <w:headerReference r:id="rId9" w:type="default"/>
          <w:footerReference r:id="rId10" w:type="default"/>
          <w:pgSz w:w="11910" w:h="16840"/>
          <w:pgMar w:top="1587" w:right="964" w:bottom="1701" w:left="1134" w:header="737" w:footer="737" w:gutter="0"/>
          <w:pgNumType w:fmt="decimal"/>
          <w:cols w:space="0" w:num="1"/>
          <w:rtlGutter w:val="0"/>
          <w:docGrid w:linePitch="0" w:charSpace="0"/>
        </w:sectPr>
      </w:pPr>
    </w:p>
    <w:p>
      <w:pPr>
        <w:rPr>
          <w:rFonts w:ascii="宋体" w:hAnsi="宋体"/>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jc w:val="center"/>
        <w:outlineLvl w:val="0"/>
        <w:rPr>
          <w:rFonts w:hint="eastAsia" w:ascii="宋体" w:hAnsi="宋体" w:eastAsia="方正小标宋简体" w:cs="方正小标宋简体"/>
          <w:sz w:val="52"/>
          <w:szCs w:val="52"/>
          <w:lang w:val="en-US" w:eastAsia="zh-CN"/>
        </w:rPr>
      </w:pPr>
      <w:bookmarkStart w:id="54" w:name="_Toc12984"/>
      <w:r>
        <w:rPr>
          <w:rFonts w:hint="eastAsia" w:ascii="宋体" w:hAnsi="宋体" w:eastAsia="方正小标宋简体" w:cs="方正小标宋简体"/>
          <w:sz w:val="52"/>
          <w:szCs w:val="52"/>
          <w:lang w:val="en-US" w:eastAsia="zh-CN"/>
        </w:rPr>
        <w:t>第四部分  名词解释</w:t>
      </w:r>
      <w:bookmarkEnd w:id="54"/>
    </w:p>
    <w:p>
      <w:pPr>
        <w:spacing w:after="0"/>
        <w:rPr>
          <w:rFonts w:ascii="宋体" w:hAnsi="宋体"/>
          <w:sz w:val="20"/>
        </w:rPr>
        <w:sectPr>
          <w:headerReference r:id="rId11" w:type="default"/>
          <w:footerReference r:id="rId12" w:type="default"/>
          <w:pgSz w:w="11910" w:h="16840"/>
          <w:pgMar w:top="1587" w:right="964" w:bottom="1701" w:left="1134" w:header="737" w:footer="737" w:gutter="0"/>
          <w:pgNumType w:fmt="decimal"/>
          <w:cols w:space="0" w:num="1"/>
          <w:rtlGutter w:val="0"/>
          <w:docGrid w:linePitch="0" w:charSpace="0"/>
        </w:sectPr>
      </w:pP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1.财政拨款收支情况：是指一般公共预算、政府性基金预算、国有资本经营预算拨款收支情况。</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2.一般公共预算拨款收入：指区级财政当年拨付的资金。</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3.事业收入：指事业单位开展专业业务活动及辅助活动所取得的收入。</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4.事业单位经营收入：指事业单位在专业业务活动及其辅助活动之外开展非独立核算经营活动取得的收入。</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5.其他收入：指除上述“一般公共预算拨款收入”、“事业收入”、“事业单位经营收入”等以外的收入。主要是利息收入、国有资产出租收入等。</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7.上年结转：指以前年度尚未完成，结转到本年仍按原规定用途继续使用的资金。</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8.社会保障和就业（类）行政事业单位离退休（款）事业单位离退休（项）：指离退休人员的支出。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9.社会保障和就业（类）行政事业单位离退休（款）未归口管理的行政单位离退休（项）：指离退休人员的支出。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10.社会保障和就业（类）行政事业单位离退休（款）机关事业单位基本养老保险缴费支出（项）：指部门实施养老保险制度由单位缴纳的养老保险费的支出。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11.社会保障和就业（类）行政事业单位离退休（款）机关事业单位职业年金缴费支出（项）：指部门实施养老保险制度由单位缴纳的职业年金的支出。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12.社会保障和就业（类）其他社会保障和就业（款）其他社会保障和就业支出（项）：指除上述项目外，其他用于行政事业单位离退休方面的支出。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13.卫生健康（类）行政事业单位医疗（款）行政单位医疗（项）：指行政单位及参公管理事业单位用于缴纳单位基本医疗保险支出。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14.卫生健康（类）行政事业单位医疗（款）事业单位医疗（项）：指事业单位用于缴纳单位基本医疗保险支出。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15.卫生健康（类）行政事业单位医疗（款）公务员医疗补助（项）：指行政单位及参公管理事业单位用于集中缴纳公务员医疗补助支出。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16.住房保障（类）住房改革支出（款）住房公积金（项）：指由单位及其在职职工按规定缴存的住房公积金支出。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17.基本支出：指为保证机构正常运转，完成日常工作任务而发生的人员支出和公用支出。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18.项目支出：指在基本支出之外为完成特定行政任务和事业发展目标所发生的支出。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19.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spacing w:line="360" w:lineRule="auto"/>
        <w:ind w:left="638" w:leftChars="290" w:firstLine="640" w:firstLineChars="200"/>
        <w:rPr>
          <w:rFonts w:hint="eastAsia"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20.城乡社区支出（类）城乡社区管理事务（款）行政运行（项）是指行政单位（包括实行公务员管理的事业单位）在城乡社区管理事务中的基本支出。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p>
    <w:sectPr>
      <w:headerReference r:id="rId13" w:type="default"/>
      <w:footerReference r:id="rId14" w:type="default"/>
      <w:pgSz w:w="11910" w:h="16840"/>
      <w:pgMar w:top="1587" w:right="964" w:bottom="1701" w:left="1134" w:header="737" w:footer="737"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262F9EF-7EF4-4289-A01B-4F4393DCC9F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embedRegular r:id="rId2" w:fontKey="{A1DC84FB-2514-4181-A9B6-0074AED42782}"/>
  </w:font>
  <w:font w:name="楷体">
    <w:panose1 w:val="02010609060101010101"/>
    <w:charset w:val="86"/>
    <w:family w:val="modern"/>
    <w:pitch w:val="default"/>
    <w:sig w:usb0="800002BF" w:usb1="38CF7CFA" w:usb2="00000016" w:usb3="00000000" w:csb0="00040001" w:csb1="00000000"/>
    <w:embedRegular r:id="rId3" w:fontKey="{D47FF0AF-9606-46DC-BC10-847210FEC7E0}"/>
  </w:font>
  <w:font w:name="仿宋_GB2312">
    <w:panose1 w:val="02010609030101010101"/>
    <w:charset w:val="86"/>
    <w:family w:val="modern"/>
    <w:pitch w:val="default"/>
    <w:sig w:usb0="00000001" w:usb1="080E0000" w:usb2="00000000" w:usb3="00000000" w:csb0="00040000" w:csb1="00000000"/>
    <w:embedRegular r:id="rId4" w:fontKey="{A6D6119E-05E9-4814-8CDE-55AF7EEF54A0}"/>
  </w:font>
  <w:font w:name="方正小标宋简体">
    <w:panose1 w:val="03000509000000000000"/>
    <w:charset w:val="86"/>
    <w:family w:val="script"/>
    <w:pitch w:val="default"/>
    <w:sig w:usb0="00000001" w:usb1="080E0000" w:usb2="00000000" w:usb3="00000000" w:csb0="00040000" w:csb1="00000000"/>
    <w:embedRegular r:id="rId5" w:fontKey="{4D7C6EC6-01E4-46B5-8F57-19035BFE566D}"/>
  </w:font>
  <w:font w:name="仿宋">
    <w:panose1 w:val="02010609060101010101"/>
    <w:charset w:val="86"/>
    <w:family w:val="modern"/>
    <w:pitch w:val="default"/>
    <w:sig w:usb0="800002BF" w:usb1="38CF7CFA" w:usb2="00000016" w:usb3="00000000" w:csb0="00040001" w:csb1="00000000"/>
    <w:embedRegular r:id="rId6" w:fontKey="{AA8D4A42-10EB-4C1A-B87E-BBE4822FF98E}"/>
  </w:font>
  <w:font w:name="楷体_GB2312">
    <w:panose1 w:val="02010609030101010101"/>
    <w:charset w:val="86"/>
    <w:family w:val="modern"/>
    <w:pitch w:val="default"/>
    <w:sig w:usb0="00000001" w:usb1="080E0000" w:usb2="00000000" w:usb3="00000000" w:csb0="00040000" w:csb1="00000000"/>
    <w:embedRegular r:id="rId7" w:fontKey="{F71A6689-F283-4416-AE96-D223B693CA6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240" w:lineRule="auto"/>
      <w:rPr>
        <w:sz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240" w:lineRule="auto"/>
      <w:rPr>
        <w:sz w:val="2"/>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sz w:val="3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- 7 -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- 7 -</w:t>
                    </w:r>
                    <w:r>
                      <w:fldChar w:fldCharType="end"/>
                    </w:r>
                    <w:r>
                      <w:t xml:space="preserve"> —</w:t>
                    </w:r>
                  </w:p>
                </w:txbxContent>
              </v:textbox>
            </v:shape>
          </w:pict>
        </mc:Fallback>
      </mc:AlternateContent>
    </w:r>
    <w: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3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r>
      <w:rPr>
        <w:sz w:val="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- 12 -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- 12 -</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sz w:val="32"/>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- 13 -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- 13 -</w:t>
                    </w:r>
                    <w:r>
                      <w:fldChar w:fldCharType="end"/>
                    </w:r>
                    <w:r>
                      <w:t xml:space="preserve"> —</w:t>
                    </w:r>
                  </w:p>
                </w:txbxContent>
              </v:textbox>
            </v:shape>
          </w:pict>
        </mc:Fallback>
      </mc:AlternateContent>
    </w:r>
    <w:r>
      <w:drawing>
        <wp:anchor distT="0" distB="0" distL="0" distR="0" simplePos="0" relativeHeight="251660288"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lear" w:pos="4153"/>
      </w:tabs>
      <w:spacing w:after="0" w:afterLines="201" w:afterAutospacing="0"/>
      <w:ind w:firstLine="404"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240"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57E4DA"/>
    <w:multiLevelType w:val="singleLevel"/>
    <w:tmpl w:val="3C57E4DA"/>
    <w:lvl w:ilvl="0" w:tentative="0">
      <w:start w:val="1"/>
      <w:numFmt w:val="chineseCounting"/>
      <w:suff w:val="space"/>
      <w:lvlText w:val="第%1部分"/>
      <w:lvlJc w:val="left"/>
      <w:rPr>
        <w:rFonts w:hint="eastAsia"/>
      </w:rPr>
    </w:lvl>
  </w:abstractNum>
  <w:abstractNum w:abstractNumId="1">
    <w:nsid w:val="501035D5"/>
    <w:multiLevelType w:val="singleLevel"/>
    <w:tmpl w:val="501035D5"/>
    <w:lvl w:ilvl="0" w:tentative="0">
      <w:start w:val="2"/>
      <w:numFmt w:val="chineseCounting"/>
      <w:suff w:val="space"/>
      <w:lvlText w:val="第%1部分"/>
      <w:lvlJc w:val="left"/>
      <w:rPr>
        <w:rFonts w:hint="eastAsia"/>
      </w:rPr>
    </w:lvl>
  </w:abstractNum>
  <w:abstractNum w:abstractNumId="2">
    <w:nsid w:val="70D20D9D"/>
    <w:multiLevelType w:val="singleLevel"/>
    <w:tmpl w:val="70D20D9D"/>
    <w:lvl w:ilvl="0" w:tentative="0">
      <w:start w:val="3"/>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kY2FlMGQyNDEzM2Q3ODNlYmRhZTM0YmMzNGFlY2MifQ=="/>
    <w:docVar w:name="KSO_WPS_MARK_KEY" w:val="48d2c7c5-5ca7-4a62-94c0-78ba1c7e0ebc"/>
  </w:docVars>
  <w:rsids>
    <w:rsidRoot w:val="00000000"/>
    <w:rsid w:val="02ED1707"/>
    <w:rsid w:val="02F925FF"/>
    <w:rsid w:val="08F93370"/>
    <w:rsid w:val="11E16059"/>
    <w:rsid w:val="13CB5FFB"/>
    <w:rsid w:val="18D94D16"/>
    <w:rsid w:val="1BF62F50"/>
    <w:rsid w:val="1C4565B4"/>
    <w:rsid w:val="1E9115A9"/>
    <w:rsid w:val="20D9567F"/>
    <w:rsid w:val="21211D8E"/>
    <w:rsid w:val="240622C9"/>
    <w:rsid w:val="247F2477"/>
    <w:rsid w:val="2BD66371"/>
    <w:rsid w:val="3170631D"/>
    <w:rsid w:val="44300D78"/>
    <w:rsid w:val="4A58196F"/>
    <w:rsid w:val="4D3C563B"/>
    <w:rsid w:val="51B64A5B"/>
    <w:rsid w:val="54BB49E6"/>
    <w:rsid w:val="54C30EEA"/>
    <w:rsid w:val="5543046B"/>
    <w:rsid w:val="58EE6347"/>
    <w:rsid w:val="595E3E2E"/>
    <w:rsid w:val="5AE90F4A"/>
    <w:rsid w:val="5B65451D"/>
    <w:rsid w:val="665A4934"/>
    <w:rsid w:val="689007AB"/>
    <w:rsid w:val="68ED4172"/>
    <w:rsid w:val="6BF31FF7"/>
    <w:rsid w:val="704439CF"/>
    <w:rsid w:val="7209340F"/>
    <w:rsid w:val="76A30804"/>
    <w:rsid w:val="7C6130B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5">
    <w:name w:val="heading 1"/>
    <w:basedOn w:val="1"/>
    <w:next w:val="1"/>
    <w:qFormat/>
    <w:uiPriority w:val="1"/>
    <w:pPr>
      <w:spacing w:before="79"/>
      <w:ind w:left="2747"/>
      <w:outlineLvl w:val="1"/>
    </w:pPr>
    <w:rPr>
      <w:rFonts w:ascii="Times New Roman" w:hAnsi="Times New Roman" w:eastAsia="Times New Roman" w:cs="Times New Roman"/>
      <w:sz w:val="52"/>
      <w:szCs w:val="52"/>
      <w:lang w:val="zh-CN" w:eastAsia="zh-CN" w:bidi="zh-CN"/>
    </w:rPr>
  </w:style>
  <w:style w:type="paragraph" w:styleId="6">
    <w:name w:val="heading 2"/>
    <w:basedOn w:val="1"/>
    <w:next w:val="1"/>
    <w:qFormat/>
    <w:uiPriority w:val="1"/>
    <w:pPr>
      <w:ind w:left="923"/>
      <w:outlineLvl w:val="2"/>
    </w:pPr>
    <w:rPr>
      <w:rFonts w:ascii="楷体" w:hAnsi="楷体" w:eastAsia="楷体" w:cs="楷体"/>
      <w:b/>
      <w:bCs/>
      <w:sz w:val="32"/>
      <w:szCs w:val="32"/>
      <w:lang w:val="zh-CN" w:eastAsia="zh-CN" w:bidi="zh-CN"/>
    </w:rPr>
  </w:style>
  <w:style w:type="character" w:default="1" w:styleId="13">
    <w:name w:val="Default Paragraph Font"/>
    <w:semiHidden/>
    <w:unhideWhenUsed/>
    <w:qFormat/>
    <w:uiPriority w:val="1"/>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99"/>
    <w:pPr>
      <w:ind w:firstLine="420" w:firstLineChars="200"/>
    </w:pPr>
  </w:style>
  <w:style w:type="paragraph" w:styleId="3">
    <w:name w:val="Body Text Indent"/>
    <w:basedOn w:val="1"/>
    <w:qFormat/>
    <w:uiPriority w:val="99"/>
    <w:pPr>
      <w:spacing w:after="120"/>
      <w:ind w:left="420" w:leftChars="200"/>
    </w:pPr>
  </w:style>
  <w:style w:type="paragraph" w:styleId="4">
    <w:name w:val="Body Text"/>
    <w:basedOn w:val="1"/>
    <w:qFormat/>
    <w:uiPriority w:val="1"/>
    <w:rPr>
      <w:rFonts w:ascii="仿宋_GB2312" w:hAnsi="仿宋_GB2312" w:eastAsia="仿宋_GB2312" w:cs="仿宋_GB2312"/>
      <w:sz w:val="32"/>
      <w:szCs w:val="32"/>
      <w:lang w:val="zh-CN" w:eastAsia="zh-CN" w:bidi="zh-CN"/>
    </w:rPr>
  </w:style>
  <w:style w:type="paragraph" w:styleId="7">
    <w:name w:val="toc 3"/>
    <w:basedOn w:val="1"/>
    <w:next w:val="1"/>
    <w:qFormat/>
    <w:uiPriority w:val="0"/>
    <w:pPr>
      <w:ind w:left="840" w:leftChars="40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style>
  <w:style w:type="paragraph" w:styleId="11">
    <w:name w:val="toc 2"/>
    <w:basedOn w:val="1"/>
    <w:next w:val="1"/>
    <w:qFormat/>
    <w:uiPriority w:val="0"/>
    <w:pPr>
      <w:ind w:left="420" w:leftChars="200"/>
    </w:pPr>
  </w:style>
  <w:style w:type="table" w:customStyle="1" w:styleId="14">
    <w:name w:val="Table Normal"/>
    <w:semiHidden/>
    <w:unhideWhenUsed/>
    <w:qFormat/>
    <w:uiPriority w:val="2"/>
    <w:tblPr>
      <w:tblCellMar>
        <w:top w:w="0" w:type="dxa"/>
        <w:left w:w="0" w:type="dxa"/>
        <w:bottom w:w="0" w:type="dxa"/>
        <w:right w:w="0" w:type="dxa"/>
      </w:tblCellMar>
    </w:tblPr>
  </w:style>
  <w:style w:type="paragraph" w:styleId="15">
    <w:name w:val="List Paragraph"/>
    <w:basedOn w:val="1"/>
    <w:qFormat/>
    <w:uiPriority w:val="1"/>
    <w:pPr>
      <w:ind w:left="280" w:firstLine="640"/>
      <w:jc w:val="both"/>
    </w:pPr>
    <w:rPr>
      <w:rFonts w:ascii="仿宋_GB2312" w:hAnsi="仿宋_GB2312" w:eastAsia="仿宋_GB2312" w:cs="仿宋_GB2312"/>
      <w:lang w:val="zh-CN" w:eastAsia="zh-CN" w:bidi="zh-CN"/>
    </w:rPr>
  </w:style>
  <w:style w:type="paragraph" w:customStyle="1" w:styleId="16">
    <w:name w:val="Table Paragraph"/>
    <w:basedOn w:val="1"/>
    <w:qFormat/>
    <w:uiPriority w:val="1"/>
    <w:rPr>
      <w:rFonts w:ascii="宋体" w:hAnsi="宋体" w:eastAsia="宋体" w:cs="宋体"/>
      <w:lang w:val="zh-CN" w:eastAsia="zh-CN" w:bidi="zh-CN"/>
    </w:rPr>
  </w:style>
  <w:style w:type="paragraph" w:customStyle="1" w:styleId="17">
    <w:name w:val="WPSOffice手动目录 1"/>
    <w:qFormat/>
    <w:uiPriority w:val="0"/>
    <w:pPr>
      <w:ind w:leftChars="0"/>
    </w:pPr>
    <w:rPr>
      <w:rFonts w:asciiTheme="minorHAnsi" w:hAnsiTheme="minorHAnsi" w:eastAsiaTheme="minorHAnsi" w:cstheme="minorBidi"/>
      <w:sz w:val="20"/>
      <w:szCs w:val="20"/>
    </w:rPr>
  </w:style>
  <w:style w:type="paragraph" w:customStyle="1" w:styleId="18">
    <w:name w:val="WPSOffice手动目录 2"/>
    <w:qFormat/>
    <w:uiPriority w:val="0"/>
    <w:pPr>
      <w:ind w:leftChars="200"/>
    </w:pPr>
    <w:rPr>
      <w:rFonts w:asciiTheme="minorHAnsi" w:hAnsiTheme="minorHAnsi" w:eastAsiaTheme="minorHAnsi" w:cstheme="minorBidi"/>
      <w:sz w:val="20"/>
      <w:szCs w:val="20"/>
    </w:rPr>
  </w:style>
  <w:style w:type="paragraph" w:customStyle="1" w:styleId="19">
    <w:name w:val="WPSOffice手动目录 3"/>
    <w:qFormat/>
    <w:uiPriority w:val="0"/>
    <w:pPr>
      <w:ind w:leftChars="400"/>
    </w:pPr>
    <w:rPr>
      <w:rFonts w:asciiTheme="minorHAnsi" w:hAnsiTheme="minorHAnsi" w:eastAsiaTheme="minorHAnsi" w:cstheme="minorBidi"/>
      <w:sz w:val="20"/>
      <w:szCs w:val="20"/>
    </w:rPr>
  </w:style>
  <w:style w:type="paragraph" w:customStyle="1" w:styleId="20">
    <w:name w:val="〖C01〗正文"/>
    <w:basedOn w:val="1"/>
    <w:qFormat/>
    <w:uiPriority w:val="0"/>
    <w:pPr>
      <w:topLinePunct/>
      <w:spacing w:line="600" w:lineRule="exact"/>
      <w:ind w:firstLine="640" w:firstLineChars="200"/>
    </w:pPr>
    <w:rPr>
      <w:rFonts w:ascii="仿宋_GB2312" w:hAnsi="Calibri" w:eastAsia="仿宋_GB2312"/>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5241</Words>
  <Characters>6214</Characters>
  <TotalTime>29</TotalTime>
  <ScaleCrop>false</ScaleCrop>
  <LinksUpToDate>false</LinksUpToDate>
  <CharactersWithSpaces>6454</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Administrator</cp:lastModifiedBy>
  <cp:lastPrinted>2025-02-14T01:33:00Z</cp:lastPrinted>
  <dcterms:modified xsi:type="dcterms:W3CDTF">2025-03-25T06:11:57Z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2052-12.8.2.15292</vt:lpwstr>
  </property>
  <property fmtid="{D5CDD505-2E9C-101B-9397-08002B2CF9AE}" pid="6" name="ICV">
    <vt:lpwstr>19A6489293D14499A2E447A850DEABA6</vt:lpwstr>
  </property>
</Properties>
</file>