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016F1">
      <w:pPr>
        <w:pStyle w:val="4"/>
        <w:jc w:val="center"/>
        <w:rPr>
          <w:rFonts w:hint="eastAsia" w:ascii="宋体" w:hAnsi="宋体" w:eastAsia="宋体" w:cs="宋体"/>
          <w:b/>
          <w:bCs/>
          <w:sz w:val="52"/>
          <w:szCs w:val="52"/>
          <w:shd w:val="clear" w:color="auto" w:fill="auto"/>
          <w:lang w:val="en-US" w:eastAsia="zh-CN"/>
        </w:rPr>
      </w:pPr>
    </w:p>
    <w:p w14:paraId="02EB26DA">
      <w:pPr>
        <w:pStyle w:val="4"/>
        <w:jc w:val="center"/>
        <w:rPr>
          <w:rFonts w:hint="eastAsia" w:ascii="宋体" w:hAnsi="宋体" w:eastAsia="宋体" w:cs="宋体"/>
          <w:b/>
          <w:bCs/>
          <w:sz w:val="52"/>
          <w:szCs w:val="52"/>
          <w:shd w:val="clear" w:color="auto" w:fill="auto"/>
          <w:lang w:val="en-US" w:eastAsia="zh-CN"/>
        </w:rPr>
      </w:pPr>
    </w:p>
    <w:p w14:paraId="38162D43">
      <w:pPr>
        <w:pStyle w:val="4"/>
        <w:jc w:val="center"/>
        <w:rPr>
          <w:rFonts w:hint="eastAsia" w:ascii="宋体" w:hAnsi="宋体" w:eastAsia="宋体" w:cs="宋体"/>
          <w:b/>
          <w:bCs/>
          <w:sz w:val="52"/>
          <w:szCs w:val="52"/>
          <w:shd w:val="clear" w:color="auto" w:fill="auto"/>
          <w:lang w:val="en-US" w:eastAsia="zh-CN"/>
        </w:rPr>
      </w:pPr>
    </w:p>
    <w:p w14:paraId="57883647">
      <w:pPr>
        <w:pStyle w:val="4"/>
        <w:jc w:val="center"/>
        <w:rPr>
          <w:rFonts w:hint="eastAsia" w:ascii="宋体" w:hAnsi="宋体" w:eastAsia="宋体" w:cs="宋体"/>
          <w:b/>
          <w:bCs/>
          <w:sz w:val="52"/>
          <w:szCs w:val="52"/>
          <w:shd w:val="clear" w:color="auto" w:fill="auto"/>
          <w:lang w:val="en-US" w:eastAsia="zh-CN"/>
        </w:rPr>
      </w:pPr>
    </w:p>
    <w:p w14:paraId="598D154B">
      <w:pPr>
        <w:pStyle w:val="4"/>
        <w:jc w:val="center"/>
        <w:rPr>
          <w:rFonts w:hint="eastAsia" w:ascii="宋体" w:hAnsi="宋体" w:eastAsia="宋体" w:cs="宋体"/>
          <w:b/>
          <w:bCs/>
          <w:sz w:val="52"/>
          <w:szCs w:val="52"/>
          <w:shd w:val="clear" w:color="auto" w:fill="auto"/>
          <w:lang w:val="en-US" w:eastAsia="zh-CN"/>
        </w:rPr>
      </w:pPr>
    </w:p>
    <w:p w14:paraId="1366FEAB">
      <w:pPr>
        <w:pStyle w:val="4"/>
        <w:jc w:val="center"/>
        <w:rPr>
          <w:rFonts w:hint="eastAsia" w:ascii="宋体" w:hAnsi="宋体" w:eastAsia="宋体" w:cs="宋体"/>
          <w:b/>
          <w:bCs/>
          <w:sz w:val="52"/>
          <w:szCs w:val="52"/>
          <w:shd w:val="clear" w:color="auto" w:fill="auto"/>
          <w:lang w:val="en-US" w:eastAsia="zh-CN"/>
        </w:rPr>
      </w:pPr>
    </w:p>
    <w:p w14:paraId="2F93E600">
      <w:pPr>
        <w:pStyle w:val="4"/>
        <w:jc w:val="center"/>
        <w:rPr>
          <w:rFonts w:hint="eastAsia" w:ascii="宋体" w:hAnsi="宋体" w:eastAsia="宋体" w:cs="宋体"/>
          <w:b/>
          <w:bCs/>
          <w:sz w:val="52"/>
          <w:szCs w:val="52"/>
          <w:shd w:val="clear" w:color="auto" w:fill="auto"/>
          <w:lang w:val="en-US" w:eastAsia="zh-CN"/>
        </w:rPr>
      </w:pPr>
    </w:p>
    <w:p w14:paraId="05A920C8">
      <w:pPr>
        <w:pStyle w:val="4"/>
        <w:jc w:val="center"/>
        <w:rPr>
          <w:rFonts w:hint="eastAsia" w:ascii="宋体" w:hAnsi="宋体" w:eastAsia="宋体" w:cs="宋体"/>
          <w:b/>
          <w:bCs/>
          <w:sz w:val="52"/>
          <w:szCs w:val="52"/>
          <w:shd w:val="clear" w:color="auto" w:fill="auto"/>
          <w:lang w:val="en-US" w:eastAsia="zh-CN"/>
        </w:rPr>
      </w:pPr>
    </w:p>
    <w:p w14:paraId="60B6346E">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方正小标宋简体" w:hAnsi="方正小标宋简体" w:eastAsia="方正小标宋简体" w:cs="方正小标宋简体"/>
          <w:b/>
          <w:bCs/>
          <w:sz w:val="52"/>
          <w:szCs w:val="52"/>
          <w:shd w:val="clear" w:color="auto" w:fill="auto"/>
          <w:lang w:val="en-US" w:eastAsia="zh-CN"/>
        </w:rPr>
      </w:pPr>
      <w:r>
        <w:rPr>
          <w:rFonts w:hint="eastAsia" w:ascii="方正小标宋简体" w:hAnsi="方正小标宋简体" w:eastAsia="方正小标宋简体" w:cs="方正小标宋简体"/>
          <w:b/>
          <w:bCs/>
          <w:sz w:val="52"/>
          <w:szCs w:val="52"/>
          <w:shd w:val="clear" w:color="auto" w:fill="auto"/>
          <w:lang w:val="en-US" w:eastAsia="zh-CN"/>
        </w:rPr>
        <w:t>乐山市五通桥区妇幼保健院</w:t>
      </w:r>
    </w:p>
    <w:p w14:paraId="5E945854">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方正小标宋简体" w:hAnsi="方正小标宋简体" w:eastAsia="方正小标宋简体" w:cs="方正小标宋简体"/>
          <w:b/>
          <w:bCs/>
          <w:sz w:val="52"/>
          <w:szCs w:val="52"/>
          <w:shd w:val="clear" w:color="auto" w:fill="auto"/>
          <w:lang w:val="en-US" w:eastAsia="zh-CN"/>
        </w:rPr>
      </w:pPr>
      <w:r>
        <w:rPr>
          <w:rFonts w:hint="eastAsia" w:ascii="方正小标宋简体" w:hAnsi="方正小标宋简体" w:eastAsia="方正小标宋简体" w:cs="方正小标宋简体"/>
          <w:b/>
          <w:bCs/>
          <w:sz w:val="52"/>
          <w:szCs w:val="52"/>
          <w:shd w:val="clear" w:color="auto" w:fill="auto"/>
          <w:lang w:val="en-US" w:eastAsia="zh-CN"/>
        </w:rPr>
        <w:t>2025年部门预算编制说明</w:t>
      </w:r>
    </w:p>
    <w:p w14:paraId="5CAF441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color w:val="auto"/>
          <w:sz w:val="52"/>
          <w:szCs w:val="52"/>
          <w:highlight w:val="none"/>
          <w:shd w:val="clear" w:color="auto" w:fill="auto"/>
          <w:lang w:val="en-US" w:eastAsia="zh-CN"/>
        </w:rPr>
      </w:pPr>
    </w:p>
    <w:p w14:paraId="05F209C0">
      <w:pPr>
        <w:spacing w:after="0"/>
        <w:rPr>
          <w:rFonts w:ascii="宋体" w:hAnsi="宋体"/>
        </w:rPr>
      </w:pPr>
    </w:p>
    <w:p w14:paraId="50CE71B4">
      <w:pPr>
        <w:rPr>
          <w:rFonts w:ascii="宋体" w:hAnsi="宋体"/>
          <w:sz w:val="4"/>
        </w:rPr>
      </w:pPr>
      <w:r>
        <w:rPr>
          <w:rFonts w:ascii="宋体" w:hAnsi="宋体"/>
          <w:sz w:val="4"/>
        </w:rPr>
        <w:br w:type="page"/>
      </w:r>
    </w:p>
    <w:p w14:paraId="0AE5F5D4">
      <w:pPr>
        <w:rPr>
          <w:rFonts w:ascii="宋体" w:hAnsi="宋体"/>
          <w:sz w:val="4"/>
        </w:rPr>
      </w:pPr>
    </w:p>
    <w:p w14:paraId="3F69B071">
      <w:pPr>
        <w:pStyle w:val="4"/>
        <w:spacing w:before="2"/>
        <w:rPr>
          <w:rFonts w:ascii="宋体" w:hAnsi="宋体"/>
          <w:sz w:val="4"/>
        </w:rPr>
      </w:pPr>
    </w:p>
    <w:p w14:paraId="2059BDF1">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C4568C2">
          <w:pPr>
            <w:spacing w:before="0" w:beforeLines="0" w:after="0" w:afterLines="0" w:line="240" w:lineRule="auto"/>
            <w:ind w:left="0" w:leftChars="0" w:right="0" w:rightChars="0" w:firstLine="0" w:firstLineChars="0"/>
            <w:jc w:val="center"/>
            <w:rPr>
              <w:rFonts w:ascii="宋体" w:hAnsi="宋体"/>
            </w:rPr>
          </w:pPr>
        </w:p>
        <w:p w14:paraId="64CE91C0">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_Toc12067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_Toc12067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78DAEEB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_Toc27177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_Toc27177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3EC974C4">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_Toc26119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_Toc26119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4CAAFC8B">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_Toc25870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r>
            <w:tab/>
          </w:r>
          <w:r>
            <w:fldChar w:fldCharType="begin"/>
          </w:r>
          <w:r>
            <w:instrText xml:space="preserve"> PAGEREF _Toc25870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8B97B51">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_Toc25541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_Toc25541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61D3376E">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_Toc14635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w:t>
          </w:r>
          <w:r>
            <w:rPr>
              <w:rFonts w:hint="eastAsia" w:eastAsia="方正小标宋简体" w:cs="方正小标宋简体"/>
              <w:bCs w:val="0"/>
              <w:szCs w:val="52"/>
              <w:shd w:val="clear" w:color="auto" w:fill="auto"/>
              <w:lang w:val="en-US" w:eastAsia="zh-CN"/>
            </w:rPr>
            <w:t>乐山市五通桥区妇幼保健院</w:t>
          </w:r>
          <w:r>
            <w:rPr>
              <w:rFonts w:hint="eastAsia" w:ascii="宋体" w:hAnsi="宋体" w:eastAsia="方正小标宋简体" w:cs="方正小标宋简体"/>
              <w:bCs/>
              <w:szCs w:val="52"/>
              <w:lang w:val="en-US" w:eastAsia="zh-CN"/>
            </w:rPr>
            <w:t>2025年部门预算表</w:t>
          </w:r>
          <w:r>
            <w:tab/>
          </w:r>
          <w:r>
            <w:fldChar w:fldCharType="begin"/>
          </w:r>
          <w:r>
            <w:instrText xml:space="preserve"> PAGEREF _Toc14635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2270500">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_Toc13706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一、收支总表（表1）</w:t>
          </w:r>
          <w:r>
            <w:tab/>
          </w:r>
          <w:r>
            <w:fldChar w:fldCharType="begin"/>
          </w:r>
          <w:r>
            <w:instrText xml:space="preserve"> PAGEREF _Toc13706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07A4A8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_Toc14124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二、收入总表（表1-1）</w:t>
          </w:r>
          <w:r>
            <w:tab/>
          </w:r>
          <w:r>
            <w:fldChar w:fldCharType="begin"/>
          </w:r>
          <w:r>
            <w:instrText xml:space="preserve"> PAGEREF _Toc14124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09DB8920">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三、支出总表（表1-2）</w:t>
          </w:r>
          <w:r>
            <w:tab/>
          </w:r>
          <w:r>
            <w:fldChar w:fldCharType="begin"/>
          </w:r>
          <w:r>
            <w:instrText xml:space="preserve"> PAGEREF _Toc18617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35F17E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_Toc8361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四、财政拨款收支预算总表（表2）</w:t>
          </w:r>
          <w:r>
            <w:tab/>
          </w:r>
          <w:r>
            <w:fldChar w:fldCharType="begin"/>
          </w:r>
          <w:r>
            <w:instrText xml:space="preserve"> PAGEREF _Toc8361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03D5E75E">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_Toc17221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五、财政拨款支出预算表（部门经济分类科目）（表2-1）</w:t>
          </w:r>
          <w:r>
            <w:tab/>
          </w:r>
          <w:r>
            <w:fldChar w:fldCharType="begin"/>
          </w:r>
          <w:r>
            <w:instrText xml:space="preserve"> PAGEREF _Toc17221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AC36E8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_Toc11160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六、一般公共预算支出预算表（表3）</w:t>
          </w:r>
          <w:r>
            <w:tab/>
          </w:r>
          <w:r>
            <w:fldChar w:fldCharType="begin"/>
          </w:r>
          <w:r>
            <w:instrText xml:space="preserve"> PAGEREF _Toc11160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597F50C">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_Toc21462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七、一般公共预算基本支出预算表（表3-1）</w:t>
          </w:r>
          <w:r>
            <w:tab/>
          </w:r>
          <w:r>
            <w:fldChar w:fldCharType="begin"/>
          </w:r>
          <w:r>
            <w:instrText xml:space="preserve"> PAGEREF _Toc21462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5DCD529">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八、一般公共预算项目支出预算表（表3-2）</w:t>
          </w:r>
          <w:r>
            <w:tab/>
          </w:r>
          <w:r>
            <w:fldChar w:fldCharType="begin"/>
          </w:r>
          <w:r>
            <w:instrText xml:space="preserve"> PAGEREF _Toc617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024E865">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_Toc24567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九、一般公共预算“三公”经费支出预算表（表3-3）</w:t>
          </w:r>
          <w:r>
            <w:tab/>
          </w:r>
          <w:r>
            <w:fldChar w:fldCharType="begin"/>
          </w:r>
          <w:r>
            <w:instrText xml:space="preserve"> PAGEREF _Toc24567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D5984AF">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_Toc11755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十、政府性基金预算支出预算表 （表4）</w:t>
          </w:r>
          <w:r>
            <w:tab/>
          </w:r>
          <w:r>
            <w:fldChar w:fldCharType="begin"/>
          </w:r>
          <w:r>
            <w:instrText xml:space="preserve"> PAGEREF _Toc11755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2178E9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_Toc26853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十一、政府性基金预算“三公”经费支出预算表（表4-1）</w:t>
          </w:r>
          <w:r>
            <w:tab/>
          </w:r>
          <w:r>
            <w:fldChar w:fldCharType="begin"/>
          </w:r>
          <w:r>
            <w:instrText xml:space="preserve"> PAGEREF _Toc26853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072FE171">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_Toc32615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十二、国有资本经营预算支出预算表（表5）</w:t>
          </w:r>
          <w:r>
            <w:tab/>
          </w:r>
          <w:r>
            <w:fldChar w:fldCharType="begin"/>
          </w:r>
          <w:r>
            <w:instrText xml:space="preserve"> PAGEREF _Toc32615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69CA6B6">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_Toc957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_Toc957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048B8CA4">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_Toc1180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 xml:space="preserve">第三部分 </w:t>
          </w:r>
          <w:r>
            <w:rPr>
              <w:rFonts w:hint="eastAsia" w:eastAsia="方正小标宋简体" w:cs="方正小标宋简体"/>
              <w:bCs w:val="0"/>
              <w:szCs w:val="52"/>
              <w:shd w:val="clear" w:color="auto" w:fill="auto"/>
              <w:lang w:val="en-US" w:eastAsia="zh-CN"/>
            </w:rPr>
            <w:t>乐山市五通桥区妇幼保健院</w:t>
          </w:r>
          <w:r>
            <w:rPr>
              <w:rFonts w:hint="eastAsia" w:ascii="宋体" w:hAnsi="宋体" w:eastAsia="方正小标宋简体" w:cs="方正小标宋简体"/>
              <w:bCs/>
              <w:szCs w:val="48"/>
              <w:lang w:val="en-US" w:eastAsia="zh-CN"/>
            </w:rPr>
            <w:fldChar w:fldCharType="end"/>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_Toc26638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2025年部门预算情况说明</w:t>
          </w:r>
          <w:r>
            <w:tab/>
          </w:r>
          <w:r>
            <w:fldChar w:fldCharType="begin"/>
          </w:r>
          <w:r>
            <w:instrText xml:space="preserve"> PAGEREF _Toc26638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5E2CD3EC">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_Toc7288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_Toc7288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3FCB7643">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_Toc28711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_Toc28711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7CB888A2">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_Toc15046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_Toc15046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0765A45D">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_Toc145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30F96BB9">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_Toc6701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_Toc6701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6A85AC4">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_Toc14481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_Toc14481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561A7163">
          <w:pPr>
            <w:pStyle w:val="5"/>
            <w:tabs>
              <w:tab w:val="right" w:leader="dot" w:pos="9812"/>
            </w:tabs>
            <w:rPr>
              <w:rFonts w:hint="default"/>
              <w:lang w:val="en-US"/>
            </w:rPr>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_Toc22315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rPr>
              <w:rFonts w:hint="eastAsia" w:ascii="宋体" w:hAnsi="宋体" w:eastAsia="方正小标宋简体" w:cs="方正小标宋简体"/>
              <w:bCs/>
              <w:szCs w:val="48"/>
              <w:lang w:val="en-US" w:eastAsia="zh-CN"/>
            </w:rPr>
            <w:fldChar w:fldCharType="end"/>
          </w:r>
          <w:r>
            <w:rPr>
              <w:rFonts w:hint="eastAsia" w:eastAsia="方正小标宋简体" w:cs="方正小标宋简体"/>
              <w:bCs/>
              <w:szCs w:val="48"/>
              <w:lang w:val="en-US" w:eastAsia="zh-CN"/>
            </w:rPr>
            <w:t>9</w:t>
          </w:r>
        </w:p>
        <w:p w14:paraId="167D5701">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_Toc7095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_Toc7095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10BC096">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_Toc1018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_Toc1018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3C6013F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_Toc9393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_Toc9393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2F37530">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_Toc1146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_Toc1146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AF82585">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_Toc29703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_Toc29703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4F48FBD7">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_Toc14999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_Toc14999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605EC62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_Toc8556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_Toc8556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63488E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_Toc3789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_Toc3789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557557F">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_Toc11452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_Toc11452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274F52F">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_Toc32167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_Toc32167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04712B69">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_Toc13294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_Toc13294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20EB57BA">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_Toc23158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_Toc23158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1FDD0BF4">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_Toc32119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_Toc32119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77F2E54B">
          <w:pPr>
            <w:pStyle w:val="4"/>
            <w:tabs>
              <w:tab w:val="left" w:pos="4798"/>
            </w:tabs>
            <w:jc w:val="both"/>
            <w:rPr>
              <w:rFonts w:hint="eastAsia" w:ascii="宋体" w:hAnsi="宋体" w:eastAsia="方正小标宋简体" w:cs="方正小标宋简体"/>
              <w:bCs/>
              <w:sz w:val="32"/>
              <w:szCs w:val="48"/>
              <w:lang w:val="en-US" w:eastAsia="zh-CN" w:bidi="zh-CN"/>
            </w:rPr>
          </w:pPr>
          <w:r>
            <w:rPr>
              <w:rFonts w:hint="eastAsia" w:ascii="宋体" w:hAnsi="宋体" w:eastAsia="方正小标宋简体" w:cs="方正小标宋简体"/>
              <w:bCs/>
              <w:szCs w:val="48"/>
              <w:lang w:val="en-US" w:eastAsia="zh-CN"/>
            </w:rPr>
            <w:fldChar w:fldCharType="end"/>
          </w:r>
        </w:p>
      </w:sdtContent>
    </w:sdt>
    <w:sdt>
      <w:sdtPr>
        <w:rPr>
          <w:rFonts w:ascii="宋体" w:hAnsi="宋体" w:eastAsia="宋体" w:cs="宋体"/>
          <w:sz w:val="21"/>
          <w:szCs w:val="22"/>
          <w:lang w:val="zh-CN" w:eastAsia="zh-CN" w:bidi="zh-CN"/>
        </w:rPr>
        <w:id w:val="147464451"/>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04814B3A">
          <w:pPr>
            <w:pStyle w:val="4"/>
            <w:tabs>
              <w:tab w:val="left" w:pos="4798"/>
            </w:tabs>
            <w:jc w:val="both"/>
            <w:rPr>
              <w:rFonts w:hint="eastAsia" w:ascii="宋体" w:hAnsi="宋体" w:eastAsia="方正小标宋简体" w:cs="方正小标宋简体"/>
              <w:b/>
              <w:bCs/>
              <w:sz w:val="48"/>
              <w:szCs w:val="48"/>
              <w:lang w:val="en-US" w:eastAsia="zh-CN"/>
            </w:rPr>
          </w:pPr>
        </w:p>
      </w:sdtContent>
    </w:sdt>
    <w:p w14:paraId="57F1683E">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2171445">
      <w:pPr>
        <w:pStyle w:val="4"/>
        <w:rPr>
          <w:rFonts w:ascii="宋体" w:hAnsi="宋体"/>
          <w:sz w:val="20"/>
        </w:rPr>
      </w:pPr>
    </w:p>
    <w:p w14:paraId="5E1BDBCB">
      <w:pPr>
        <w:pStyle w:val="4"/>
        <w:rPr>
          <w:rFonts w:ascii="宋体" w:hAnsi="宋体"/>
          <w:sz w:val="20"/>
        </w:rPr>
      </w:pPr>
    </w:p>
    <w:p w14:paraId="44A6AB48">
      <w:pPr>
        <w:pStyle w:val="4"/>
        <w:rPr>
          <w:rFonts w:ascii="宋体" w:hAnsi="宋体"/>
          <w:sz w:val="20"/>
        </w:rPr>
      </w:pPr>
    </w:p>
    <w:p w14:paraId="45B61964">
      <w:pPr>
        <w:pStyle w:val="4"/>
        <w:rPr>
          <w:rFonts w:ascii="宋体" w:hAnsi="宋体"/>
          <w:sz w:val="20"/>
        </w:rPr>
      </w:pPr>
    </w:p>
    <w:p w14:paraId="3969A2C0">
      <w:pPr>
        <w:pStyle w:val="4"/>
        <w:rPr>
          <w:rFonts w:ascii="宋体" w:hAnsi="宋体"/>
          <w:sz w:val="20"/>
        </w:rPr>
      </w:pPr>
    </w:p>
    <w:p w14:paraId="0E237A2B">
      <w:pPr>
        <w:pStyle w:val="4"/>
        <w:rPr>
          <w:rFonts w:ascii="宋体" w:hAnsi="宋体"/>
          <w:sz w:val="20"/>
        </w:rPr>
      </w:pPr>
    </w:p>
    <w:p w14:paraId="5A8FB2CD">
      <w:pPr>
        <w:pStyle w:val="4"/>
        <w:rPr>
          <w:rFonts w:ascii="宋体" w:hAnsi="宋体"/>
          <w:sz w:val="20"/>
        </w:rPr>
      </w:pPr>
    </w:p>
    <w:p w14:paraId="330F1334">
      <w:pPr>
        <w:pStyle w:val="4"/>
        <w:rPr>
          <w:rFonts w:ascii="宋体" w:hAnsi="宋体"/>
          <w:sz w:val="20"/>
        </w:rPr>
      </w:pPr>
    </w:p>
    <w:p w14:paraId="0AD5B3BC">
      <w:pPr>
        <w:pStyle w:val="4"/>
        <w:rPr>
          <w:rFonts w:ascii="宋体" w:hAnsi="宋体"/>
          <w:sz w:val="20"/>
        </w:rPr>
      </w:pPr>
    </w:p>
    <w:p w14:paraId="7DA0DA33">
      <w:pPr>
        <w:pStyle w:val="4"/>
        <w:rPr>
          <w:rFonts w:ascii="宋体" w:hAnsi="宋体"/>
          <w:sz w:val="20"/>
        </w:rPr>
      </w:pPr>
    </w:p>
    <w:p w14:paraId="0953FD1A">
      <w:pPr>
        <w:pStyle w:val="4"/>
        <w:rPr>
          <w:rFonts w:ascii="宋体" w:hAnsi="宋体"/>
          <w:sz w:val="20"/>
        </w:rPr>
      </w:pPr>
    </w:p>
    <w:p w14:paraId="301F008E">
      <w:pPr>
        <w:pStyle w:val="4"/>
        <w:rPr>
          <w:rFonts w:ascii="宋体" w:hAnsi="宋体"/>
          <w:sz w:val="20"/>
        </w:rPr>
      </w:pPr>
    </w:p>
    <w:p w14:paraId="3D535544">
      <w:pPr>
        <w:pStyle w:val="4"/>
        <w:rPr>
          <w:rFonts w:ascii="宋体" w:hAnsi="宋体"/>
          <w:sz w:val="20"/>
        </w:rPr>
      </w:pPr>
    </w:p>
    <w:p w14:paraId="69AA1B0A">
      <w:pPr>
        <w:pStyle w:val="4"/>
        <w:rPr>
          <w:rFonts w:ascii="宋体" w:hAnsi="宋体"/>
          <w:sz w:val="20"/>
        </w:rPr>
      </w:pPr>
    </w:p>
    <w:p w14:paraId="6DB57CD0">
      <w:pPr>
        <w:pStyle w:val="4"/>
        <w:rPr>
          <w:rFonts w:ascii="宋体" w:hAnsi="宋体"/>
          <w:sz w:val="20"/>
        </w:rPr>
      </w:pPr>
    </w:p>
    <w:p w14:paraId="3944877B">
      <w:pPr>
        <w:pStyle w:val="4"/>
        <w:rPr>
          <w:rFonts w:ascii="宋体" w:hAnsi="宋体"/>
          <w:sz w:val="20"/>
        </w:rPr>
      </w:pPr>
    </w:p>
    <w:p w14:paraId="4C347381">
      <w:pPr>
        <w:pStyle w:val="4"/>
        <w:rPr>
          <w:rFonts w:ascii="宋体" w:hAnsi="宋体"/>
          <w:sz w:val="20"/>
        </w:rPr>
      </w:pPr>
    </w:p>
    <w:p w14:paraId="3B776146">
      <w:pPr>
        <w:pStyle w:val="4"/>
        <w:rPr>
          <w:rFonts w:ascii="宋体" w:hAnsi="宋体"/>
          <w:sz w:val="20"/>
        </w:rPr>
      </w:pPr>
    </w:p>
    <w:p w14:paraId="5A239507">
      <w:pPr>
        <w:pStyle w:val="4"/>
        <w:rPr>
          <w:rFonts w:ascii="宋体" w:hAnsi="宋体"/>
          <w:sz w:val="20"/>
        </w:rPr>
      </w:pPr>
    </w:p>
    <w:p w14:paraId="2C653DFD">
      <w:pPr>
        <w:pStyle w:val="4"/>
        <w:rPr>
          <w:rFonts w:ascii="宋体" w:hAnsi="宋体"/>
          <w:sz w:val="20"/>
        </w:rPr>
      </w:pPr>
    </w:p>
    <w:p w14:paraId="1831423D">
      <w:pPr>
        <w:pStyle w:val="4"/>
        <w:spacing w:before="3"/>
        <w:rPr>
          <w:rFonts w:ascii="宋体" w:hAnsi="宋体"/>
          <w:sz w:val="28"/>
        </w:rPr>
      </w:pPr>
    </w:p>
    <w:p w14:paraId="3D7AB1E3">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2067"/>
      <w:bookmarkStart w:id="1" w:name="_Toc32098"/>
      <w:r>
        <w:rPr>
          <w:rFonts w:hint="eastAsia" w:ascii="宋体" w:hAnsi="宋体" w:eastAsia="方正小标宋简体" w:cs="方正小标宋简体"/>
          <w:b/>
          <w:bCs/>
          <w:sz w:val="52"/>
          <w:szCs w:val="52"/>
          <w:lang w:val="en-US" w:eastAsia="zh-CN"/>
        </w:rPr>
        <w:t>部门概况</w:t>
      </w:r>
      <w:bookmarkEnd w:id="0"/>
      <w:bookmarkEnd w:id="1"/>
    </w:p>
    <w:p w14:paraId="50601BE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2C07B1A8">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411D3FC3">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35A6D2E8">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auto"/>
        </w:rPr>
      </w:pPr>
      <w:bookmarkStart w:id="2" w:name="_Toc27177"/>
      <w:bookmarkStart w:id="3" w:name="_Toc19860"/>
      <w:r>
        <w:rPr>
          <w:rFonts w:hint="eastAsia" w:ascii="宋体" w:hAnsi="宋体" w:eastAsia="黑体"/>
          <w:color w:val="auto"/>
        </w:rPr>
        <w:t>一、基本职能及主要工作</w:t>
      </w:r>
      <w:bookmarkEnd w:id="2"/>
      <w:bookmarkEnd w:id="3"/>
    </w:p>
    <w:p w14:paraId="25EC91A7">
      <w:pPr>
        <w:ind w:firstLine="643" w:firstLineChars="200"/>
        <w:rPr>
          <w:rFonts w:hint="eastAsia" w:ascii="楷体_GB2312" w:hAnsi="楷体_GB2312" w:eastAsia="楷体_GB2312" w:cs="楷体_GB2312"/>
          <w:b/>
          <w:bCs/>
          <w:color w:val="auto"/>
          <w:sz w:val="32"/>
          <w:szCs w:val="32"/>
        </w:rPr>
      </w:pPr>
      <w:bookmarkStart w:id="4" w:name="_Toc6284"/>
      <w:bookmarkStart w:id="5" w:name="_Toc26119"/>
      <w:r>
        <w:rPr>
          <w:rFonts w:hint="eastAsia" w:ascii="楷体_GB2312" w:hAnsi="楷体_GB2312" w:eastAsia="楷体_GB2312" w:cs="楷体_GB2312"/>
          <w:b/>
          <w:bCs/>
          <w:color w:val="auto"/>
          <w:sz w:val="32"/>
          <w:szCs w:val="32"/>
        </w:rPr>
        <w:t>（一）部门职能简介</w:t>
      </w:r>
      <w:bookmarkEnd w:id="4"/>
      <w:bookmarkEnd w:id="5"/>
    </w:p>
    <w:p w14:paraId="58324994">
      <w:pPr>
        <w:ind w:firstLine="640" w:firstLineChars="200"/>
        <w:rPr>
          <w:rFonts w:hint="eastAsia" w:ascii="宋体" w:hAnsi="宋体" w:eastAsia="仿宋_GB2312" w:cs="仿宋_GB2312"/>
          <w:color w:val="auto"/>
          <w:sz w:val="32"/>
          <w:szCs w:val="22"/>
          <w:lang w:val="en-US" w:eastAsia="zh-CN" w:bidi="zh-CN"/>
        </w:rPr>
      </w:pPr>
      <w:r>
        <w:rPr>
          <w:rFonts w:hint="eastAsia" w:ascii="宋体" w:hAnsi="宋体" w:eastAsia="仿宋_GB2312" w:cs="仿宋_GB2312"/>
          <w:color w:val="auto"/>
          <w:sz w:val="32"/>
          <w:szCs w:val="22"/>
          <w:lang w:val="en-US" w:eastAsia="zh-CN" w:bidi="zh-CN"/>
        </w:rPr>
        <w:t>1.基本职能：乐山市五通桥区妇幼保健院是全额拨款事业单位。其主要职责：</w:t>
      </w:r>
      <w:r>
        <w:rPr>
          <w:rFonts w:hint="eastAsia" w:eastAsia="仿宋_GB2312" w:cs="仿宋_GB2312"/>
          <w:color w:val="auto"/>
          <w:sz w:val="32"/>
          <w:szCs w:val="22"/>
          <w:lang w:val="en-US" w:eastAsia="zh-CN" w:bidi="zh-CN"/>
        </w:rPr>
        <w:t>（1）</w:t>
      </w:r>
      <w:r>
        <w:rPr>
          <w:rFonts w:hint="eastAsia" w:ascii="宋体" w:hAnsi="宋体" w:eastAsia="仿宋_GB2312" w:cs="仿宋_GB2312"/>
          <w:color w:val="auto"/>
          <w:sz w:val="32"/>
          <w:szCs w:val="22"/>
          <w:lang w:val="en-US" w:eastAsia="zh-CN" w:bidi="zh-CN"/>
        </w:rPr>
        <w:t>为妇女儿童身体健康提供保健服务； （2）女子婚前保健孕产期保健；</w:t>
      </w:r>
      <w:r>
        <w:rPr>
          <w:rFonts w:hint="eastAsia" w:eastAsia="仿宋_GB2312" w:cs="仿宋_GB2312"/>
          <w:color w:val="auto"/>
          <w:sz w:val="32"/>
          <w:szCs w:val="22"/>
          <w:lang w:val="en-US" w:eastAsia="zh-CN" w:bidi="zh-CN"/>
        </w:rPr>
        <w:t>（3）</w:t>
      </w:r>
      <w:r>
        <w:rPr>
          <w:rFonts w:hint="eastAsia" w:ascii="宋体" w:hAnsi="宋体" w:eastAsia="仿宋_GB2312" w:cs="仿宋_GB2312"/>
          <w:color w:val="auto"/>
          <w:sz w:val="32"/>
          <w:szCs w:val="22"/>
          <w:lang w:val="en-US" w:eastAsia="zh-CN" w:bidi="zh-CN"/>
        </w:rPr>
        <w:t>妇女病普查；</w:t>
      </w:r>
      <w:r>
        <w:rPr>
          <w:rFonts w:hint="eastAsia" w:eastAsia="仿宋_GB2312" w:cs="仿宋_GB2312"/>
          <w:color w:val="auto"/>
          <w:sz w:val="32"/>
          <w:szCs w:val="22"/>
          <w:lang w:val="en-US" w:eastAsia="zh-CN" w:bidi="zh-CN"/>
        </w:rPr>
        <w:t>（4）</w:t>
      </w:r>
      <w:r>
        <w:rPr>
          <w:rFonts w:hint="eastAsia" w:ascii="宋体" w:hAnsi="宋体" w:eastAsia="仿宋_GB2312" w:cs="仿宋_GB2312"/>
          <w:color w:val="auto"/>
          <w:sz w:val="32"/>
          <w:szCs w:val="22"/>
          <w:lang w:val="en-US" w:eastAsia="zh-CN" w:bidi="zh-CN"/>
        </w:rPr>
        <w:t>妇女更年期保健；</w:t>
      </w:r>
      <w:r>
        <w:rPr>
          <w:rFonts w:hint="eastAsia" w:eastAsia="仿宋_GB2312" w:cs="仿宋_GB2312"/>
          <w:color w:val="auto"/>
          <w:sz w:val="32"/>
          <w:szCs w:val="22"/>
          <w:lang w:val="en-US" w:eastAsia="zh-CN" w:bidi="zh-CN"/>
        </w:rPr>
        <w:t>（5）</w:t>
      </w:r>
      <w:r>
        <w:rPr>
          <w:rFonts w:hint="eastAsia" w:ascii="宋体" w:hAnsi="宋体" w:eastAsia="仿宋_GB2312" w:cs="仿宋_GB2312"/>
          <w:color w:val="auto"/>
          <w:sz w:val="32"/>
          <w:szCs w:val="22"/>
          <w:lang w:val="en-US" w:eastAsia="zh-CN" w:bidi="zh-CN"/>
        </w:rPr>
        <w:t>新生儿保健遗传病筛查；（6）、儿童营养发育监测与指导；</w:t>
      </w:r>
      <w:r>
        <w:rPr>
          <w:rFonts w:hint="eastAsia" w:eastAsia="仿宋_GB2312" w:cs="仿宋_GB2312"/>
          <w:color w:val="auto"/>
          <w:sz w:val="32"/>
          <w:szCs w:val="22"/>
          <w:lang w:val="en-US" w:eastAsia="zh-CN" w:bidi="zh-CN"/>
        </w:rPr>
        <w:t>（7）</w:t>
      </w:r>
      <w:r>
        <w:rPr>
          <w:rFonts w:hint="eastAsia" w:ascii="宋体" w:hAnsi="宋体" w:eastAsia="仿宋_GB2312" w:cs="仿宋_GB2312"/>
          <w:color w:val="auto"/>
          <w:sz w:val="32"/>
          <w:szCs w:val="22"/>
          <w:lang w:val="en-US" w:eastAsia="zh-CN" w:bidi="zh-CN"/>
        </w:rPr>
        <w:t>产前诊断与接生、治疗与监护；</w:t>
      </w:r>
      <w:r>
        <w:rPr>
          <w:rFonts w:hint="eastAsia" w:eastAsia="仿宋_GB2312" w:cs="仿宋_GB2312"/>
          <w:color w:val="auto"/>
          <w:sz w:val="32"/>
          <w:szCs w:val="22"/>
          <w:lang w:val="en-US" w:eastAsia="zh-CN" w:bidi="zh-CN"/>
        </w:rPr>
        <w:t>（8）</w:t>
      </w:r>
      <w:r>
        <w:rPr>
          <w:rFonts w:hint="eastAsia" w:ascii="宋体" w:hAnsi="宋体" w:eastAsia="仿宋_GB2312" w:cs="仿宋_GB2312"/>
          <w:color w:val="auto"/>
          <w:sz w:val="32"/>
          <w:szCs w:val="22"/>
          <w:lang w:val="en-US" w:eastAsia="zh-CN" w:bidi="zh-CN"/>
        </w:rPr>
        <w:t>儿童疾病防治；（9）妇幼卫生监测与信息管理；</w:t>
      </w:r>
      <w:r>
        <w:rPr>
          <w:rFonts w:hint="eastAsia" w:eastAsia="仿宋_GB2312" w:cs="仿宋_GB2312"/>
          <w:color w:val="auto"/>
          <w:sz w:val="32"/>
          <w:szCs w:val="22"/>
          <w:lang w:val="en-US" w:eastAsia="zh-CN" w:bidi="zh-CN"/>
        </w:rPr>
        <w:t>（10）</w:t>
      </w:r>
      <w:r>
        <w:rPr>
          <w:rFonts w:hint="eastAsia" w:ascii="宋体" w:hAnsi="宋体" w:eastAsia="仿宋_GB2312" w:cs="仿宋_GB2312"/>
          <w:color w:val="auto"/>
          <w:sz w:val="32"/>
          <w:szCs w:val="22"/>
          <w:lang w:val="en-US" w:eastAsia="zh-CN" w:bidi="zh-CN"/>
        </w:rPr>
        <w:t>妇幼卫生保健人员培训；（11）妇幼保健科学研究；（12）计划生育服务妇幼保健咨询。</w:t>
      </w:r>
    </w:p>
    <w:p w14:paraId="657CC2B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0" w:firstLineChars="200"/>
        <w:textAlignment w:val="auto"/>
        <w:rPr>
          <w:rFonts w:hint="eastAsia" w:ascii="仿宋_GB2312" w:hAnsi="仿宋_GB2312" w:eastAsia="仿宋_GB2312" w:cs="仿宋_GB2312"/>
          <w:b w:val="0"/>
          <w:bCs w:val="0"/>
          <w:color w:val="auto"/>
          <w:lang w:eastAsia="zh-CN"/>
        </w:rPr>
      </w:pPr>
      <w:r>
        <w:rPr>
          <w:rFonts w:hint="eastAsia" w:ascii="仿宋_GB2312" w:hAnsi="仿宋_GB2312" w:eastAsia="仿宋_GB2312" w:cs="仿宋_GB2312"/>
          <w:b w:val="0"/>
          <w:bCs w:val="0"/>
          <w:color w:val="auto"/>
          <w:sz w:val="32"/>
          <w:szCs w:val="22"/>
          <w:lang w:val="en-US" w:eastAsia="zh-CN" w:bidi="zh-CN"/>
        </w:rPr>
        <w:t>2.我单位下有行政办公室、财务科、医务科、护理部、院感科、基层保健科等职能科室和内科、妇产科、儿科、儿童保健科、麻醉科、检验科、医学影像科、药剂科等临床业务科室。</w:t>
      </w:r>
    </w:p>
    <w:p w14:paraId="036E4C11">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643" w:firstLineChars="200"/>
        <w:textAlignment w:val="auto"/>
        <w:rPr>
          <w:rFonts w:hint="eastAsia" w:ascii="楷体_GB2312" w:hAnsi="楷体_GB2312" w:eastAsia="楷体_GB2312" w:cs="楷体_GB2312"/>
          <w:color w:val="auto"/>
        </w:rPr>
      </w:pPr>
      <w:bookmarkStart w:id="6" w:name="_Toc25870"/>
      <w:bookmarkStart w:id="7" w:name="_Toc24942"/>
      <w:r>
        <w:rPr>
          <w:rFonts w:hint="eastAsia" w:ascii="楷体_GB2312" w:hAnsi="楷体_GB2312" w:eastAsia="楷体_GB2312" w:cs="楷体_GB2312"/>
          <w:color w:val="auto"/>
        </w:rPr>
        <w:t>（二）部门</w:t>
      </w:r>
      <w:r>
        <w:rPr>
          <w:rFonts w:hint="eastAsia" w:ascii="楷体_GB2312" w:hAnsi="楷体_GB2312" w:eastAsia="楷体_GB2312" w:cs="楷体_GB2312"/>
          <w:color w:val="auto"/>
          <w:lang w:val="en-US" w:eastAsia="zh-CN"/>
        </w:rPr>
        <w:t>2025</w:t>
      </w:r>
      <w:r>
        <w:rPr>
          <w:rFonts w:hint="eastAsia" w:ascii="楷体_GB2312" w:hAnsi="楷体_GB2312" w:eastAsia="楷体_GB2312" w:cs="楷体_GB2312"/>
          <w:color w:val="auto"/>
        </w:rPr>
        <w:t>年重点工作</w:t>
      </w:r>
      <w:bookmarkEnd w:id="6"/>
      <w:bookmarkEnd w:id="7"/>
    </w:p>
    <w:p w14:paraId="01C2B139">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1</w:t>
      </w:r>
      <w:r>
        <w:rPr>
          <w:rFonts w:hint="eastAsia" w:ascii="仿宋_GB2312" w:hAnsi="仿宋_GB2312" w:eastAsia="仿宋_GB2312"/>
          <w:color w:val="auto"/>
          <w:sz w:val="32"/>
          <w:lang w:val="en-US" w:eastAsia="zh-CN"/>
        </w:rPr>
        <w:t>.</w:t>
      </w:r>
      <w:r>
        <w:rPr>
          <w:rFonts w:hint="eastAsia" w:ascii="仿宋_GB2312" w:hAnsi="仿宋_GB2312" w:eastAsia="仿宋_GB2312"/>
          <w:color w:val="auto"/>
          <w:sz w:val="32"/>
        </w:rPr>
        <w:t>切实完成全区重大公共卫生服务项目任务</w:t>
      </w:r>
    </w:p>
    <w:p w14:paraId="5C316DEC">
      <w:pPr>
        <w:ind w:firstLine="640" w:firstLineChars="200"/>
        <w:jc w:val="left"/>
        <w:rPr>
          <w:rFonts w:hint="eastAsia" w:ascii="仿宋_GB2312" w:hAnsi="仿宋_GB2312" w:eastAsia="仿宋_GB2312"/>
          <w:color w:val="auto"/>
          <w:sz w:val="32"/>
        </w:rPr>
      </w:pPr>
      <w:r>
        <w:rPr>
          <w:rFonts w:hint="eastAsia" w:ascii="仿宋_GB2312" w:hAnsi="仿宋_GB2312" w:eastAsia="仿宋_GB2312"/>
          <w:color w:val="auto"/>
          <w:sz w:val="32"/>
        </w:rPr>
        <w:t>（1）农村妇女两癌检查项目及妇女病普查工作</w:t>
      </w:r>
    </w:p>
    <w:p w14:paraId="0FAF1FA5">
      <w:pPr>
        <w:ind w:left="425" w:leftChars="193"/>
        <w:jc w:val="left"/>
        <w:rPr>
          <w:rFonts w:hint="eastAsia" w:ascii="仿宋_GB2312" w:hAnsi="仿宋_GB2312" w:eastAsia="仿宋_GB2312"/>
          <w:color w:val="auto"/>
          <w:sz w:val="32"/>
        </w:rPr>
      </w:pPr>
      <w:r>
        <w:rPr>
          <w:rFonts w:hint="eastAsia" w:ascii="仿宋_GB2312" w:hAnsi="仿宋_GB2312" w:eastAsia="仿宋_GB2312"/>
          <w:color w:val="auto"/>
          <w:sz w:val="32"/>
        </w:rPr>
        <w:t xml:space="preserve">  加强专项技能培训，提高工作质量，实施培训的效果评估，</w:t>
      </w:r>
    </w:p>
    <w:p w14:paraId="032FE5BA">
      <w:pPr>
        <w:jc w:val="left"/>
        <w:rPr>
          <w:rFonts w:hint="eastAsia" w:ascii="仿宋_GB2312" w:hAnsi="仿宋_GB2312" w:eastAsia="仿宋_GB2312"/>
          <w:color w:val="auto"/>
          <w:sz w:val="32"/>
        </w:rPr>
      </w:pPr>
      <w:r>
        <w:rPr>
          <w:rFonts w:hint="eastAsia" w:ascii="仿宋_GB2312" w:hAnsi="仿宋_GB2312" w:eastAsia="仿宋_GB2312"/>
          <w:color w:val="auto"/>
          <w:sz w:val="32"/>
        </w:rPr>
        <w:t>提高评估的有效性和实用性。加强质量控制及阳性患者随访管理，落实区级质量督导。</w:t>
      </w:r>
    </w:p>
    <w:p w14:paraId="6578250E">
      <w:pPr>
        <w:ind w:firstLine="640" w:firstLineChars="200"/>
        <w:jc w:val="left"/>
        <w:rPr>
          <w:rFonts w:hint="eastAsia" w:ascii="仿宋_GB2312" w:hAnsi="仿宋_GB2312" w:eastAsia="仿宋_GB2312"/>
          <w:color w:val="auto"/>
          <w:sz w:val="32"/>
        </w:rPr>
      </w:pPr>
      <w:r>
        <w:rPr>
          <w:rFonts w:hint="eastAsia" w:ascii="仿宋_GB2312" w:hAnsi="仿宋_GB2312" w:eastAsia="仿宋_GB2312"/>
          <w:color w:val="auto"/>
          <w:sz w:val="32"/>
        </w:rPr>
        <w:t>（2）预防艾滋病、梅毒和乙肝母婴阻断传播工作</w:t>
      </w:r>
    </w:p>
    <w:p w14:paraId="6DCB379C">
      <w:pPr>
        <w:ind w:firstLine="640" w:firstLineChars="200"/>
        <w:jc w:val="left"/>
        <w:rPr>
          <w:rFonts w:hint="eastAsia" w:ascii="仿宋_GB2312" w:hAnsi="仿宋_GB2312" w:eastAsia="仿宋_GB2312"/>
          <w:color w:val="auto"/>
          <w:sz w:val="32"/>
        </w:rPr>
      </w:pPr>
      <w:r>
        <w:rPr>
          <w:rFonts w:hint="eastAsia" w:ascii="仿宋_GB2312" w:hAnsi="仿宋_GB2312" w:eastAsia="仿宋_GB2312"/>
          <w:color w:val="auto"/>
          <w:sz w:val="32"/>
        </w:rPr>
        <w:t>进一步落实和完善《四川省预防艾滋病、梅毒和乙肝母婴传</w:t>
      </w:r>
    </w:p>
    <w:p w14:paraId="310E02E8">
      <w:pPr>
        <w:jc w:val="left"/>
        <w:rPr>
          <w:rFonts w:hint="eastAsia" w:ascii="仿宋_GB2312" w:hAnsi="仿宋_GB2312" w:eastAsia="仿宋_GB2312"/>
          <w:color w:val="auto"/>
          <w:sz w:val="32"/>
        </w:rPr>
      </w:pPr>
      <w:r>
        <w:rPr>
          <w:rFonts w:hint="eastAsia" w:ascii="仿宋_GB2312" w:hAnsi="仿宋_GB2312" w:eastAsia="仿宋_GB2312"/>
          <w:color w:val="auto"/>
          <w:sz w:val="32"/>
        </w:rPr>
        <w:t>播管理办公室</w:t>
      </w:r>
      <w:r>
        <w:rPr>
          <w:rFonts w:hint="eastAsia" w:ascii="仿宋_GB2312" w:hAnsi="仿宋_GB2312" w:eastAsia="仿宋_GB2312"/>
          <w:color w:val="auto"/>
          <w:sz w:val="32"/>
          <w:lang w:eastAsia="zh-CN"/>
        </w:rPr>
        <w:t>《</w:t>
      </w:r>
      <w:r>
        <w:rPr>
          <w:rFonts w:hint="eastAsia" w:ascii="仿宋_GB2312" w:hAnsi="仿宋_GB2312" w:eastAsia="仿宋_GB2312"/>
          <w:color w:val="auto"/>
          <w:sz w:val="32"/>
        </w:rPr>
        <w:t>关于全面加强预防艾滋病母婴传播工作的通知》，区卫健局、区艾滋病综合管理办公室、区艾滋病母婴传播管理办公室要不定期到各医疗机构实地进行检查，对存在的问题要督促及时整改。规范预产期检测和感染孕产妇及所生儿童预防母婴传播综合诊治服务。全面覆盖婴儿艾滋病感染早期阻断工作。区管理办公室负责人、片区负责人应加强阳性病例的规范治疗和管理，指导阳性孕产妇及所生儿童的预防用药率。规范药品、物品管理，推进需补方乐山资金。</w:t>
      </w:r>
    </w:p>
    <w:p w14:paraId="420515AC">
      <w:pPr>
        <w:ind w:firstLine="640" w:firstLineChars="200"/>
        <w:jc w:val="left"/>
        <w:rPr>
          <w:rFonts w:hint="eastAsia" w:ascii="仿宋_GB2312" w:hAnsi="仿宋_GB2312" w:eastAsia="仿宋_GB2312"/>
          <w:color w:val="auto"/>
          <w:sz w:val="32"/>
        </w:rPr>
      </w:pPr>
      <w:r>
        <w:rPr>
          <w:rFonts w:hint="eastAsia" w:ascii="仿宋_GB2312" w:hAnsi="仿宋_GB2312" w:eastAsia="仿宋_GB2312"/>
          <w:color w:val="auto"/>
          <w:sz w:val="32"/>
        </w:rPr>
        <w:t>（3）增补叶酸预防神经管缺陷项目工作</w:t>
      </w:r>
    </w:p>
    <w:p w14:paraId="6DD84E74">
      <w:pPr>
        <w:ind w:left="425" w:leftChars="193"/>
        <w:jc w:val="left"/>
        <w:rPr>
          <w:rFonts w:hint="eastAsia" w:ascii="仿宋_GB2312" w:hAnsi="仿宋_GB2312" w:eastAsia="仿宋_GB2312"/>
          <w:color w:val="auto"/>
          <w:sz w:val="32"/>
        </w:rPr>
      </w:pPr>
      <w:r>
        <w:rPr>
          <w:rFonts w:hint="eastAsia" w:ascii="仿宋_GB2312" w:hAnsi="仿宋_GB2312" w:eastAsia="仿宋_GB2312"/>
          <w:color w:val="auto"/>
          <w:sz w:val="32"/>
        </w:rPr>
        <w:t xml:space="preserve">  加大宣传，提高人群对叶酸增补及免费叶酸的发放认识。</w:t>
      </w:r>
    </w:p>
    <w:p w14:paraId="5C413BFA">
      <w:pPr>
        <w:jc w:val="left"/>
        <w:rPr>
          <w:rFonts w:hint="eastAsia" w:ascii="仿宋_GB2312" w:hAnsi="仿宋_GB2312" w:eastAsia="仿宋_GB2312"/>
          <w:color w:val="auto"/>
          <w:sz w:val="32"/>
        </w:rPr>
      </w:pPr>
      <w:r>
        <w:rPr>
          <w:rFonts w:hint="eastAsia" w:ascii="仿宋_GB2312" w:hAnsi="仿宋_GB2312" w:eastAsia="仿宋_GB2312"/>
          <w:color w:val="auto"/>
          <w:sz w:val="32"/>
        </w:rPr>
        <w:t>加强与区民政等的联系，掌握准备怀孕和早孕妇女的信息，及时免费发放叶酸。优化叶酸发放流程，重视发放后的随访工作。</w:t>
      </w:r>
    </w:p>
    <w:p w14:paraId="1D8F2CE0">
      <w:pPr>
        <w:rPr>
          <w:rFonts w:hint="eastAsia" w:ascii="仿宋_GB2312" w:hAnsi="仿宋_GB2312" w:eastAsia="仿宋_GB2312"/>
          <w:color w:val="auto"/>
          <w:sz w:val="32"/>
        </w:rPr>
      </w:pPr>
      <w:r>
        <w:rPr>
          <w:rFonts w:hint="eastAsia" w:ascii="仿宋_GB2312" w:hAnsi="仿宋_GB2312" w:eastAsia="仿宋_GB2312"/>
          <w:color w:val="auto"/>
          <w:sz w:val="32"/>
        </w:rPr>
        <w:t xml:space="preserve">    2</w:t>
      </w:r>
      <w:r>
        <w:rPr>
          <w:rFonts w:hint="eastAsia" w:ascii="仿宋_GB2312" w:hAnsi="仿宋_GB2312" w:eastAsia="仿宋_GB2312"/>
          <w:color w:val="auto"/>
          <w:sz w:val="32"/>
          <w:lang w:val="en-US" w:eastAsia="zh-CN"/>
        </w:rPr>
        <w:t>.</w:t>
      </w:r>
      <w:r>
        <w:rPr>
          <w:rFonts w:hint="eastAsia" w:ascii="仿宋_GB2312" w:hAnsi="仿宋_GB2312" w:eastAsia="仿宋_GB2312"/>
          <w:color w:val="auto"/>
          <w:sz w:val="32"/>
        </w:rPr>
        <w:t>妇幼基本公共卫生服务项目</w:t>
      </w:r>
    </w:p>
    <w:p w14:paraId="2418BADD">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1）孕产妇系统管理。结合基本公共卫生工作切实加强孕产妇系统管理工作，提高早孕检查与建册工作，产前检查，住院分娩与产后访视等工作质量。要求各医疗机构在有B超确定为宫内妊娠且有生育意愿要立即在母子一卡通建立信息。在助产机构分娩后要立即将分娩信息录入母子一卡通。按照孕产妇危险因素评分表及妊娠风险预警评估表进行高危筛查和风险评估，并进行分级分类管理。加强流动人口孕产妇健康管理，实现均等化服务，及时为辖区内居住3月以上的流动人口孕产妇建立健康档案，纳入孕产妇系统管理，落实异地托管制度。</w:t>
      </w:r>
    </w:p>
    <w:p w14:paraId="43AF81D3">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（2）0—6岁儿童健康管理。建立儿童健康管理质量控制体系，利用网络平台开展信息实时指导。落实高危儿童及营养性疾病儿童分级管理，建立高危</w:t>
      </w:r>
      <w:r>
        <w:rPr>
          <w:rFonts w:hint="eastAsia" w:ascii="仿宋_GB2312" w:hAnsi="仿宋_GB2312" w:eastAsia="仿宋_GB2312"/>
          <w:color w:val="auto"/>
          <w:sz w:val="32"/>
          <w:lang w:eastAsia="zh-CN"/>
        </w:rPr>
        <w:t>儿童童</w:t>
      </w:r>
      <w:r>
        <w:rPr>
          <w:rFonts w:hint="eastAsia" w:ascii="仿宋_GB2312" w:hAnsi="仿宋_GB2312" w:eastAsia="仿宋_GB2312"/>
          <w:color w:val="auto"/>
          <w:sz w:val="32"/>
        </w:rPr>
        <w:t>及营养性疾病</w:t>
      </w:r>
      <w:r>
        <w:rPr>
          <w:rFonts w:hint="eastAsia" w:ascii="仿宋_GB2312" w:hAnsi="仿宋_GB2312" w:eastAsia="仿宋_GB2312"/>
          <w:color w:val="auto"/>
          <w:sz w:val="32"/>
          <w:lang w:eastAsia="zh-CN"/>
        </w:rPr>
        <w:t>识别</w:t>
      </w:r>
      <w:r>
        <w:rPr>
          <w:rFonts w:hint="eastAsia" w:ascii="仿宋_GB2312" w:hAnsi="仿宋_GB2312" w:eastAsia="仿宋_GB2312"/>
          <w:color w:val="auto"/>
          <w:sz w:val="32"/>
        </w:rPr>
        <w:t>、转诊、工作规范与机制。建立</w:t>
      </w:r>
      <w:r>
        <w:rPr>
          <w:rFonts w:hint="eastAsia" w:ascii="仿宋_GB2312" w:hAnsi="仿宋_GB2312" w:eastAsia="仿宋_GB2312"/>
          <w:color w:val="auto"/>
          <w:sz w:val="32"/>
          <w:lang w:eastAsia="zh-CN"/>
        </w:rPr>
        <w:t>托幼</w:t>
      </w:r>
      <w:r>
        <w:rPr>
          <w:rFonts w:hint="eastAsia" w:ascii="仿宋_GB2312" w:hAnsi="仿宋_GB2312" w:eastAsia="仿宋_GB2312"/>
          <w:color w:val="auto"/>
          <w:sz w:val="32"/>
        </w:rPr>
        <w:t>机构卫生保健工作、网络体系与质量控制体系。</w:t>
      </w:r>
    </w:p>
    <w:p w14:paraId="1C16CC1A">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（3）指导幼儿园做好幼儿保健工作。</w:t>
      </w:r>
    </w:p>
    <w:p w14:paraId="178786DA">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4）健康教育。一是加强妇幼保健健康教育工作网络建设与能力建设，要设立健康教育科，要有专人从事健康教育工作。二是开展孕妇学校、父母学校、新婚学校教育，宣传《母婴健康素养》等知识。三是围绕妇幼健康重点工作，为基层提供健康教育材料。四是开设母乳喂养咨询门诊，为孕产妇提供母乳喂养</w:t>
      </w:r>
      <w:r>
        <w:rPr>
          <w:rFonts w:hint="eastAsia" w:ascii="仿宋_GB2312" w:hAnsi="仿宋_GB2312" w:eastAsia="仿宋_GB2312"/>
          <w:color w:val="auto"/>
          <w:sz w:val="32"/>
          <w:lang w:eastAsia="zh-CN"/>
        </w:rPr>
        <w:t>咨询服务</w:t>
      </w:r>
      <w:r>
        <w:rPr>
          <w:rFonts w:hint="eastAsia" w:ascii="仿宋_GB2312" w:hAnsi="仿宋_GB2312" w:eastAsia="仿宋_GB2312"/>
          <w:color w:val="auto"/>
          <w:sz w:val="32"/>
        </w:rPr>
        <w:t>。</w:t>
      </w:r>
    </w:p>
    <w:p w14:paraId="03AE6684">
      <w:pPr>
        <w:rPr>
          <w:rFonts w:hint="eastAsia" w:ascii="仿宋_GB2312" w:hAnsi="仿宋_GB2312" w:eastAsia="仿宋_GB2312"/>
          <w:color w:val="auto"/>
          <w:sz w:val="32"/>
        </w:rPr>
      </w:pPr>
      <w:r>
        <w:rPr>
          <w:rFonts w:hint="eastAsia" w:ascii="仿宋_GB2312" w:hAnsi="仿宋_GB2312" w:eastAsia="仿宋_GB2312"/>
          <w:color w:val="auto"/>
          <w:sz w:val="32"/>
        </w:rPr>
        <w:t xml:space="preserve">   （5）出生缺陷干预工作</w:t>
      </w:r>
    </w:p>
    <w:p w14:paraId="243FC235">
      <w:pPr>
        <w:rPr>
          <w:rFonts w:hint="eastAsia" w:ascii="仿宋_GB2312" w:hAnsi="仿宋_GB2312" w:eastAsia="仿宋_GB2312"/>
          <w:color w:val="auto"/>
          <w:sz w:val="32"/>
        </w:rPr>
      </w:pPr>
      <w:r>
        <w:rPr>
          <w:rFonts w:hint="eastAsia" w:ascii="仿宋_GB2312" w:hAnsi="仿宋_GB2312" w:eastAsia="仿宋_GB2312" w:cs="仿宋_GB2312"/>
          <w:color w:val="auto"/>
          <w:sz w:val="32"/>
        </w:rPr>
        <w:t xml:space="preserve">    ①</w:t>
      </w:r>
      <w:r>
        <w:rPr>
          <w:rFonts w:hint="eastAsia" w:ascii="仿宋_GB2312" w:hAnsi="仿宋_GB2312" w:eastAsia="仿宋_GB2312"/>
          <w:color w:val="auto"/>
          <w:sz w:val="32"/>
        </w:rPr>
        <w:t>免费婚前医学检查工作。自愿免费婚前医学检查人群艾滋病、梅毒和乙肝检测率达99</w:t>
      </w:r>
      <w:r>
        <w:rPr>
          <w:rFonts w:hint="eastAsia" w:ascii="仿宋_GB2312" w:hAnsi="仿宋_GB2312" w:eastAsia="仿宋_GB2312"/>
          <w:color w:val="auto"/>
          <w:sz w:val="32"/>
          <w:lang w:eastAsia="zh-CN"/>
        </w:rPr>
        <w:t>%</w:t>
      </w:r>
      <w:r>
        <w:rPr>
          <w:rFonts w:hint="eastAsia" w:ascii="仿宋_GB2312" w:hAnsi="仿宋_GB2312" w:eastAsia="仿宋_GB2312"/>
          <w:color w:val="auto"/>
          <w:sz w:val="32"/>
        </w:rPr>
        <w:t>。建立免费婚前医学检查工作的长效机制，稳定婚检医师的队伍建设，开展业务培训。结合婚前医学检查与孕期优生健康检查医学，加强婚检与孕检质量控制，定期自查。</w:t>
      </w:r>
    </w:p>
    <w:p w14:paraId="1C8EA066">
      <w:pPr>
        <w:ind w:firstLine="640" w:firstLineChars="200"/>
        <w:rPr>
          <w:rFonts w:hint="eastAsia" w:ascii="仿宋_GB2312" w:hAnsi="仿宋_GB2312" w:eastAsia="仿宋_GB2312"/>
          <w:color w:val="auto"/>
          <w:sz w:val="32"/>
        </w:rPr>
      </w:pPr>
      <w:r>
        <w:rPr>
          <w:rFonts w:hint="eastAsia" w:ascii="仿宋_GB2312" w:hAnsi="仿宋_GB2312" w:eastAsia="仿宋_GB2312" w:cs="仿宋_GB2312"/>
          <w:color w:val="auto"/>
          <w:sz w:val="32"/>
        </w:rPr>
        <w:t>②</w:t>
      </w:r>
      <w:r>
        <w:rPr>
          <w:rFonts w:hint="eastAsia" w:ascii="仿宋_GB2312" w:hAnsi="仿宋_GB2312" w:eastAsia="仿宋_GB2312"/>
          <w:color w:val="auto"/>
          <w:sz w:val="32"/>
        </w:rPr>
        <w:t>产前筛查及产前诊断。按照《</w:t>
      </w:r>
      <w:r>
        <w:rPr>
          <w:rFonts w:hint="eastAsia" w:ascii="仿宋_GB2312" w:hAnsi="仿宋_GB2312" w:eastAsia="仿宋_GB2312"/>
          <w:color w:val="auto"/>
          <w:sz w:val="32"/>
          <w:lang w:eastAsia="zh-CN"/>
        </w:rPr>
        <w:t>卫健委</w:t>
      </w:r>
      <w:r>
        <w:rPr>
          <w:rFonts w:hint="eastAsia" w:ascii="仿宋_GB2312" w:hAnsi="仿宋_GB2312" w:eastAsia="仿宋_GB2312"/>
          <w:color w:val="auto"/>
          <w:sz w:val="32"/>
        </w:rPr>
        <w:t>产前诊断管理办法》，加强产前筛查健康教育，依法开展产前筛查，提高产前筛查覆盖率，产前高危孕妇接受诊断干预率达80%以上。</w:t>
      </w:r>
    </w:p>
    <w:p w14:paraId="00219439">
      <w:pPr>
        <w:rPr>
          <w:rFonts w:hint="eastAsia" w:ascii="仿宋_GB2312" w:hAnsi="仿宋_GB2312" w:eastAsia="仿宋_GB2312"/>
          <w:color w:val="auto"/>
          <w:sz w:val="32"/>
        </w:rPr>
      </w:pPr>
      <w:r>
        <w:rPr>
          <w:rFonts w:hint="eastAsia" w:ascii="仿宋_GB2312" w:hAnsi="仿宋_GB2312" w:eastAsia="仿宋_GB2312"/>
          <w:color w:val="auto"/>
          <w:sz w:val="32"/>
        </w:rPr>
        <w:t xml:space="preserve">    </w:t>
      </w:r>
      <w:r>
        <w:rPr>
          <w:rFonts w:hint="eastAsia" w:ascii="仿宋_GB2312" w:hAnsi="仿宋_GB2312" w:eastAsia="仿宋_GB2312" w:cs="仿宋_GB2312"/>
          <w:color w:val="auto"/>
          <w:sz w:val="32"/>
        </w:rPr>
        <w:t>③</w:t>
      </w:r>
      <w:r>
        <w:rPr>
          <w:rFonts w:hint="eastAsia" w:ascii="仿宋_GB2312" w:hAnsi="仿宋_GB2312" w:eastAsia="仿宋_GB2312"/>
          <w:color w:val="auto"/>
          <w:sz w:val="32"/>
        </w:rPr>
        <w:t>新生儿疾病筛查。</w:t>
      </w:r>
      <w:r>
        <w:rPr>
          <w:rFonts w:hint="eastAsia" w:ascii="仿宋_GB2312" w:hAnsi="仿宋_GB2312" w:eastAsia="仿宋_GB2312"/>
          <w:color w:val="auto"/>
          <w:sz w:val="32"/>
          <w:lang w:eastAsia="zh-CN"/>
        </w:rPr>
        <w:t>各级</w:t>
      </w:r>
      <w:r>
        <w:rPr>
          <w:rFonts w:hint="eastAsia" w:ascii="仿宋_GB2312" w:hAnsi="仿宋_GB2312" w:eastAsia="仿宋_GB2312"/>
          <w:color w:val="auto"/>
          <w:sz w:val="32"/>
        </w:rPr>
        <w:t>医疗机构规范完成国家重大公共卫生新生儿疾病筛查服务项目，加强血片的质量控制。儿保医师要管理筛查出的阳性患儿，填写患儿信息并及时上报，做好新生儿遗传代谢病筛查的信息管理工作。</w:t>
      </w:r>
    </w:p>
    <w:p w14:paraId="59895952">
      <w:pPr>
        <w:ind w:firstLine="640" w:firstLineChars="200"/>
        <w:rPr>
          <w:rFonts w:hint="eastAsia" w:ascii="仿宋_GB2312" w:hAnsi="仿宋_GB2312" w:eastAsia="仿宋_GB2312"/>
          <w:color w:val="auto"/>
          <w:sz w:val="32"/>
        </w:rPr>
      </w:pPr>
      <w:r>
        <w:rPr>
          <w:rFonts w:hint="eastAsia" w:ascii="仿宋_GB2312" w:hAnsi="仿宋_GB2312" w:eastAsia="仿宋_GB2312" w:cs="仿宋_GB2312"/>
          <w:color w:val="auto"/>
          <w:sz w:val="32"/>
        </w:rPr>
        <w:t>④</w:t>
      </w:r>
      <w:r>
        <w:rPr>
          <w:rFonts w:hint="eastAsia" w:ascii="仿宋_GB2312" w:hAnsi="仿宋_GB2312" w:eastAsia="仿宋_GB2312"/>
          <w:color w:val="auto"/>
          <w:sz w:val="32"/>
        </w:rPr>
        <w:t>新生儿听力筛查。规范落实听力筛查服务流程，提高筛查质量，辖区机构加强筛查信息的登记，管理上报工作，提高新生儿听力筛查初筛率，复评率和转诊率及随访工作及听力筛查后确诊病例的治疗率。新生儿听力筛查率与检测质量控制率达100%。</w:t>
      </w:r>
    </w:p>
    <w:p w14:paraId="0BE1DD5C">
      <w:pPr>
        <w:ind w:firstLine="640" w:firstLineChars="200"/>
        <w:rPr>
          <w:rFonts w:hint="eastAsia" w:ascii="仿宋_GB2312" w:hAnsi="仿宋_GB2312" w:eastAsia="仿宋_GB2312"/>
          <w:color w:val="auto"/>
          <w:sz w:val="32"/>
        </w:rPr>
      </w:pPr>
      <w:r>
        <w:rPr>
          <w:rFonts w:hint="eastAsia" w:ascii="仿宋_GB2312" w:hAnsi="仿宋_GB2312" w:eastAsia="仿宋_GB2312"/>
          <w:color w:val="auto"/>
          <w:sz w:val="32"/>
        </w:rPr>
        <w:t>（6）免费计划生育技术服务工作</w:t>
      </w:r>
    </w:p>
    <w:p w14:paraId="7A3511B5">
      <w:pPr>
        <w:rPr>
          <w:rFonts w:hint="eastAsia"/>
          <w:color w:val="auto"/>
        </w:rPr>
      </w:pPr>
      <w:r>
        <w:rPr>
          <w:rFonts w:hint="eastAsia" w:ascii="仿宋_GB2312" w:hAnsi="仿宋_GB2312" w:eastAsia="仿宋_GB2312"/>
          <w:color w:val="auto"/>
          <w:sz w:val="32"/>
        </w:rPr>
        <w:t xml:space="preserve">    继续为应该免费享受计划生育技术服务的育龄群众提供优质服务。规范管理全区避孕药具工作，及时准确完成避孕药具不良反应的网报</w:t>
      </w:r>
    </w:p>
    <w:p w14:paraId="178BB5FB">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auto"/>
        </w:rPr>
      </w:pPr>
      <w:bookmarkStart w:id="8" w:name="_Toc25541"/>
      <w:bookmarkStart w:id="9" w:name="_Toc13335"/>
      <w:r>
        <w:rPr>
          <w:rFonts w:hint="eastAsia" w:ascii="宋体" w:hAnsi="宋体" w:eastAsia="黑体"/>
          <w:color w:val="auto"/>
        </w:rPr>
        <w:t>二、部门预算单位构成</w:t>
      </w:r>
      <w:bookmarkEnd w:id="8"/>
      <w:bookmarkEnd w:id="9"/>
    </w:p>
    <w:p w14:paraId="27E1112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部门预算单位1个，其中</w:t>
      </w:r>
      <w:bookmarkStart w:id="81" w:name="_GoBack"/>
      <w:bookmarkEnd w:id="81"/>
      <w:r>
        <w:rPr>
          <w:rFonts w:hint="eastAsia" w:ascii="宋体" w:hAnsi="宋体"/>
          <w:color w:val="auto"/>
          <w:sz w:val="32"/>
          <w:lang w:val="en-US" w:eastAsia="zh-CN"/>
        </w:rPr>
        <w:t>事业单位1个。主要包括：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3D0C1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40711753">
            <w:pPr>
              <w:pStyle w:val="14"/>
              <w:spacing w:before="159"/>
              <w:ind w:left="748"/>
              <w:rPr>
                <w:rFonts w:hint="eastAsia" w:ascii="宋体" w:hAnsi="宋体" w:eastAsia="仿宋_GB2312"/>
                <w:color w:val="auto"/>
                <w:sz w:val="32"/>
              </w:rPr>
            </w:pPr>
            <w:r>
              <w:rPr>
                <w:rFonts w:hint="eastAsia" w:ascii="宋体" w:hAnsi="宋体" w:eastAsia="仿宋_GB2312"/>
                <w:color w:val="auto"/>
                <w:sz w:val="32"/>
              </w:rPr>
              <w:t>序号</w:t>
            </w:r>
          </w:p>
        </w:tc>
        <w:tc>
          <w:tcPr>
            <w:tcW w:w="6282" w:type="dxa"/>
          </w:tcPr>
          <w:p w14:paraId="4490CEF2">
            <w:pPr>
              <w:pStyle w:val="14"/>
              <w:spacing w:before="159"/>
              <w:ind w:left="2498"/>
              <w:rPr>
                <w:rFonts w:hint="eastAsia" w:ascii="宋体" w:hAnsi="宋体" w:eastAsia="仿宋_GB2312"/>
                <w:color w:val="auto"/>
                <w:sz w:val="32"/>
              </w:rPr>
            </w:pPr>
            <w:r>
              <w:rPr>
                <w:rFonts w:hint="eastAsia" w:ascii="宋体" w:hAnsi="宋体" w:eastAsia="仿宋_GB2312"/>
                <w:color w:val="auto"/>
                <w:sz w:val="32"/>
              </w:rPr>
              <w:t>预算单位名称</w:t>
            </w:r>
          </w:p>
        </w:tc>
      </w:tr>
      <w:tr w14:paraId="5D591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4B5893D">
            <w:pPr>
              <w:pStyle w:val="14"/>
              <w:spacing w:before="181"/>
              <w:ind w:left="748"/>
              <w:rPr>
                <w:rFonts w:ascii="宋体" w:hAnsi="宋体"/>
                <w:color w:val="auto"/>
                <w:sz w:val="32"/>
              </w:rPr>
            </w:pPr>
            <w:r>
              <w:rPr>
                <w:rFonts w:ascii="宋体" w:hAnsi="宋体"/>
                <w:color w:val="auto"/>
                <w:w w:val="99"/>
                <w:sz w:val="32"/>
              </w:rPr>
              <w:t>1</w:t>
            </w:r>
          </w:p>
        </w:tc>
        <w:tc>
          <w:tcPr>
            <w:tcW w:w="6282" w:type="dxa"/>
          </w:tcPr>
          <w:p w14:paraId="6C4FC270">
            <w:pPr>
              <w:pStyle w:val="14"/>
              <w:spacing w:before="160"/>
              <w:jc w:val="center"/>
              <w:rPr>
                <w:rFonts w:hint="eastAsia" w:ascii="宋体" w:hAnsi="宋体" w:eastAsia="仿宋_GB2312"/>
                <w:color w:val="auto"/>
                <w:sz w:val="32"/>
                <w:lang w:eastAsia="zh-CN"/>
              </w:rPr>
            </w:pPr>
            <w:r>
              <w:rPr>
                <w:rFonts w:hint="eastAsia" w:eastAsia="仿宋_GB2312"/>
                <w:color w:val="auto"/>
                <w:sz w:val="32"/>
                <w:lang w:eastAsia="zh-CN"/>
              </w:rPr>
              <w:t>乐山市五通桥区妇幼保健院</w:t>
            </w:r>
          </w:p>
        </w:tc>
      </w:tr>
      <w:tr w14:paraId="08BA5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1744B39E">
            <w:pPr>
              <w:pStyle w:val="14"/>
              <w:spacing w:before="183"/>
              <w:ind w:left="748"/>
              <w:rPr>
                <w:rFonts w:ascii="宋体" w:hAnsi="宋体"/>
                <w:color w:val="auto"/>
                <w:sz w:val="32"/>
              </w:rPr>
            </w:pPr>
            <w:r>
              <w:rPr>
                <w:rFonts w:ascii="宋体" w:hAnsi="宋体"/>
                <w:color w:val="auto"/>
                <w:w w:val="99"/>
                <w:sz w:val="32"/>
              </w:rPr>
              <w:t>2</w:t>
            </w:r>
          </w:p>
        </w:tc>
        <w:tc>
          <w:tcPr>
            <w:tcW w:w="6282" w:type="dxa"/>
          </w:tcPr>
          <w:p w14:paraId="66A40190">
            <w:pPr>
              <w:pStyle w:val="14"/>
              <w:spacing w:before="162"/>
              <w:ind w:left="746"/>
              <w:rPr>
                <w:rFonts w:hint="eastAsia" w:ascii="宋体" w:hAnsi="宋体" w:eastAsia="仿宋_GB2312"/>
                <w:color w:val="auto"/>
                <w:sz w:val="32"/>
              </w:rPr>
            </w:pPr>
          </w:p>
        </w:tc>
      </w:tr>
      <w:tr w14:paraId="6738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DCB8B0D">
            <w:pPr>
              <w:pStyle w:val="14"/>
              <w:spacing w:before="183"/>
              <w:ind w:left="748"/>
              <w:rPr>
                <w:rFonts w:ascii="宋体" w:hAnsi="宋体"/>
                <w:color w:val="auto"/>
                <w:sz w:val="32"/>
              </w:rPr>
            </w:pPr>
            <w:r>
              <w:rPr>
                <w:rFonts w:ascii="宋体" w:hAnsi="宋体"/>
                <w:color w:val="auto"/>
                <w:w w:val="99"/>
                <w:sz w:val="32"/>
              </w:rPr>
              <w:t>3</w:t>
            </w:r>
          </w:p>
        </w:tc>
        <w:tc>
          <w:tcPr>
            <w:tcW w:w="6282" w:type="dxa"/>
          </w:tcPr>
          <w:p w14:paraId="7176410B">
            <w:pPr>
              <w:pStyle w:val="14"/>
              <w:spacing w:before="162"/>
              <w:ind w:left="746"/>
              <w:rPr>
                <w:rFonts w:hint="eastAsia" w:ascii="宋体" w:hAnsi="宋体" w:eastAsia="仿宋_GB2312"/>
                <w:color w:val="auto"/>
                <w:sz w:val="32"/>
              </w:rPr>
            </w:pPr>
          </w:p>
        </w:tc>
      </w:tr>
      <w:tr w14:paraId="61E21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21D2F193">
            <w:pPr>
              <w:pStyle w:val="14"/>
              <w:spacing w:before="183"/>
              <w:ind w:left="748"/>
              <w:rPr>
                <w:rFonts w:ascii="宋体" w:hAnsi="宋体"/>
                <w:color w:val="auto"/>
                <w:sz w:val="32"/>
              </w:rPr>
            </w:pPr>
            <w:r>
              <w:rPr>
                <w:rFonts w:ascii="宋体" w:hAnsi="宋体"/>
                <w:color w:val="auto"/>
                <w:w w:val="99"/>
                <w:sz w:val="32"/>
              </w:rPr>
              <w:t>4</w:t>
            </w:r>
          </w:p>
        </w:tc>
        <w:tc>
          <w:tcPr>
            <w:tcW w:w="6282" w:type="dxa"/>
          </w:tcPr>
          <w:p w14:paraId="0FF253C1">
            <w:pPr>
              <w:pStyle w:val="14"/>
              <w:spacing w:before="162"/>
              <w:ind w:left="746"/>
              <w:rPr>
                <w:rFonts w:hint="eastAsia" w:ascii="宋体" w:hAnsi="宋体" w:eastAsia="仿宋_GB2312"/>
                <w:color w:val="auto"/>
                <w:sz w:val="32"/>
              </w:rPr>
            </w:pPr>
          </w:p>
        </w:tc>
      </w:tr>
    </w:tbl>
    <w:p w14:paraId="52226853">
      <w:pPr>
        <w:rPr>
          <w:rFonts w:ascii="宋体" w:hAnsi="宋体"/>
          <w:sz w:val="20"/>
        </w:rPr>
      </w:pPr>
      <w:r>
        <w:rPr>
          <w:rFonts w:ascii="宋体" w:hAnsi="宋体"/>
          <w:sz w:val="20"/>
        </w:rPr>
        <w:br w:type="page"/>
      </w:r>
    </w:p>
    <w:p w14:paraId="7AB04AF5">
      <w:pPr>
        <w:pStyle w:val="4"/>
        <w:rPr>
          <w:rFonts w:ascii="宋体" w:hAnsi="宋体"/>
          <w:sz w:val="20"/>
        </w:rPr>
      </w:pPr>
    </w:p>
    <w:p w14:paraId="236A27C1">
      <w:pPr>
        <w:pStyle w:val="4"/>
        <w:rPr>
          <w:rFonts w:ascii="宋体" w:hAnsi="宋体"/>
          <w:sz w:val="20"/>
        </w:rPr>
      </w:pPr>
    </w:p>
    <w:p w14:paraId="44BAB22A">
      <w:pPr>
        <w:pStyle w:val="4"/>
        <w:rPr>
          <w:rFonts w:ascii="宋体" w:hAnsi="宋体"/>
          <w:sz w:val="20"/>
        </w:rPr>
      </w:pPr>
    </w:p>
    <w:p w14:paraId="5C7F29E3">
      <w:pPr>
        <w:pStyle w:val="4"/>
        <w:rPr>
          <w:rFonts w:ascii="宋体" w:hAnsi="宋体"/>
          <w:sz w:val="20"/>
        </w:rPr>
      </w:pPr>
    </w:p>
    <w:p w14:paraId="6D08C2EE">
      <w:pPr>
        <w:pStyle w:val="4"/>
        <w:rPr>
          <w:rFonts w:ascii="宋体" w:hAnsi="宋体"/>
          <w:sz w:val="20"/>
        </w:rPr>
      </w:pPr>
    </w:p>
    <w:p w14:paraId="2BB4F7E6">
      <w:pPr>
        <w:pStyle w:val="4"/>
        <w:rPr>
          <w:rFonts w:ascii="宋体" w:hAnsi="宋体"/>
          <w:sz w:val="20"/>
        </w:rPr>
      </w:pPr>
    </w:p>
    <w:p w14:paraId="3B8D5A40">
      <w:pPr>
        <w:pStyle w:val="4"/>
        <w:rPr>
          <w:rFonts w:ascii="宋体" w:hAnsi="宋体"/>
          <w:sz w:val="20"/>
        </w:rPr>
      </w:pPr>
    </w:p>
    <w:p w14:paraId="3021B8CC">
      <w:pPr>
        <w:pStyle w:val="4"/>
        <w:rPr>
          <w:rFonts w:ascii="宋体" w:hAnsi="宋体"/>
          <w:sz w:val="20"/>
        </w:rPr>
      </w:pPr>
    </w:p>
    <w:p w14:paraId="0A311419">
      <w:pPr>
        <w:pStyle w:val="4"/>
        <w:rPr>
          <w:rFonts w:ascii="宋体" w:hAnsi="宋体"/>
          <w:sz w:val="20"/>
        </w:rPr>
      </w:pPr>
    </w:p>
    <w:p w14:paraId="2AE69C79">
      <w:pPr>
        <w:pStyle w:val="4"/>
        <w:rPr>
          <w:rFonts w:ascii="宋体" w:hAnsi="宋体"/>
          <w:sz w:val="20"/>
        </w:rPr>
      </w:pPr>
    </w:p>
    <w:p w14:paraId="1DDA01F1">
      <w:pPr>
        <w:pStyle w:val="4"/>
        <w:rPr>
          <w:rFonts w:ascii="宋体" w:hAnsi="宋体"/>
          <w:sz w:val="20"/>
        </w:rPr>
      </w:pPr>
    </w:p>
    <w:p w14:paraId="17C59148">
      <w:pPr>
        <w:pStyle w:val="4"/>
        <w:rPr>
          <w:rFonts w:ascii="宋体" w:hAnsi="宋体"/>
          <w:sz w:val="20"/>
        </w:rPr>
      </w:pPr>
    </w:p>
    <w:p w14:paraId="6A16D8BF">
      <w:pPr>
        <w:pStyle w:val="4"/>
        <w:rPr>
          <w:rFonts w:ascii="宋体" w:hAnsi="宋体"/>
          <w:sz w:val="20"/>
        </w:rPr>
      </w:pPr>
    </w:p>
    <w:p w14:paraId="477C81EF">
      <w:pPr>
        <w:pStyle w:val="4"/>
        <w:rPr>
          <w:rFonts w:ascii="宋体" w:hAnsi="宋体"/>
          <w:sz w:val="20"/>
        </w:rPr>
      </w:pPr>
    </w:p>
    <w:p w14:paraId="62F04522">
      <w:pPr>
        <w:pStyle w:val="4"/>
        <w:rPr>
          <w:rFonts w:ascii="宋体" w:hAnsi="宋体"/>
          <w:sz w:val="20"/>
        </w:rPr>
      </w:pPr>
    </w:p>
    <w:p w14:paraId="5AE6F9DC">
      <w:pPr>
        <w:pStyle w:val="4"/>
        <w:rPr>
          <w:rFonts w:ascii="宋体" w:hAnsi="宋体"/>
          <w:sz w:val="20"/>
        </w:rPr>
      </w:pPr>
    </w:p>
    <w:p w14:paraId="56736AB4">
      <w:pPr>
        <w:pStyle w:val="4"/>
        <w:rPr>
          <w:rFonts w:ascii="宋体" w:hAnsi="宋体"/>
          <w:sz w:val="20"/>
        </w:rPr>
      </w:pPr>
    </w:p>
    <w:p w14:paraId="6A641893">
      <w:pPr>
        <w:pStyle w:val="4"/>
        <w:rPr>
          <w:rFonts w:ascii="宋体" w:hAnsi="宋体"/>
          <w:sz w:val="20"/>
        </w:rPr>
      </w:pPr>
    </w:p>
    <w:p w14:paraId="29AAEA95">
      <w:pPr>
        <w:pStyle w:val="4"/>
        <w:rPr>
          <w:rFonts w:ascii="宋体" w:hAnsi="宋体"/>
          <w:sz w:val="20"/>
        </w:rPr>
      </w:pPr>
    </w:p>
    <w:p w14:paraId="203C36EE">
      <w:pPr>
        <w:pStyle w:val="4"/>
        <w:rPr>
          <w:rFonts w:ascii="宋体" w:hAnsi="宋体"/>
          <w:sz w:val="20"/>
        </w:rPr>
      </w:pPr>
    </w:p>
    <w:p w14:paraId="108F6BE4">
      <w:pPr>
        <w:pStyle w:val="4"/>
        <w:numPr>
          <w:ilvl w:val="0"/>
          <w:numId w:val="2"/>
        </w:numPr>
        <w:jc w:val="center"/>
        <w:outlineLvl w:val="0"/>
        <w:rPr>
          <w:rFonts w:hint="eastAsia" w:ascii="方正小标宋简体" w:hAnsi="方正小标宋简体" w:eastAsia="方正小标宋简体" w:cs="方正小标宋简体"/>
          <w:b/>
          <w:bCs/>
          <w:color w:val="auto"/>
          <w:sz w:val="52"/>
          <w:szCs w:val="52"/>
          <w:lang w:val="en-US" w:eastAsia="zh-CN"/>
        </w:rPr>
      </w:pPr>
      <w:bookmarkStart w:id="10" w:name="_Toc29727"/>
      <w:bookmarkStart w:id="11" w:name="_Toc14635"/>
      <w:r>
        <w:rPr>
          <w:rFonts w:hint="eastAsia" w:ascii="方正小标宋简体" w:hAnsi="方正小标宋简体" w:eastAsia="方正小标宋简体" w:cs="方正小标宋简体"/>
          <w:b/>
          <w:bCs/>
          <w:color w:val="auto"/>
          <w:sz w:val="52"/>
          <w:szCs w:val="52"/>
          <w:shd w:val="clear" w:color="auto" w:fill="auto"/>
          <w:lang w:val="en-US" w:eastAsia="zh-CN"/>
        </w:rPr>
        <w:t>乐山市五通桥区妇幼保健院</w:t>
      </w:r>
      <w:r>
        <w:rPr>
          <w:rFonts w:hint="eastAsia" w:ascii="方正小标宋简体" w:hAnsi="方正小标宋简体" w:eastAsia="方正小标宋简体" w:cs="方正小标宋简体"/>
          <w:b/>
          <w:bCs/>
          <w:color w:val="auto"/>
          <w:sz w:val="52"/>
          <w:szCs w:val="52"/>
          <w:lang w:val="en-US" w:eastAsia="zh-CN"/>
        </w:rPr>
        <w:t>2025年部门预算表</w:t>
      </w:r>
      <w:bookmarkEnd w:id="10"/>
      <w:bookmarkEnd w:id="11"/>
    </w:p>
    <w:p w14:paraId="1B0B0FCF">
      <w:pPr>
        <w:rPr>
          <w:rFonts w:hint="eastAsia" w:ascii="宋体" w:hAnsi="宋体"/>
          <w:sz w:val="32"/>
          <w:lang w:val="en-US" w:eastAsia="zh-CN"/>
        </w:rPr>
      </w:pPr>
      <w:r>
        <w:rPr>
          <w:rFonts w:ascii="宋体" w:hAnsi="宋体"/>
          <w:color w:val="333333"/>
        </w:rPr>
        <w:br w:type="page"/>
      </w:r>
    </w:p>
    <w:p w14:paraId="2CBD852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3706"/>
      <w:bookmarkStart w:id="13" w:name="_Toc3119"/>
      <w:r>
        <w:rPr>
          <w:rFonts w:hint="eastAsia" w:ascii="宋体" w:hAnsi="宋体"/>
          <w:sz w:val="32"/>
          <w:lang w:val="en-US" w:eastAsia="zh-CN"/>
        </w:rPr>
        <w:t>一、收支总表（表1）</w:t>
      </w:r>
      <w:bookmarkEnd w:id="12"/>
      <w:bookmarkEnd w:id="13"/>
    </w:p>
    <w:p w14:paraId="0575CA9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31476"/>
      <w:bookmarkStart w:id="15" w:name="_Toc14124"/>
      <w:r>
        <w:rPr>
          <w:rFonts w:hint="eastAsia" w:ascii="宋体" w:hAnsi="宋体"/>
          <w:sz w:val="32"/>
          <w:lang w:val="en-US" w:eastAsia="zh-CN"/>
        </w:rPr>
        <w:t>二、收入总表（表1-1）</w:t>
      </w:r>
      <w:bookmarkEnd w:id="14"/>
      <w:bookmarkEnd w:id="15"/>
    </w:p>
    <w:p w14:paraId="400AA4C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2936"/>
      <w:bookmarkStart w:id="17" w:name="_Toc18617"/>
      <w:r>
        <w:rPr>
          <w:rFonts w:hint="eastAsia" w:ascii="宋体" w:hAnsi="宋体"/>
          <w:sz w:val="32"/>
          <w:lang w:val="en-US" w:eastAsia="zh-CN"/>
        </w:rPr>
        <w:t>三、支出总表（表1-2）</w:t>
      </w:r>
      <w:bookmarkEnd w:id="16"/>
      <w:bookmarkEnd w:id="17"/>
    </w:p>
    <w:p w14:paraId="535C6EC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32358"/>
      <w:bookmarkStart w:id="19" w:name="_Toc8361"/>
      <w:r>
        <w:rPr>
          <w:rFonts w:hint="eastAsia" w:ascii="宋体" w:hAnsi="宋体"/>
          <w:sz w:val="32"/>
          <w:lang w:val="en-US" w:eastAsia="zh-CN"/>
        </w:rPr>
        <w:t>四、财政拨款收支预算总表（表2）</w:t>
      </w:r>
      <w:bookmarkEnd w:id="18"/>
      <w:bookmarkEnd w:id="19"/>
    </w:p>
    <w:p w14:paraId="1B23600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17221"/>
      <w:bookmarkStart w:id="21" w:name="_Toc18269"/>
      <w:r>
        <w:rPr>
          <w:rFonts w:hint="eastAsia" w:ascii="宋体" w:hAnsi="宋体"/>
          <w:sz w:val="32"/>
          <w:lang w:val="en-US" w:eastAsia="zh-CN"/>
        </w:rPr>
        <w:t>五、财政拨款支出预算表（部门经济分类科目）（表2-1）</w:t>
      </w:r>
      <w:bookmarkEnd w:id="20"/>
      <w:bookmarkEnd w:id="21"/>
    </w:p>
    <w:p w14:paraId="1CEF4E1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6563"/>
      <w:bookmarkStart w:id="23" w:name="_Toc11160"/>
      <w:r>
        <w:rPr>
          <w:rFonts w:hint="eastAsia" w:ascii="宋体" w:hAnsi="宋体"/>
          <w:sz w:val="32"/>
          <w:lang w:val="en-US" w:eastAsia="zh-CN"/>
        </w:rPr>
        <w:t>六、一般公共预算支出预算表（表3）</w:t>
      </w:r>
      <w:bookmarkEnd w:id="22"/>
      <w:bookmarkEnd w:id="23"/>
    </w:p>
    <w:p w14:paraId="2DDBE0E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9216"/>
      <w:bookmarkStart w:id="25" w:name="_Toc21462"/>
      <w:r>
        <w:rPr>
          <w:rFonts w:hint="eastAsia" w:ascii="宋体" w:hAnsi="宋体"/>
          <w:sz w:val="32"/>
          <w:lang w:val="en-US" w:eastAsia="zh-CN"/>
        </w:rPr>
        <w:t>七、一般公共预算基本支出预算表（表3-1）</w:t>
      </w:r>
      <w:bookmarkEnd w:id="24"/>
      <w:bookmarkEnd w:id="25"/>
      <w:r>
        <w:rPr>
          <w:rFonts w:hint="eastAsia" w:ascii="宋体" w:hAnsi="宋体"/>
          <w:sz w:val="32"/>
          <w:lang w:val="en-US" w:eastAsia="zh-CN"/>
        </w:rPr>
        <w:t xml:space="preserve"> </w:t>
      </w:r>
    </w:p>
    <w:p w14:paraId="66B5689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0056"/>
      <w:bookmarkStart w:id="27" w:name="_Toc617"/>
      <w:r>
        <w:rPr>
          <w:rFonts w:hint="eastAsia" w:ascii="宋体" w:hAnsi="宋体"/>
          <w:sz w:val="32"/>
          <w:lang w:val="en-US" w:eastAsia="zh-CN"/>
        </w:rPr>
        <w:t>八、一般公共预算项目支出预算表（表3-2）</w:t>
      </w:r>
      <w:bookmarkEnd w:id="26"/>
      <w:bookmarkEnd w:id="27"/>
    </w:p>
    <w:p w14:paraId="6946C33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158"/>
      <w:bookmarkStart w:id="29" w:name="_Toc24567"/>
      <w:r>
        <w:rPr>
          <w:rFonts w:hint="eastAsia" w:ascii="宋体" w:hAnsi="宋体"/>
          <w:sz w:val="32"/>
          <w:lang w:val="en-US" w:eastAsia="zh-CN"/>
        </w:rPr>
        <w:t>九、一般公共预算“三公”经费支出预算表（表3-3）</w:t>
      </w:r>
      <w:bookmarkEnd w:id="28"/>
      <w:bookmarkEnd w:id="29"/>
      <w:r>
        <w:rPr>
          <w:rFonts w:hint="eastAsia" w:ascii="宋体" w:hAnsi="宋体"/>
          <w:sz w:val="32"/>
          <w:lang w:val="en-US" w:eastAsia="zh-CN"/>
        </w:rPr>
        <w:t xml:space="preserve"> </w:t>
      </w:r>
    </w:p>
    <w:p w14:paraId="3EB26FA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30" w:name="_Toc3321"/>
      <w:bookmarkStart w:id="31" w:name="_Toc11755"/>
      <w:r>
        <w:rPr>
          <w:rFonts w:hint="eastAsia" w:ascii="宋体" w:hAnsi="宋体"/>
          <w:sz w:val="32"/>
          <w:lang w:val="en-US" w:eastAsia="zh-CN"/>
        </w:rPr>
        <w:t>十、政府性基金预算支出预算表 （表4）</w:t>
      </w:r>
      <w:bookmarkEnd w:id="30"/>
      <w:bookmarkEnd w:id="31"/>
    </w:p>
    <w:p w14:paraId="1F81CF4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32" w:name="_Toc26853"/>
      <w:bookmarkStart w:id="33" w:name="_Toc21197"/>
      <w:r>
        <w:rPr>
          <w:rFonts w:hint="eastAsia" w:ascii="宋体" w:hAnsi="宋体"/>
          <w:sz w:val="32"/>
          <w:lang w:val="en-US" w:eastAsia="zh-CN"/>
        </w:rPr>
        <w:t>十一、政府性基金预算“三公”经费支出预算表（表4-1）</w:t>
      </w:r>
      <w:bookmarkEnd w:id="32"/>
      <w:bookmarkEnd w:id="33"/>
    </w:p>
    <w:p w14:paraId="30C40A2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34" w:name="_Toc32615"/>
      <w:bookmarkStart w:id="35" w:name="_Toc25790"/>
      <w:r>
        <w:rPr>
          <w:rFonts w:hint="eastAsia" w:ascii="宋体" w:hAnsi="宋体"/>
          <w:sz w:val="32"/>
          <w:lang w:val="en-US" w:eastAsia="zh-CN"/>
        </w:rPr>
        <w:t>十二、国有资本经营预算支出预算表（表5）</w:t>
      </w:r>
      <w:bookmarkEnd w:id="34"/>
      <w:bookmarkEnd w:id="35"/>
    </w:p>
    <w:p w14:paraId="6155123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6" w:name="_Toc31549"/>
      <w:bookmarkStart w:id="37" w:name="_Toc957"/>
      <w:bookmarkStart w:id="38" w:name="_Toc16458"/>
      <w:r>
        <w:rPr>
          <w:rFonts w:hint="eastAsia" w:ascii="宋体" w:hAnsi="宋体"/>
          <w:b/>
          <w:bCs/>
          <w:sz w:val="32"/>
          <w:lang w:val="en-US" w:eastAsia="zh-CN"/>
        </w:rPr>
        <w:t>以上所有表格详见部门说明后附件。</w:t>
      </w:r>
      <w:bookmarkEnd w:id="36"/>
      <w:bookmarkEnd w:id="37"/>
      <w:bookmarkEnd w:id="38"/>
    </w:p>
    <w:p w14:paraId="75C7DAD5">
      <w:pPr>
        <w:rPr>
          <w:rFonts w:ascii="宋体" w:hAnsi="宋体"/>
          <w:sz w:val="20"/>
        </w:rPr>
      </w:pPr>
      <w:r>
        <w:rPr>
          <w:rFonts w:ascii="宋体" w:hAnsi="宋体"/>
          <w:sz w:val="20"/>
        </w:rPr>
        <w:br w:type="page"/>
      </w:r>
    </w:p>
    <w:p w14:paraId="4E9D8C76">
      <w:pPr>
        <w:pStyle w:val="4"/>
        <w:rPr>
          <w:rFonts w:ascii="宋体" w:hAnsi="宋体"/>
          <w:sz w:val="20"/>
        </w:rPr>
      </w:pPr>
    </w:p>
    <w:p w14:paraId="775F41A3">
      <w:pPr>
        <w:pStyle w:val="4"/>
        <w:rPr>
          <w:rFonts w:ascii="宋体" w:hAnsi="宋体"/>
          <w:sz w:val="20"/>
        </w:rPr>
      </w:pPr>
    </w:p>
    <w:p w14:paraId="25AAB7A2">
      <w:pPr>
        <w:pStyle w:val="4"/>
        <w:rPr>
          <w:rFonts w:ascii="宋体" w:hAnsi="宋体"/>
          <w:sz w:val="20"/>
        </w:rPr>
      </w:pPr>
    </w:p>
    <w:p w14:paraId="43E9926E">
      <w:pPr>
        <w:pStyle w:val="4"/>
        <w:rPr>
          <w:rFonts w:ascii="宋体" w:hAnsi="宋体"/>
          <w:sz w:val="20"/>
        </w:rPr>
      </w:pPr>
    </w:p>
    <w:p w14:paraId="39DB09DB">
      <w:pPr>
        <w:pStyle w:val="4"/>
        <w:rPr>
          <w:rFonts w:ascii="宋体" w:hAnsi="宋体"/>
          <w:sz w:val="20"/>
        </w:rPr>
      </w:pPr>
    </w:p>
    <w:p w14:paraId="6E708FF1">
      <w:pPr>
        <w:pStyle w:val="4"/>
        <w:rPr>
          <w:rFonts w:ascii="宋体" w:hAnsi="宋体"/>
          <w:sz w:val="20"/>
        </w:rPr>
      </w:pPr>
    </w:p>
    <w:p w14:paraId="58D675A9">
      <w:pPr>
        <w:pStyle w:val="4"/>
        <w:rPr>
          <w:rFonts w:ascii="宋体" w:hAnsi="宋体"/>
          <w:sz w:val="20"/>
        </w:rPr>
      </w:pPr>
    </w:p>
    <w:p w14:paraId="33323835">
      <w:pPr>
        <w:pStyle w:val="4"/>
        <w:rPr>
          <w:rFonts w:ascii="宋体" w:hAnsi="宋体"/>
          <w:sz w:val="20"/>
        </w:rPr>
      </w:pPr>
    </w:p>
    <w:p w14:paraId="13FC0CFB">
      <w:pPr>
        <w:pStyle w:val="4"/>
        <w:rPr>
          <w:rFonts w:ascii="宋体" w:hAnsi="宋体"/>
          <w:sz w:val="20"/>
        </w:rPr>
      </w:pPr>
    </w:p>
    <w:p w14:paraId="7FAB69E8">
      <w:pPr>
        <w:pStyle w:val="4"/>
        <w:rPr>
          <w:rFonts w:ascii="宋体" w:hAnsi="宋体"/>
          <w:sz w:val="20"/>
        </w:rPr>
      </w:pPr>
    </w:p>
    <w:p w14:paraId="5AB337BA">
      <w:pPr>
        <w:pStyle w:val="4"/>
        <w:rPr>
          <w:rFonts w:ascii="宋体" w:hAnsi="宋体"/>
          <w:sz w:val="20"/>
        </w:rPr>
      </w:pPr>
    </w:p>
    <w:p w14:paraId="6D2A6A93">
      <w:pPr>
        <w:pStyle w:val="4"/>
        <w:rPr>
          <w:rFonts w:ascii="宋体" w:hAnsi="宋体"/>
          <w:sz w:val="20"/>
        </w:rPr>
      </w:pPr>
    </w:p>
    <w:p w14:paraId="5405CD68">
      <w:pPr>
        <w:pStyle w:val="4"/>
        <w:rPr>
          <w:rFonts w:ascii="宋体" w:hAnsi="宋体"/>
          <w:sz w:val="20"/>
        </w:rPr>
      </w:pPr>
    </w:p>
    <w:p w14:paraId="6145511C">
      <w:pPr>
        <w:pStyle w:val="4"/>
        <w:rPr>
          <w:rFonts w:ascii="宋体" w:hAnsi="宋体"/>
          <w:sz w:val="20"/>
        </w:rPr>
      </w:pPr>
    </w:p>
    <w:p w14:paraId="41E2369B">
      <w:pPr>
        <w:pStyle w:val="4"/>
        <w:rPr>
          <w:rFonts w:ascii="宋体" w:hAnsi="宋体"/>
          <w:sz w:val="20"/>
        </w:rPr>
      </w:pPr>
    </w:p>
    <w:p w14:paraId="39E63910">
      <w:pPr>
        <w:pStyle w:val="4"/>
        <w:rPr>
          <w:rFonts w:ascii="宋体" w:hAnsi="宋体"/>
          <w:sz w:val="20"/>
        </w:rPr>
      </w:pPr>
    </w:p>
    <w:p w14:paraId="72B244B1">
      <w:pPr>
        <w:pStyle w:val="4"/>
        <w:rPr>
          <w:rFonts w:ascii="宋体" w:hAnsi="宋体"/>
          <w:sz w:val="20"/>
        </w:rPr>
      </w:pPr>
    </w:p>
    <w:p w14:paraId="234B1A42">
      <w:pPr>
        <w:pStyle w:val="4"/>
        <w:rPr>
          <w:rFonts w:ascii="宋体" w:hAnsi="宋体"/>
          <w:sz w:val="20"/>
        </w:rPr>
      </w:pPr>
    </w:p>
    <w:p w14:paraId="02C206D3">
      <w:pPr>
        <w:pStyle w:val="4"/>
        <w:rPr>
          <w:rFonts w:ascii="宋体" w:hAnsi="宋体"/>
          <w:sz w:val="20"/>
        </w:rPr>
      </w:pPr>
    </w:p>
    <w:p w14:paraId="5D9B46E0">
      <w:pPr>
        <w:pStyle w:val="4"/>
        <w:rPr>
          <w:rFonts w:ascii="宋体" w:hAnsi="宋体"/>
          <w:sz w:val="20"/>
        </w:rPr>
      </w:pPr>
    </w:p>
    <w:p w14:paraId="59043287">
      <w:pPr>
        <w:pStyle w:val="4"/>
        <w:rPr>
          <w:rFonts w:ascii="宋体" w:hAnsi="宋体"/>
          <w:sz w:val="20"/>
        </w:rPr>
      </w:pPr>
    </w:p>
    <w:p w14:paraId="78675A24">
      <w:pPr>
        <w:pStyle w:val="4"/>
        <w:rPr>
          <w:rFonts w:ascii="宋体" w:hAnsi="宋体"/>
          <w:sz w:val="20"/>
        </w:rPr>
      </w:pPr>
    </w:p>
    <w:p w14:paraId="11CA3B0E">
      <w:pPr>
        <w:pStyle w:val="4"/>
        <w:numPr>
          <w:ilvl w:val="0"/>
          <w:numId w:val="2"/>
        </w:numPr>
        <w:spacing w:before="6"/>
        <w:ind w:left="0" w:leftChars="0" w:firstLine="0" w:firstLineChars="0"/>
        <w:jc w:val="center"/>
        <w:outlineLvl w:val="0"/>
        <w:rPr>
          <w:rFonts w:hint="eastAsia" w:ascii="方正小标宋简体" w:hAnsi="方正小标宋简体" w:eastAsia="方正小标宋简体" w:cs="方正小标宋简体"/>
          <w:b/>
          <w:bCs/>
          <w:sz w:val="52"/>
          <w:szCs w:val="52"/>
          <w:lang w:val="en-US" w:eastAsia="zh-CN"/>
        </w:rPr>
      </w:pPr>
      <w:r>
        <w:rPr>
          <w:rFonts w:hint="eastAsia" w:ascii="方正小标宋简体" w:hAnsi="方正小标宋简体" w:eastAsia="方正小标宋简体" w:cs="方正小标宋简体"/>
          <w:b/>
          <w:bCs/>
          <w:sz w:val="52"/>
          <w:szCs w:val="52"/>
          <w:shd w:val="clear" w:color="auto" w:fill="auto"/>
          <w:lang w:val="en-US" w:eastAsia="zh-CN"/>
        </w:rPr>
        <w:t>乐山市五通桥区妇幼保健院</w:t>
      </w:r>
    </w:p>
    <w:p w14:paraId="2387EF0F">
      <w:pPr>
        <w:pStyle w:val="4"/>
        <w:numPr>
          <w:ilvl w:val="0"/>
          <w:numId w:val="0"/>
        </w:numPr>
        <w:spacing w:before="6"/>
        <w:ind w:leftChars="0" w:right="0" w:rightChars="0"/>
        <w:jc w:val="center"/>
        <w:outlineLvl w:val="1"/>
        <w:rPr>
          <w:rFonts w:hint="eastAsia" w:ascii="方正小标宋简体" w:hAnsi="方正小标宋简体" w:eastAsia="方正小标宋简体" w:cs="方正小标宋简体"/>
          <w:b/>
          <w:bCs/>
          <w:sz w:val="52"/>
          <w:szCs w:val="52"/>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9" w:name="_Toc26638"/>
      <w:bookmarkStart w:id="40" w:name="_Toc4243"/>
      <w:bookmarkStart w:id="41" w:name="_Toc1047"/>
      <w:r>
        <w:rPr>
          <w:rFonts w:hint="eastAsia" w:ascii="方正小标宋简体" w:hAnsi="方正小标宋简体" w:eastAsia="方正小标宋简体" w:cs="方正小标宋简体"/>
          <w:b/>
          <w:bCs/>
          <w:sz w:val="52"/>
          <w:szCs w:val="52"/>
          <w:lang w:val="en-US" w:eastAsia="zh-CN"/>
        </w:rPr>
        <w:t>2025年部门预算情况说明</w:t>
      </w:r>
      <w:bookmarkEnd w:id="39"/>
      <w:bookmarkEnd w:id="40"/>
      <w:bookmarkEnd w:id="41"/>
    </w:p>
    <w:p w14:paraId="7B59E53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7288"/>
      <w:bookmarkStart w:id="43" w:name="_Toc17279"/>
      <w:r>
        <w:rPr>
          <w:rFonts w:hint="eastAsia" w:ascii="宋体" w:hAnsi="宋体" w:eastAsia="黑体"/>
          <w:color w:val="333333"/>
        </w:rPr>
        <w:t>一、收支预算情况说明</w:t>
      </w:r>
      <w:bookmarkEnd w:id="42"/>
      <w:bookmarkEnd w:id="43"/>
    </w:p>
    <w:p w14:paraId="22ECF9E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按照综合预算的原则，</w:t>
      </w:r>
      <w:r>
        <w:rPr>
          <w:rFonts w:hint="eastAsia" w:ascii="宋体" w:hAnsi="宋体"/>
          <w:sz w:val="32"/>
          <w:lang w:eastAsia="zh-CN"/>
        </w:rPr>
        <w:t>乐山市五通桥区妇幼保健院</w:t>
      </w:r>
      <w:r>
        <w:rPr>
          <w:rFonts w:hint="eastAsia" w:ascii="宋体" w:hAnsi="宋体"/>
          <w:sz w:val="32"/>
          <w:lang w:val="en-US" w:eastAsia="zh-CN"/>
        </w:rPr>
        <w:t>所有收入和支出均纳入部门预算管理。收入包括：一般公共预算拨款收入和事业收入；支出包括：一般公共服务支出、社会保障和就业支出、卫生健康支出、住房保障支出。</w:t>
      </w:r>
      <w:r>
        <w:rPr>
          <w:rFonts w:hint="eastAsia" w:ascii="宋体" w:hAnsi="宋体"/>
          <w:sz w:val="32"/>
          <w:lang w:eastAsia="zh-CN"/>
        </w:rPr>
        <w:t>乐山市五通桥区妇幼保健院</w:t>
      </w:r>
      <w:r>
        <w:rPr>
          <w:rFonts w:hint="eastAsia" w:ascii="宋体" w:hAnsi="宋体"/>
          <w:sz w:val="32"/>
          <w:lang w:val="en-US" w:eastAsia="zh-CN"/>
        </w:rPr>
        <w:t>2025年收支预算总数1151.83万元，比2024年收支预算总数1274.09万元减少122.26万元，主要原因：一是医疗业务下滑，事业收入减少100万元，二是财政基本支出拨款有所减少。</w:t>
      </w:r>
    </w:p>
    <w:p w14:paraId="11526D5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4" w:name="_Toc31007"/>
      <w:bookmarkStart w:id="45" w:name="_Toc28711"/>
      <w:r>
        <w:rPr>
          <w:rFonts w:ascii="宋体" w:hAnsi="宋体"/>
        </w:rPr>
        <w:t>（一）收入预算情况</w:t>
      </w:r>
      <w:bookmarkEnd w:id="44"/>
      <w:bookmarkEnd w:id="45"/>
    </w:p>
    <w:p w14:paraId="2E517C6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妇幼保健院2025年收入预算1151.83万元，其中：上年结转7.23万元，占0.63%；一般公共预算拨款收入444.6万元，占38.6%；政府基金预算拨款收入0万元，占0%；事业收入700万元，占60.77%；事业单位经营收入0万元，占0%；其他收入0万元，占0%。</w:t>
      </w:r>
    </w:p>
    <w:p w14:paraId="7E1F2AE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6" w:name="_Toc17987"/>
      <w:bookmarkStart w:id="47" w:name="_Toc15046"/>
      <w:r>
        <w:rPr>
          <w:rFonts w:ascii="宋体" w:hAnsi="宋体"/>
        </w:rPr>
        <w:t>（二）支出预算情况</w:t>
      </w:r>
      <w:bookmarkEnd w:id="46"/>
      <w:bookmarkEnd w:id="47"/>
    </w:p>
    <w:p w14:paraId="6FBC70C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乐山市五通桥区妇幼保健院2025年支出预算1151.83万元，其中：人员支出648.87万元，日常公用支出447.74万元，对个人和家庭的补助支出20.75万元，专项支出34.48万元。</w:t>
      </w:r>
    </w:p>
    <w:p w14:paraId="62AABD9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145"/>
      <w:bookmarkStart w:id="49" w:name="_Toc18752"/>
      <w:r>
        <w:rPr>
          <w:rFonts w:hint="eastAsia" w:ascii="宋体" w:hAnsi="宋体" w:eastAsia="黑体"/>
          <w:color w:val="333333"/>
        </w:rPr>
        <w:t>二、财政拨款收支预算情况说明</w:t>
      </w:r>
      <w:bookmarkEnd w:id="48"/>
      <w:bookmarkEnd w:id="49"/>
    </w:p>
    <w:p w14:paraId="4D4AD85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乐山市五通桥区妇幼保健院2025年财政拨款收支预算总数451.83万元。</w:t>
      </w:r>
    </w:p>
    <w:p w14:paraId="05D2A7A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其中：基本支出417.35万元，占92.37%；项目支出34.48万元，占7.63%。</w:t>
      </w:r>
    </w:p>
    <w:p w14:paraId="0F4C829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bookmarkStart w:id="50" w:name="_Toc6701"/>
      <w:bookmarkStart w:id="51" w:name="_Toc9149"/>
      <w:r>
        <w:rPr>
          <w:rFonts w:hint="eastAsia" w:ascii="宋体" w:hAnsi="宋体"/>
          <w:sz w:val="32"/>
          <w:lang w:val="en-US" w:eastAsia="zh-CN"/>
        </w:rPr>
        <w:t>基本支出，是用于保障乐山市五通桥区妇幼保健院正常运转的日常支出，包括基本工资、津贴补贴等人员经费以及财政基本支出拨款安排的办公费、印刷费、水电费、办公设备购置等日常公用经费。</w:t>
      </w:r>
    </w:p>
    <w:p w14:paraId="7B09E07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乐山市五通桥区妇幼保健院完成公立医院药品零加成项目、预防艾滋病母婴阻断项目财政给予的补助，完成免费婚检、免费孕前优生检查、农村妇女两癌筛查和计划生育“三查”及手术并发症等治疗费等妇幼公共卫生服务项目的经费支出，用于专项业务工作的经费支出。</w:t>
      </w:r>
    </w:p>
    <w:p w14:paraId="043144B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eastAsia="黑体" w:cs="仿宋_GB2312"/>
          <w:color w:val="333333"/>
          <w:sz w:val="32"/>
          <w:szCs w:val="32"/>
          <w:lang w:val="zh-CN" w:eastAsia="zh-CN" w:bidi="zh-CN"/>
        </w:rPr>
      </w:pPr>
      <w:r>
        <w:rPr>
          <w:rFonts w:hint="eastAsia" w:ascii="宋体" w:hAnsi="宋体" w:eastAsia="黑体" w:cs="仿宋_GB2312"/>
          <w:color w:val="333333"/>
          <w:sz w:val="32"/>
          <w:szCs w:val="32"/>
          <w:lang w:val="zh-CN" w:eastAsia="zh-CN" w:bidi="zh-CN"/>
        </w:rPr>
        <w:t>三、一般公共预算当年拨款情况说明</w:t>
      </w:r>
      <w:bookmarkEnd w:id="50"/>
      <w:bookmarkEnd w:id="51"/>
    </w:p>
    <w:p w14:paraId="326B09F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52" w:name="_Toc14481"/>
      <w:bookmarkStart w:id="53" w:name="_Toc16855"/>
      <w:r>
        <w:rPr>
          <w:rFonts w:ascii="宋体" w:hAnsi="宋体"/>
        </w:rPr>
        <w:t>（一）一般公共预算当年拨款规模变化情况</w:t>
      </w:r>
      <w:bookmarkEnd w:id="52"/>
      <w:bookmarkEnd w:id="53"/>
    </w:p>
    <w:p w14:paraId="65CD66C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乐山市五通桥区妇幼保健院2025年一般公共预算当年拨款451.83万元，比2024年财政拨款收支预算总数474.09万元减少22.26万元。主要原因：人员减少致财政基本支出拨款有所减少。</w:t>
      </w:r>
    </w:p>
    <w:p w14:paraId="73CA497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lang w:val="en-US" w:eastAsia="zh-CN"/>
        </w:rPr>
      </w:pPr>
      <w:bookmarkStart w:id="54" w:name="_Toc5045"/>
      <w:bookmarkStart w:id="55" w:name="_Toc7095"/>
      <w:bookmarkStart w:id="56" w:name="_Toc8297"/>
      <w:r>
        <w:rPr>
          <w:rFonts w:hint="eastAsia" w:ascii="宋体" w:hAnsi="宋体"/>
          <w:lang w:val="en-US" w:eastAsia="zh-CN"/>
        </w:rPr>
        <w:t>（二）一般公共预算当年拨款结构情况</w:t>
      </w:r>
      <w:bookmarkEnd w:id="54"/>
    </w:p>
    <w:p w14:paraId="3C13CD0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乐山市五通桥区妇幼保健院2025年一般公共预算支出451.83万元，主要包括：社会保障和就业支出96.23万元，占21.3%；卫生健康支出319.2万元，占70.65%；住房保障支出36.4万元，占8.05%。</w:t>
      </w:r>
    </w:p>
    <w:p w14:paraId="6BB11D7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sz w:val="32"/>
          <w:lang w:val="en-US" w:eastAsia="zh-CN"/>
        </w:rPr>
      </w:pPr>
      <w:r>
        <w:rPr>
          <w:rFonts w:hint="eastAsia" w:ascii="宋体" w:hAnsi="宋体"/>
          <w:sz w:val="32"/>
          <w:lang w:val="en-US" w:eastAsia="zh-CN"/>
        </w:rPr>
        <w:t>（三）一般公共预算当年拨款具体使用情况</w:t>
      </w:r>
      <w:bookmarkEnd w:id="55"/>
      <w:bookmarkEnd w:id="56"/>
    </w:p>
    <w:p w14:paraId="335E4AA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bookmarkStart w:id="57" w:name="_Toc1018"/>
      <w:bookmarkStart w:id="58" w:name="_Toc25373"/>
      <w:r>
        <w:rPr>
          <w:rFonts w:hint="eastAsia" w:ascii="宋体" w:hAnsi="宋体"/>
          <w:sz w:val="32"/>
          <w:lang w:val="en-US" w:eastAsia="zh-CN"/>
        </w:rPr>
        <w:t>1.社会保障和就业（类）行政事业单位离退休（款）机关事业单位基本养老保险缴费支出（项）:2025年预算数为48.7万元，主要用于：实施养老保险制度后，部门按规定由单位缴纳的基本养老保险费支出。</w:t>
      </w:r>
    </w:p>
    <w:p w14:paraId="2B55BE09">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2.社会保障和就业（类）行政事业单位离退休（款）机关事业单位职业年金缴费支出（项）:2025年预算数为24.35万元，主要用于：实施养老保险制度后，部门按规定由单位缴纳的职业年金支出。</w:t>
      </w:r>
    </w:p>
    <w:p w14:paraId="06E826E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3.社会保障和就业（类）行政事业单位养老支（款）其他行政事业单位养老支出（项）:2025年预算数为20.75万元，主要用于：保障离退休人员经费支出。</w:t>
      </w:r>
    </w:p>
    <w:p w14:paraId="25B522D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4.社会保障和就业（类）行政事业单位离退休（款）其他社会保障和就业支出（项）2025年预算数为2.43万元，主要用于：其他用于行政事业单位离退休方面的支出。</w:t>
      </w:r>
    </w:p>
    <w:p w14:paraId="2CAFE82B">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5.卫生健康（类）行政事业单位医疗（款）事业单位医疗（项）:2025年预算数为15.28万元，主要用于：部门下属事业单位基本医疗保险缴费支出。</w:t>
      </w:r>
    </w:p>
    <w:p w14:paraId="35E91BB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6.卫生健康（类）行政事业单位医疗（款）公务员医疗补助（项）:2023年预算数为5.4万元，主要用于：部门下属事业单位公务员医疗补助支出。</w:t>
      </w:r>
    </w:p>
    <w:p w14:paraId="2BA8FA21">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7.卫生健康支出（类）公共卫生（款）妇幼保健机构（项）:2025年预算数为264.05万元，主要用于在编人员基本工资、津贴补贴、奖金、绩效工资其他工资福利支出。</w:t>
      </w:r>
    </w:p>
    <w:p w14:paraId="56D8B1EC">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8.卫生健康支出（类）公共卫生（款）基本公共卫生服务（项）:2025年预算数为26.35万元，主要用于免费婚检、免费孕前优生检查、农村妇女两癌筛查等检查服务项目区级配套资金项目支出。</w:t>
      </w:r>
    </w:p>
    <w:p w14:paraId="6FD8FDEC">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9.住房保障（类）住房改革支出（款）住房公积金（项）:2025年预算数为36.40万元，主要用于：部门按人力资源和社会保障部、财政部规定的基本工资和津贴补贴以及规定比例为职工缴纳的住房公积金支出。</w:t>
      </w:r>
    </w:p>
    <w:p w14:paraId="4625A1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57"/>
      <w:bookmarkEnd w:id="58"/>
    </w:p>
    <w:p w14:paraId="21297C7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乐山市五通桥区妇幼保健院2025年一般公共预算基本支出417.35万元，其中：</w:t>
      </w:r>
    </w:p>
    <w:p w14:paraId="3AE916E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369.61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0EE3556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47.74万元，主要包括：主要包括：办公费、印刷费、水费、电费、邮电费、差旅费、维修（护）费、会议费、培训费、公务接待费、劳务费、工会经费、福利费、公务用车运行维护费、其他交通费、其他商品和服务支出。</w:t>
      </w:r>
    </w:p>
    <w:p w14:paraId="3FB37DEC">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9" w:name="_Toc20842"/>
      <w:bookmarkStart w:id="60" w:name="_Toc9393"/>
      <w:r>
        <w:rPr>
          <w:rFonts w:hint="eastAsia" w:ascii="宋体" w:hAnsi="宋体" w:eastAsia="黑体"/>
          <w:color w:val="333333"/>
        </w:rPr>
        <w:t>五、“三公”经费财政拨款预算安排情况说明</w:t>
      </w:r>
      <w:bookmarkEnd w:id="59"/>
      <w:bookmarkEnd w:id="60"/>
    </w:p>
    <w:p w14:paraId="63D5203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乐山市五通桥区妇幼保健院2025年“三公”经费财政拨款预算数1万元，其中：公务接待费1万元，公务用车购置0万元，公车运行维护费0万元。</w:t>
      </w:r>
    </w:p>
    <w:p w14:paraId="0A9F7D5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61" w:name="_Toc1146"/>
      <w:bookmarkStart w:id="62" w:name="_Toc10873"/>
      <w:r>
        <w:rPr>
          <w:rFonts w:ascii="宋体" w:hAnsi="宋体"/>
        </w:rPr>
        <w:t>（一）</w:t>
      </w:r>
      <w:r>
        <w:rPr>
          <w:rFonts w:hint="eastAsia" w:ascii="宋体" w:hAnsi="宋体"/>
          <w:lang w:val="en-US" w:eastAsia="zh-CN"/>
        </w:rPr>
        <w:t>公务接待费变化情况</w:t>
      </w:r>
      <w:bookmarkEnd w:id="61"/>
      <w:bookmarkEnd w:id="62"/>
    </w:p>
    <w:p w14:paraId="4CC30F1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2024</w:t>
      </w:r>
      <w:r>
        <w:rPr>
          <w:rFonts w:hint="default" w:ascii="宋体" w:hAnsi="宋体"/>
          <w:sz w:val="32"/>
          <w:lang w:val="en-US" w:eastAsia="zh-CN"/>
        </w:rPr>
        <w:t>年预算</w:t>
      </w:r>
      <w:r>
        <w:rPr>
          <w:rFonts w:hint="eastAsia" w:ascii="宋体" w:hAnsi="宋体"/>
          <w:sz w:val="32"/>
          <w:lang w:val="en-US" w:eastAsia="zh-CN"/>
        </w:rPr>
        <w:t>2</w:t>
      </w:r>
      <w:r>
        <w:rPr>
          <w:rFonts w:hint="default" w:ascii="宋体" w:hAnsi="宋体"/>
          <w:sz w:val="32"/>
          <w:lang w:val="en-US" w:eastAsia="zh-CN"/>
        </w:rPr>
        <w:t>万元</w:t>
      </w:r>
      <w:r>
        <w:rPr>
          <w:rFonts w:hint="eastAsia" w:ascii="宋体" w:hAnsi="宋体"/>
          <w:sz w:val="32"/>
          <w:lang w:val="en-US" w:eastAsia="zh-CN"/>
        </w:rPr>
        <w:t>减少1万元</w:t>
      </w:r>
      <w:r>
        <w:rPr>
          <w:rFonts w:hint="default" w:ascii="宋体" w:hAnsi="宋体"/>
          <w:sz w:val="32"/>
          <w:lang w:val="en-US" w:eastAsia="zh-CN"/>
        </w:rPr>
        <w:t>。</w:t>
      </w:r>
    </w:p>
    <w:p w14:paraId="582DBB2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63" w:name="_Toc29703"/>
      <w:bookmarkStart w:id="64" w:name="_Toc7636"/>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63"/>
      <w:bookmarkEnd w:id="64"/>
    </w:p>
    <w:p w14:paraId="7DE9C95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2024</w:t>
      </w:r>
      <w:r>
        <w:rPr>
          <w:rFonts w:hint="default" w:ascii="宋体" w:hAnsi="宋体"/>
          <w:sz w:val="32"/>
          <w:lang w:val="en-US" w:eastAsia="zh-CN"/>
        </w:rPr>
        <w:t>预算</w:t>
      </w:r>
      <w:r>
        <w:rPr>
          <w:rFonts w:hint="eastAsia" w:ascii="宋体" w:hAnsi="宋体"/>
          <w:sz w:val="32"/>
          <w:lang w:val="en-US" w:eastAsia="zh-CN"/>
        </w:rPr>
        <w:t>1</w:t>
      </w:r>
      <w:r>
        <w:rPr>
          <w:rFonts w:hint="default" w:ascii="宋体" w:hAnsi="宋体"/>
          <w:sz w:val="32"/>
          <w:lang w:val="en-US" w:eastAsia="zh-CN"/>
        </w:rPr>
        <w:t>万元</w:t>
      </w:r>
      <w:r>
        <w:rPr>
          <w:rFonts w:hint="eastAsia" w:ascii="宋体" w:hAnsi="宋体"/>
          <w:sz w:val="32"/>
          <w:lang w:val="en-US" w:eastAsia="zh-CN"/>
        </w:rPr>
        <w:t>减少1万元</w:t>
      </w:r>
      <w:r>
        <w:rPr>
          <w:rFonts w:hint="default" w:ascii="宋体" w:hAnsi="宋体"/>
          <w:sz w:val="32"/>
          <w:lang w:val="en-US" w:eastAsia="zh-CN"/>
        </w:rPr>
        <w:t>。</w:t>
      </w:r>
    </w:p>
    <w:p w14:paraId="74F9AB2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rPr>
      </w:pPr>
      <w:r>
        <w:rPr>
          <w:rFonts w:ascii="宋体" w:hAnsi="宋体"/>
          <w:sz w:val="32"/>
          <w:lang w:val="en-US"/>
        </w:rPr>
        <w:t>单位实有公务用车</w:t>
      </w:r>
      <w:r>
        <w:rPr>
          <w:rFonts w:hint="eastAsia" w:ascii="宋体" w:hAnsi="宋体"/>
          <w:sz w:val="32"/>
          <w:lang w:val="en-US" w:eastAsia="zh-CN"/>
        </w:rPr>
        <w:t>0</w:t>
      </w:r>
      <w:r>
        <w:rPr>
          <w:rFonts w:ascii="宋体" w:hAnsi="宋体"/>
          <w:sz w:val="32"/>
          <w:lang w:val="en-US"/>
        </w:rPr>
        <w:t>辆，其中：轿车</w:t>
      </w:r>
      <w:r>
        <w:rPr>
          <w:rFonts w:hint="eastAsia" w:ascii="宋体" w:hAnsi="宋体"/>
          <w:sz w:val="32"/>
          <w:lang w:val="en-US" w:eastAsia="zh-CN"/>
        </w:rPr>
        <w:t>0</w:t>
      </w:r>
      <w:r>
        <w:rPr>
          <w:rFonts w:ascii="宋体" w:hAnsi="宋体"/>
          <w:sz w:val="32"/>
          <w:lang w:val="en-US"/>
        </w:rPr>
        <w:t>辆，</w:t>
      </w:r>
      <w:r>
        <w:rPr>
          <w:rFonts w:hint="eastAsia" w:ascii="宋体" w:hAnsi="宋体"/>
          <w:sz w:val="32"/>
          <w:lang w:val="en-US"/>
        </w:rPr>
        <w:t>越野车</w:t>
      </w:r>
      <w:r>
        <w:rPr>
          <w:rFonts w:hint="eastAsia" w:ascii="宋体" w:hAnsi="宋体"/>
          <w:sz w:val="32"/>
          <w:lang w:val="en-US" w:eastAsia="zh-CN"/>
        </w:rPr>
        <w:t>0</w:t>
      </w:r>
      <w:r>
        <w:rPr>
          <w:rFonts w:hint="eastAsia" w:ascii="宋体" w:hAnsi="宋体"/>
          <w:sz w:val="32"/>
          <w:lang w:val="en-US"/>
        </w:rPr>
        <w:t>辆，小型客车</w:t>
      </w:r>
      <w:r>
        <w:rPr>
          <w:rFonts w:hint="eastAsia" w:ascii="宋体" w:hAnsi="宋体"/>
          <w:sz w:val="32"/>
          <w:lang w:val="en-US" w:eastAsia="zh-CN"/>
        </w:rPr>
        <w:t>0</w:t>
      </w:r>
      <w:r>
        <w:rPr>
          <w:rFonts w:hint="eastAsia" w:ascii="宋体" w:hAnsi="宋体"/>
          <w:sz w:val="32"/>
          <w:lang w:val="en-US"/>
        </w:rPr>
        <w:t>辆。</w:t>
      </w:r>
    </w:p>
    <w:p w14:paraId="39455E7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04781D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14:paraId="144DE4F9">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5" w:name="_Toc14999"/>
      <w:bookmarkStart w:id="66" w:name="_Toc18651"/>
      <w:r>
        <w:rPr>
          <w:rFonts w:hint="eastAsia" w:ascii="宋体" w:hAnsi="宋体" w:eastAsia="黑体"/>
          <w:color w:val="333333"/>
        </w:rPr>
        <w:t>六、政府性基金预算支出情况说明</w:t>
      </w:r>
      <w:bookmarkEnd w:id="65"/>
      <w:bookmarkEnd w:id="66"/>
    </w:p>
    <w:p w14:paraId="1C8A1B4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乐山市五通桥区妇幼保健院2025</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0万元，较上年预算数0持平。</w:t>
      </w:r>
    </w:p>
    <w:p w14:paraId="07C3C2A6">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7" w:name="_Toc30321"/>
      <w:bookmarkStart w:id="68" w:name="_Toc8556"/>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67"/>
      <w:bookmarkEnd w:id="68"/>
    </w:p>
    <w:p w14:paraId="50B88EC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乐山市五通桥区妇幼保健院2025年国有资本经营预算拨款安排支出0万元，较上年预算数持平。</w:t>
      </w:r>
    </w:p>
    <w:p w14:paraId="48A07849">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69" w:name="_Toc26588"/>
      <w:bookmarkStart w:id="70" w:name="_Toc3789"/>
      <w:r>
        <w:rPr>
          <w:rFonts w:hint="eastAsia" w:ascii="宋体" w:hAnsi="宋体" w:eastAsia="黑体"/>
          <w:color w:val="333333"/>
          <w:lang w:val="en-US" w:eastAsia="zh-CN"/>
        </w:rPr>
        <w:t>八、其他重要事项的情况说明</w:t>
      </w:r>
      <w:bookmarkEnd w:id="69"/>
      <w:bookmarkEnd w:id="70"/>
    </w:p>
    <w:p w14:paraId="4B16EC9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default" w:ascii="宋体" w:hAnsi="宋体"/>
          <w:lang w:val="en-US" w:eastAsia="zh-CN"/>
        </w:rPr>
      </w:pPr>
      <w:bookmarkStart w:id="71" w:name="_Toc11452"/>
      <w:bookmarkStart w:id="72" w:name="_Toc21126"/>
      <w:r>
        <w:rPr>
          <w:rFonts w:ascii="宋体" w:hAnsi="宋体"/>
        </w:rPr>
        <w:t>（一）机关运行经费情况</w:t>
      </w:r>
      <w:bookmarkEnd w:id="71"/>
      <w:bookmarkEnd w:id="72"/>
    </w:p>
    <w:p w14:paraId="2810D11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0" w:firstLineChars="200"/>
        <w:textAlignment w:val="auto"/>
        <w:rPr>
          <w:rFonts w:hint="eastAsia" w:ascii="宋体" w:hAnsi="宋体" w:eastAsia="仿宋_GB2312" w:cs="仿宋_GB2312"/>
          <w:b w:val="0"/>
          <w:bCs w:val="0"/>
          <w:sz w:val="32"/>
          <w:szCs w:val="22"/>
          <w:lang w:val="en-US" w:eastAsia="zh-CN" w:bidi="zh-CN"/>
        </w:rPr>
      </w:pPr>
      <w:bookmarkStart w:id="73" w:name="_Toc32167"/>
      <w:bookmarkStart w:id="74" w:name="_Toc3448"/>
      <w:r>
        <w:rPr>
          <w:rFonts w:hint="eastAsia" w:ascii="宋体" w:hAnsi="宋体" w:eastAsia="仿宋_GB2312" w:cs="仿宋_GB2312"/>
          <w:b w:val="0"/>
          <w:bCs w:val="0"/>
          <w:sz w:val="32"/>
          <w:szCs w:val="22"/>
          <w:lang w:val="en-US" w:eastAsia="zh-CN" w:bidi="zh-CN"/>
        </w:rPr>
        <w:t>无。</w:t>
      </w:r>
    </w:p>
    <w:p w14:paraId="38006E1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r>
        <w:rPr>
          <w:rFonts w:ascii="宋体" w:hAnsi="宋体"/>
        </w:rPr>
        <w:t>（二）政府采购情况</w:t>
      </w:r>
      <w:bookmarkEnd w:id="73"/>
      <w:bookmarkEnd w:id="74"/>
    </w:p>
    <w:p w14:paraId="24A75EC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2025年，乐山市五通桥区妇幼保健院政府采购项目0万元。其中，政府采购货物预算0万元；政府采购工程预算0万元；政府采购服务预算0万元。</w:t>
      </w:r>
    </w:p>
    <w:p w14:paraId="260224D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75" w:name="_Toc1215"/>
      <w:bookmarkStart w:id="76" w:name="_Toc13294"/>
      <w:r>
        <w:rPr>
          <w:rFonts w:ascii="宋体" w:hAnsi="宋体"/>
        </w:rPr>
        <w:t>（三）国有资产占有使用情况</w:t>
      </w:r>
      <w:bookmarkEnd w:id="75"/>
      <w:bookmarkEnd w:id="76"/>
    </w:p>
    <w:p w14:paraId="6015ABC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截至2025年底，乐山市五通桥区妇幼保健院共有车辆2辆。单位价值100万元以上大型设备3套，为四维彩超2台、腹腔镜1台。</w:t>
      </w:r>
    </w:p>
    <w:p w14:paraId="3F67F41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2025年部门预算未安排购置车辆及单位价值100万元以上大型设备。</w:t>
      </w:r>
    </w:p>
    <w:p w14:paraId="77A5464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77" w:name="_Toc23158"/>
      <w:bookmarkStart w:id="78" w:name="_Toc7110"/>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77"/>
      <w:bookmarkEnd w:id="78"/>
    </w:p>
    <w:p w14:paraId="26A0FF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ascii="宋体" w:hAnsi="宋体"/>
          <w:spacing w:val="6"/>
        </w:rPr>
      </w:pPr>
      <w:r>
        <w:rPr>
          <w:rFonts w:hint="eastAsia" w:ascii="宋体" w:hAnsi="宋体"/>
          <w:sz w:val="32"/>
          <w:lang w:val="en-US" w:eastAsia="zh-CN"/>
        </w:rPr>
        <w:t>2025年乐山市五通桥区妇幼保健院开展绩效目标管理的项目5个，涉及预算34.48万元。其中：人员类项目0个，涉及预算0万元；运转类项目0个，涉及预算0万元；特定目标类项目 5个，涉及预算34.48万元。</w:t>
      </w:r>
    </w:p>
    <w:p w14:paraId="7D55A423">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3A0903CD">
      <w:pPr>
        <w:rPr>
          <w:rFonts w:ascii="宋体" w:hAnsi="宋体"/>
        </w:rPr>
      </w:pPr>
    </w:p>
    <w:p w14:paraId="27F966B0">
      <w:pPr>
        <w:pStyle w:val="4"/>
        <w:rPr>
          <w:rFonts w:ascii="宋体" w:hAnsi="宋体"/>
          <w:sz w:val="20"/>
        </w:rPr>
      </w:pPr>
    </w:p>
    <w:p w14:paraId="1EA0BD97">
      <w:pPr>
        <w:pStyle w:val="4"/>
        <w:rPr>
          <w:rFonts w:ascii="宋体" w:hAnsi="宋体"/>
          <w:sz w:val="20"/>
        </w:rPr>
      </w:pPr>
    </w:p>
    <w:p w14:paraId="74076549">
      <w:pPr>
        <w:pStyle w:val="4"/>
        <w:rPr>
          <w:rFonts w:ascii="宋体" w:hAnsi="宋体"/>
          <w:sz w:val="20"/>
        </w:rPr>
      </w:pPr>
    </w:p>
    <w:p w14:paraId="08D8AE87">
      <w:pPr>
        <w:pStyle w:val="4"/>
        <w:rPr>
          <w:rFonts w:ascii="宋体" w:hAnsi="宋体"/>
          <w:sz w:val="20"/>
        </w:rPr>
      </w:pPr>
    </w:p>
    <w:p w14:paraId="4E519058">
      <w:pPr>
        <w:pStyle w:val="4"/>
        <w:rPr>
          <w:rFonts w:ascii="宋体" w:hAnsi="宋体"/>
          <w:sz w:val="20"/>
        </w:rPr>
      </w:pPr>
    </w:p>
    <w:p w14:paraId="65D0A4CE">
      <w:pPr>
        <w:pStyle w:val="4"/>
        <w:rPr>
          <w:rFonts w:ascii="宋体" w:hAnsi="宋体"/>
          <w:sz w:val="20"/>
        </w:rPr>
      </w:pPr>
    </w:p>
    <w:p w14:paraId="310565D7">
      <w:pPr>
        <w:pStyle w:val="4"/>
        <w:rPr>
          <w:rFonts w:ascii="宋体" w:hAnsi="宋体"/>
          <w:sz w:val="20"/>
        </w:rPr>
      </w:pPr>
    </w:p>
    <w:p w14:paraId="18A0C7B3">
      <w:pPr>
        <w:pStyle w:val="4"/>
        <w:rPr>
          <w:rFonts w:ascii="宋体" w:hAnsi="宋体"/>
          <w:sz w:val="20"/>
        </w:rPr>
      </w:pPr>
    </w:p>
    <w:p w14:paraId="6B92731F">
      <w:pPr>
        <w:pStyle w:val="4"/>
        <w:rPr>
          <w:rFonts w:ascii="宋体" w:hAnsi="宋体"/>
          <w:sz w:val="20"/>
        </w:rPr>
      </w:pPr>
    </w:p>
    <w:p w14:paraId="78EC6B46">
      <w:pPr>
        <w:pStyle w:val="4"/>
        <w:rPr>
          <w:rFonts w:ascii="宋体" w:hAnsi="宋体"/>
          <w:sz w:val="20"/>
        </w:rPr>
      </w:pPr>
    </w:p>
    <w:p w14:paraId="214EC68D">
      <w:pPr>
        <w:pStyle w:val="4"/>
        <w:rPr>
          <w:rFonts w:ascii="宋体" w:hAnsi="宋体"/>
          <w:sz w:val="20"/>
        </w:rPr>
      </w:pPr>
    </w:p>
    <w:p w14:paraId="3820C353">
      <w:pPr>
        <w:pStyle w:val="4"/>
        <w:rPr>
          <w:rFonts w:ascii="宋体" w:hAnsi="宋体"/>
          <w:sz w:val="20"/>
        </w:rPr>
      </w:pPr>
    </w:p>
    <w:p w14:paraId="1A0D0F07">
      <w:pPr>
        <w:pStyle w:val="4"/>
        <w:rPr>
          <w:rFonts w:ascii="宋体" w:hAnsi="宋体"/>
          <w:sz w:val="20"/>
        </w:rPr>
      </w:pPr>
    </w:p>
    <w:p w14:paraId="27B7A130">
      <w:pPr>
        <w:pStyle w:val="4"/>
        <w:rPr>
          <w:rFonts w:ascii="宋体" w:hAnsi="宋体"/>
          <w:sz w:val="20"/>
        </w:rPr>
      </w:pPr>
    </w:p>
    <w:p w14:paraId="68137731">
      <w:pPr>
        <w:pStyle w:val="4"/>
        <w:rPr>
          <w:rFonts w:ascii="宋体" w:hAnsi="宋体"/>
          <w:sz w:val="20"/>
        </w:rPr>
      </w:pPr>
    </w:p>
    <w:p w14:paraId="23F2D6F8">
      <w:pPr>
        <w:pStyle w:val="4"/>
        <w:rPr>
          <w:rFonts w:ascii="宋体" w:hAnsi="宋体"/>
          <w:sz w:val="20"/>
        </w:rPr>
      </w:pPr>
    </w:p>
    <w:p w14:paraId="06BC0AEA">
      <w:pPr>
        <w:pStyle w:val="4"/>
        <w:rPr>
          <w:rFonts w:ascii="宋体" w:hAnsi="宋体"/>
          <w:sz w:val="20"/>
        </w:rPr>
      </w:pPr>
    </w:p>
    <w:p w14:paraId="281CF082">
      <w:pPr>
        <w:pStyle w:val="4"/>
        <w:rPr>
          <w:rFonts w:ascii="宋体" w:hAnsi="宋体"/>
          <w:sz w:val="20"/>
        </w:rPr>
      </w:pPr>
    </w:p>
    <w:p w14:paraId="20A90C50">
      <w:pPr>
        <w:pStyle w:val="4"/>
        <w:rPr>
          <w:rFonts w:ascii="宋体" w:hAnsi="宋体"/>
          <w:sz w:val="20"/>
        </w:rPr>
      </w:pPr>
    </w:p>
    <w:p w14:paraId="6D835C4B">
      <w:pPr>
        <w:pStyle w:val="4"/>
        <w:rPr>
          <w:rFonts w:ascii="宋体" w:hAnsi="宋体"/>
          <w:sz w:val="20"/>
        </w:rPr>
      </w:pPr>
    </w:p>
    <w:p w14:paraId="64A59349">
      <w:pPr>
        <w:pStyle w:val="4"/>
        <w:rPr>
          <w:rFonts w:ascii="宋体" w:hAnsi="宋体"/>
          <w:sz w:val="20"/>
        </w:rPr>
      </w:pPr>
    </w:p>
    <w:p w14:paraId="1BA2975B">
      <w:pPr>
        <w:pStyle w:val="4"/>
        <w:jc w:val="center"/>
        <w:outlineLvl w:val="0"/>
        <w:rPr>
          <w:rFonts w:hint="eastAsia" w:ascii="宋体" w:hAnsi="宋体" w:eastAsia="方正小标宋简体" w:cs="方正小标宋简体"/>
          <w:b/>
          <w:bCs/>
          <w:sz w:val="52"/>
          <w:szCs w:val="52"/>
          <w:lang w:val="en-US" w:eastAsia="zh-CN"/>
        </w:rPr>
      </w:pPr>
      <w:bookmarkStart w:id="79" w:name="_Toc32119"/>
      <w:bookmarkStart w:id="80" w:name="_Toc16521"/>
      <w:r>
        <w:rPr>
          <w:rFonts w:hint="eastAsia" w:ascii="宋体" w:hAnsi="宋体" w:eastAsia="方正小标宋简体" w:cs="方正小标宋简体"/>
          <w:b/>
          <w:bCs/>
          <w:sz w:val="52"/>
          <w:szCs w:val="52"/>
          <w:lang w:val="en-US" w:eastAsia="zh-CN"/>
        </w:rPr>
        <w:t>第四部分  名词解释</w:t>
      </w:r>
      <w:bookmarkEnd w:id="79"/>
      <w:bookmarkEnd w:id="80"/>
    </w:p>
    <w:p w14:paraId="409E8CD4">
      <w:pPr>
        <w:spacing w:after="0"/>
        <w:rPr>
          <w:rFonts w:ascii="宋体" w:hAnsi="宋体"/>
          <w:b/>
          <w:bCs/>
          <w:sz w:val="52"/>
          <w:szCs w:val="52"/>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367DAED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0D66BAC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30AD566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4E01019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60E5583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584D272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5AEA20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2A60308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603B2EA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5E1837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40BE178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555D377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7C1DBC1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0A61348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1F462D6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5333882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11ADEAF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279E1F6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11D014A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3F1DF58-975C-4F2A-A1BB-8354E1A01A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仿宋_GB2312">
    <w:panose1 w:val="02010609030101010101"/>
    <w:charset w:val="7A"/>
    <w:family w:val="auto"/>
    <w:pitch w:val="default"/>
    <w:sig w:usb0="00000001" w:usb1="080E0000" w:usb2="00000000" w:usb3="00000000" w:csb0="00040000" w:csb1="00000000"/>
    <w:embedRegular r:id="rId2" w:fontKey="{1CC7960E-0B64-4DCA-B92B-5E2ED44524B4}"/>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embedRegular r:id="rId3" w:fontKey="{7E36F772-FDD5-431C-95AE-F50159F6B5FC}"/>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03FFABBA-8299-4F1D-8F82-609BA0058950}"/>
  </w:font>
  <w:font w:name="楷体_GB2312">
    <w:panose1 w:val="02010609030101010101"/>
    <w:charset w:val="86"/>
    <w:family w:val="auto"/>
    <w:pitch w:val="default"/>
    <w:sig w:usb0="00000001" w:usb1="080E0000" w:usb2="00000000" w:usb3="00000000" w:csb0="00040000" w:csb1="00000000"/>
    <w:embedRegular r:id="rId5" w:fontKey="{137A5BAE-304A-43EE-AE91-67EB450F0834}"/>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32F3C">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EDB5B">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DEDB5B">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8D300">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F7F45">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53F7F45">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30970">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5BE57">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935BE57">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29E8B">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32FA7A">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432FA7A">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A4174">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0D6CF">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640D6CF">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D4584">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E471B">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24F9">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4BD6F">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2C865">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1E022E0"/>
    <w:rsid w:val="02ED1707"/>
    <w:rsid w:val="02F925FF"/>
    <w:rsid w:val="07417096"/>
    <w:rsid w:val="08F93370"/>
    <w:rsid w:val="0AE443EE"/>
    <w:rsid w:val="108D3B48"/>
    <w:rsid w:val="13CB5FFB"/>
    <w:rsid w:val="140C4A8F"/>
    <w:rsid w:val="14747A2D"/>
    <w:rsid w:val="18D94D16"/>
    <w:rsid w:val="1C4565B4"/>
    <w:rsid w:val="1E9115A9"/>
    <w:rsid w:val="20D9567F"/>
    <w:rsid w:val="21211D8E"/>
    <w:rsid w:val="22AB272F"/>
    <w:rsid w:val="23F33094"/>
    <w:rsid w:val="240622C9"/>
    <w:rsid w:val="247F2477"/>
    <w:rsid w:val="253D1611"/>
    <w:rsid w:val="294D16B0"/>
    <w:rsid w:val="2BD66371"/>
    <w:rsid w:val="2C3F6CED"/>
    <w:rsid w:val="2D0117E3"/>
    <w:rsid w:val="3170631D"/>
    <w:rsid w:val="3B1174DE"/>
    <w:rsid w:val="3F5372C2"/>
    <w:rsid w:val="41570042"/>
    <w:rsid w:val="47BB7866"/>
    <w:rsid w:val="47FE1482"/>
    <w:rsid w:val="4CC56F55"/>
    <w:rsid w:val="4D3C563B"/>
    <w:rsid w:val="52D432DB"/>
    <w:rsid w:val="54BB49E6"/>
    <w:rsid w:val="54C30EEA"/>
    <w:rsid w:val="5543046B"/>
    <w:rsid w:val="55F01BBE"/>
    <w:rsid w:val="58813F5A"/>
    <w:rsid w:val="58EE6347"/>
    <w:rsid w:val="595E3E2E"/>
    <w:rsid w:val="5AE90F4A"/>
    <w:rsid w:val="5B65451D"/>
    <w:rsid w:val="62526A0B"/>
    <w:rsid w:val="62A667E6"/>
    <w:rsid w:val="693E68C4"/>
    <w:rsid w:val="6F355DF3"/>
    <w:rsid w:val="70660A47"/>
    <w:rsid w:val="7209340F"/>
    <w:rsid w:val="76A30804"/>
    <w:rsid w:val="77213C08"/>
    <w:rsid w:val="780068F8"/>
    <w:rsid w:val="79FC4AA3"/>
    <w:rsid w:val="7C6130B2"/>
    <w:rsid w:val="7CC055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 w:type="paragraph" w:customStyle="1" w:styleId="18">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6464</Words>
  <Characters>6869</Characters>
  <TotalTime>44</TotalTime>
  <ScaleCrop>false</ScaleCrop>
  <LinksUpToDate>false</LinksUpToDate>
  <CharactersWithSpaces>7031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sweet tea</cp:lastModifiedBy>
  <cp:lastPrinted>2025-02-14T02:01:56Z</cp:lastPrinted>
  <dcterms:modified xsi:type="dcterms:W3CDTF">2025-02-14T02:12:52Z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2052-12.1.0.19770</vt:lpwstr>
  </property>
  <property fmtid="{D5CDD505-2E9C-101B-9397-08002B2CF9AE}" pid="6" name="ICV">
    <vt:lpwstr>F5F6262519374350AF1F0C8B3DC9A1F4_13</vt:lpwstr>
  </property>
  <property fmtid="{D5CDD505-2E9C-101B-9397-08002B2CF9AE}" pid="7" name="KSOTemplateDocerSaveRecord">
    <vt:lpwstr>eyJoZGlkIjoiNzI2MjhiMmRkN2M2MjY0NzdhZmQyMjYxMTVkMDc2MGYiLCJ1c2VySWQiOiIzNzgyMjM4MTEifQ==</vt:lpwstr>
  </property>
</Properties>
</file>