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乐山市五通桥区国有资产监督管理局</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2025部门预算编制说明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2025</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五通桥区国有资产监督管理</w:t>
          </w:r>
          <w:r>
            <w:rPr>
              <w:rFonts w:hint="eastAsia" w:ascii="宋体" w:hAnsi="宋体" w:eastAsia="方正小标宋简体" w:cs="方正小标宋简体"/>
              <w:bCs/>
              <w:sz w:val="30"/>
              <w:szCs w:val="30"/>
              <w:lang w:val="en-US" w:eastAsia="zh-CN"/>
            </w:rPr>
            <w:t>局2025年部门预算表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二十二、2025-2027年支出计划总表（三年计划总表22）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二十三、2025-2027年支出计划明细表（三年计划明细表23）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五通桥区国有资产监督管理</w:t>
          </w:r>
          <w:r>
            <w:rPr>
              <w:rFonts w:hint="eastAsia" w:ascii="宋体" w:hAnsi="宋体" w:eastAsia="方正小标宋简体" w:cs="方正小标宋简体"/>
              <w:sz w:val="30"/>
              <w:szCs w:val="30"/>
              <w:lang w:val="en-US" w:eastAsia="zh-CN"/>
            </w:rPr>
            <w:t>局2025年</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部门预算情况说明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（一）部门职能简介</w:t>
      </w:r>
      <w:bookmarkEnd w:id="2"/>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firstLine="640" w:firstLineChars="200"/>
        <w:jc w:val="both"/>
        <w:textAlignment w:val="baseline"/>
        <w:rPr>
          <w:rFonts w:hint="eastAsia" w:ascii="仿宋_GB2312" w:hAnsi="仿宋_GB2312" w:eastAsia="仿宋_GB2312" w:cs="仿宋_GB2312"/>
          <w:spacing w:val="9"/>
          <w:sz w:val="32"/>
          <w:szCs w:val="32"/>
          <w:u w:val="none"/>
          <w:lang w:eastAsia="zh-CN"/>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spacing w:val="9"/>
          <w:sz w:val="32"/>
          <w:szCs w:val="32"/>
          <w:lang w:val="en-US" w:eastAsia="zh-CN"/>
        </w:rPr>
        <w:t>乐山市五通桥区国有资产监督管理局</w:t>
      </w:r>
      <w:r>
        <w:rPr>
          <w:rFonts w:hint="eastAsia" w:ascii="仿宋_GB2312" w:hAnsi="仿宋_GB2312" w:eastAsia="仿宋_GB2312" w:cs="仿宋_GB2312"/>
          <w:spacing w:val="9"/>
          <w:sz w:val="32"/>
          <w:szCs w:val="32"/>
        </w:rPr>
        <w:t>是</w:t>
      </w:r>
      <w:r>
        <w:rPr>
          <w:rFonts w:hint="eastAsia" w:ascii="仿宋_GB2312" w:hAnsi="仿宋_GB2312" w:eastAsia="仿宋_GB2312" w:cs="仿宋_GB2312"/>
          <w:spacing w:val="9"/>
          <w:sz w:val="32"/>
          <w:szCs w:val="32"/>
          <w:lang w:val="en-US" w:eastAsia="zh-CN"/>
        </w:rPr>
        <w:t>乐山市五通桥区人民政府工作</w:t>
      </w:r>
      <w:r>
        <w:rPr>
          <w:rFonts w:hint="eastAsia" w:ascii="仿宋_GB2312" w:hAnsi="仿宋_GB2312" w:eastAsia="仿宋_GB2312" w:cs="仿宋_GB2312"/>
          <w:spacing w:val="9"/>
          <w:sz w:val="32"/>
          <w:szCs w:val="32"/>
        </w:rPr>
        <w:t>部门，为</w:t>
      </w:r>
      <w:r>
        <w:rPr>
          <w:rFonts w:hint="eastAsia" w:ascii="仿宋_GB2312" w:hAnsi="仿宋_GB2312" w:eastAsia="仿宋_GB2312" w:cs="仿宋_GB2312"/>
          <w:spacing w:val="9"/>
          <w:sz w:val="32"/>
          <w:szCs w:val="32"/>
          <w:lang w:val="en-US" w:eastAsia="zh-CN"/>
        </w:rPr>
        <w:t>正科</w:t>
      </w:r>
      <w:r>
        <w:rPr>
          <w:rFonts w:hint="eastAsia" w:ascii="仿宋_GB2312" w:hAnsi="仿宋_GB2312" w:eastAsia="仿宋_GB2312" w:cs="仿宋_GB2312"/>
          <w:spacing w:val="9"/>
          <w:sz w:val="32"/>
          <w:szCs w:val="32"/>
        </w:rPr>
        <w:t>级</w:t>
      </w:r>
      <w:r>
        <w:rPr>
          <w:rFonts w:hint="eastAsia" w:ascii="仿宋_GB2312" w:hAnsi="仿宋_GB2312" w:eastAsia="仿宋_GB2312" w:cs="仿宋_GB2312"/>
          <w:spacing w:val="9"/>
          <w:sz w:val="32"/>
          <w:szCs w:val="32"/>
          <w:lang w:eastAsia="zh-CN"/>
        </w:rPr>
        <w:t>。</w:t>
      </w:r>
      <w:r>
        <w:rPr>
          <w:rFonts w:hint="eastAsia" w:ascii="仿宋_GB2312" w:hAnsi="仿宋_GB2312" w:eastAsia="仿宋_GB2312" w:cs="仿宋_GB2312"/>
          <w:sz w:val="32"/>
          <w:lang w:val="en-US" w:eastAsia="zh-CN"/>
        </w:rPr>
        <w:t>负责全区行政事业单位国有资产管理工作。制定全区行政事业单位国有资产管理规章制度并组织实施；对各单位国有资产管理工作进行指导和监督检查，组织实施国有资产管理绩效评价；审核或审批行政事业单位国有资产管理事项；负责行政事业单位国有资产信息化管理、产权界定、清查核实、纠纷调处等工作；督促行政事业单位上缴国有资产收入；建立行政事业单位国有资产共享共用机制；按照规定报告行政事业单位国有资产管理情况。保障全区行政事业单位资产管理系统正常运行。</w:t>
      </w:r>
      <w:r>
        <w:rPr>
          <w:rFonts w:hint="eastAsia" w:ascii="仿宋_GB2312" w:hAnsi="仿宋_GB2312" w:eastAsia="仿宋_GB2312" w:cs="仿宋_GB2312"/>
          <w:spacing w:val="9"/>
          <w:sz w:val="32"/>
          <w:szCs w:val="32"/>
        </w:rPr>
        <w:t>依照《中华人民共和国公司法》《中华人民共和国企业国有资产法》等法律</w:t>
      </w:r>
      <w:r>
        <w:rPr>
          <w:rFonts w:hint="eastAsia" w:ascii="仿宋_GB2312" w:hAnsi="仿宋_GB2312" w:eastAsia="仿宋_GB2312" w:cs="仿宋_GB2312"/>
          <w:spacing w:val="9"/>
          <w:sz w:val="32"/>
          <w:szCs w:val="32"/>
          <w:lang w:val="en-US" w:eastAsia="zh-CN"/>
        </w:rPr>
        <w:t>和</w:t>
      </w:r>
      <w:r>
        <w:rPr>
          <w:rFonts w:hint="eastAsia" w:ascii="仿宋_GB2312" w:hAnsi="仿宋_GB2312" w:eastAsia="仿宋_GB2312" w:cs="仿宋_GB2312"/>
          <w:spacing w:val="9"/>
          <w:sz w:val="32"/>
          <w:szCs w:val="32"/>
        </w:rPr>
        <w:t>行政法规履行出资人职责，依法对</w:t>
      </w:r>
      <w:r>
        <w:rPr>
          <w:rFonts w:hint="eastAsia" w:ascii="仿宋_GB2312" w:hAnsi="仿宋_GB2312" w:eastAsia="仿宋_GB2312" w:cs="仿宋_GB2312"/>
          <w:spacing w:val="9"/>
          <w:sz w:val="32"/>
          <w:szCs w:val="32"/>
          <w:lang w:val="en-US" w:eastAsia="zh-CN"/>
        </w:rPr>
        <w:t>区</w:t>
      </w:r>
      <w:r>
        <w:rPr>
          <w:rFonts w:hint="eastAsia" w:ascii="仿宋_GB2312" w:hAnsi="仿宋_GB2312" w:eastAsia="仿宋_GB2312" w:cs="仿宋_GB2312"/>
          <w:spacing w:val="9"/>
          <w:sz w:val="32"/>
          <w:szCs w:val="32"/>
        </w:rPr>
        <w:t>属企业的国有资产进行</w:t>
      </w:r>
      <w:r>
        <w:rPr>
          <w:rFonts w:hint="eastAsia" w:ascii="仿宋_GB2312" w:hAnsi="仿宋_GB2312" w:eastAsia="仿宋_GB2312" w:cs="仿宋_GB2312"/>
          <w:strike w:val="0"/>
          <w:dstrike w:val="0"/>
          <w:spacing w:val="9"/>
          <w:sz w:val="32"/>
          <w:szCs w:val="32"/>
          <w:u w:val="none"/>
          <w:lang w:eastAsia="zh-CN"/>
        </w:rPr>
        <w:t>监督管理，</w:t>
      </w:r>
      <w:r>
        <w:rPr>
          <w:rFonts w:hint="eastAsia" w:ascii="仿宋_GB2312" w:hAnsi="仿宋_GB2312" w:eastAsia="仿宋_GB2312" w:cs="仿宋_GB2312"/>
          <w:color w:val="auto"/>
          <w:spacing w:val="9"/>
          <w:sz w:val="32"/>
          <w:szCs w:val="32"/>
        </w:rPr>
        <w:t>依法对国有资产进行</w:t>
      </w:r>
      <w:r>
        <w:rPr>
          <w:rFonts w:hint="eastAsia" w:ascii="仿宋_GB2312" w:hAnsi="仿宋_GB2312" w:eastAsia="仿宋_GB2312" w:cs="仿宋_GB2312"/>
          <w:color w:val="auto"/>
          <w:spacing w:val="9"/>
          <w:sz w:val="32"/>
          <w:szCs w:val="32"/>
          <w:lang w:val="en-US" w:eastAsia="zh-CN"/>
        </w:rPr>
        <w:t>处置</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pacing w:val="9"/>
          <w:sz w:val="32"/>
          <w:szCs w:val="32"/>
          <w:lang w:eastAsia="zh-CN"/>
        </w:rPr>
        <w:t>承担监督所监管企业国有资产保值增值的责任，建立和完善国有资产保值增值指标体系，制</w:t>
      </w:r>
      <w:r>
        <w:rPr>
          <w:rFonts w:hint="eastAsia" w:ascii="仿宋_GB2312" w:hAnsi="仿宋_GB2312" w:eastAsia="仿宋_GB2312" w:cs="仿宋_GB2312"/>
          <w:strike w:val="0"/>
          <w:dstrike w:val="0"/>
          <w:spacing w:val="9"/>
          <w:sz w:val="32"/>
          <w:szCs w:val="32"/>
          <w:u w:val="none"/>
          <w:lang w:eastAsia="zh-CN"/>
        </w:rPr>
        <w:t>定</w:t>
      </w:r>
      <w:r>
        <w:rPr>
          <w:rFonts w:hint="eastAsia" w:ascii="仿宋_GB2312" w:hAnsi="仿宋_GB2312" w:eastAsia="仿宋_GB2312" w:cs="仿宋_GB2312"/>
          <w:spacing w:val="9"/>
          <w:sz w:val="32"/>
          <w:szCs w:val="32"/>
          <w:lang w:eastAsia="zh-CN"/>
        </w:rPr>
        <w:t>考核标准，通过统计</w:t>
      </w:r>
      <w:r>
        <w:rPr>
          <w:rFonts w:hint="eastAsia" w:ascii="仿宋_GB2312" w:hAnsi="仿宋_GB2312" w:eastAsia="仿宋_GB2312" w:cs="仿宋_GB2312"/>
          <w:strike w:val="0"/>
          <w:dstrike w:val="0"/>
          <w:spacing w:val="9"/>
          <w:sz w:val="32"/>
          <w:szCs w:val="32"/>
          <w:u w:val="none"/>
          <w:lang w:eastAsia="zh-CN"/>
        </w:rPr>
        <w:t>、</w:t>
      </w:r>
      <w:r>
        <w:rPr>
          <w:rFonts w:hint="eastAsia" w:ascii="仿宋_GB2312" w:hAnsi="仿宋_GB2312" w:eastAsia="仿宋_GB2312" w:cs="仿宋_GB2312"/>
          <w:spacing w:val="9"/>
          <w:sz w:val="32"/>
          <w:szCs w:val="32"/>
          <w:lang w:eastAsia="zh-CN"/>
        </w:rPr>
        <w:t>稽核</w:t>
      </w:r>
      <w:r>
        <w:rPr>
          <w:rFonts w:hint="eastAsia" w:ascii="仿宋_GB2312" w:hAnsi="仿宋_GB2312" w:eastAsia="仿宋_GB2312" w:cs="仿宋_GB2312"/>
          <w:strike w:val="0"/>
          <w:dstrike w:val="0"/>
          <w:color w:val="auto"/>
          <w:spacing w:val="9"/>
          <w:sz w:val="32"/>
          <w:szCs w:val="32"/>
          <w:lang w:eastAsia="zh-CN"/>
        </w:rPr>
        <w:t>等</w:t>
      </w:r>
      <w:r>
        <w:rPr>
          <w:rFonts w:hint="eastAsia" w:ascii="仿宋_GB2312" w:hAnsi="仿宋_GB2312" w:eastAsia="仿宋_GB2312" w:cs="仿宋_GB2312"/>
          <w:spacing w:val="9"/>
          <w:sz w:val="32"/>
          <w:szCs w:val="32"/>
          <w:lang w:eastAsia="zh-CN"/>
        </w:rPr>
        <w:t>对所监管企业国有资产的保值增值情况进行监管，</w:t>
      </w:r>
      <w:r>
        <w:rPr>
          <w:rFonts w:hint="eastAsia" w:ascii="仿宋_GB2312" w:hAnsi="仿宋_GB2312" w:eastAsia="仿宋_GB2312" w:cs="仿宋_GB2312"/>
          <w:spacing w:val="9"/>
          <w:sz w:val="32"/>
          <w:szCs w:val="32"/>
          <w:u w:val="none"/>
        </w:rPr>
        <w:t>确保国有资产保值增值</w:t>
      </w:r>
      <w:r>
        <w:rPr>
          <w:rFonts w:hint="eastAsia" w:ascii="仿宋_GB2312" w:hAnsi="仿宋_GB2312" w:eastAsia="仿宋_GB2312" w:cs="仿宋_GB2312"/>
          <w:spacing w:val="9"/>
          <w:sz w:val="32"/>
          <w:szCs w:val="32"/>
          <w:u w:val="none"/>
          <w:lang w:eastAsia="zh-CN"/>
        </w:rPr>
        <w:t>；</w:t>
      </w:r>
      <w:r>
        <w:rPr>
          <w:rFonts w:hint="eastAsia" w:ascii="仿宋_GB2312" w:hAnsi="仿宋_GB2312" w:eastAsia="仿宋_GB2312" w:cs="仿宋_GB2312"/>
          <w:spacing w:val="9"/>
          <w:sz w:val="32"/>
          <w:szCs w:val="32"/>
          <w:u w:val="none"/>
        </w:rPr>
        <w:t>维护国有资产出资人权益</w:t>
      </w:r>
      <w:r>
        <w:rPr>
          <w:rFonts w:hint="eastAsia" w:ascii="仿宋_GB2312" w:hAnsi="仿宋_GB2312" w:eastAsia="仿宋_GB2312" w:cs="仿宋_GB2312"/>
          <w:spacing w:val="9"/>
          <w:sz w:val="32"/>
          <w:szCs w:val="32"/>
          <w:u w:val="none"/>
          <w:lang w:eastAsia="zh-CN"/>
        </w:rPr>
        <w:t>；</w:t>
      </w:r>
      <w:r>
        <w:rPr>
          <w:rFonts w:hint="eastAsia" w:ascii="仿宋_GB2312" w:hAnsi="仿宋_GB2312" w:eastAsia="仿宋_GB2312" w:cs="仿宋_GB2312"/>
          <w:spacing w:val="9"/>
          <w:sz w:val="32"/>
          <w:szCs w:val="32"/>
          <w:u w:val="none"/>
        </w:rPr>
        <w:t>负责重大产权纠纷的调处工作</w:t>
      </w:r>
      <w:bookmarkStart w:id="3" w:name="_Toc6714"/>
      <w:r>
        <w:rPr>
          <w:rFonts w:hint="eastAsia" w:ascii="仿宋_GB2312" w:hAnsi="仿宋_GB2312" w:eastAsia="仿宋_GB2312" w:cs="仿宋_GB2312"/>
          <w:spacing w:val="9"/>
          <w:sz w:val="32"/>
          <w:szCs w:val="32"/>
          <w:u w:val="none"/>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rPr>
      </w:pPr>
      <w:r>
        <w:rPr>
          <w:rFonts w:ascii="宋体" w:hAnsi="宋体"/>
        </w:rPr>
        <w:t>（二）部门</w:t>
      </w:r>
      <w:r>
        <w:rPr>
          <w:rFonts w:hint="eastAsia" w:ascii="宋体" w:hAnsi="宋体"/>
          <w:lang w:val="en-US" w:eastAsia="zh-CN"/>
        </w:rPr>
        <w:t>2025</w:t>
      </w:r>
      <w:r>
        <w:rPr>
          <w:rFonts w:ascii="宋体" w:hAnsi="宋体"/>
        </w:rPr>
        <w:t>年重点工</w:t>
      </w:r>
      <w:r>
        <w:rPr>
          <w:rFonts w:hint="eastAsia" w:ascii="宋体" w:hAnsi="宋体"/>
        </w:rPr>
        <w:t>作</w:t>
      </w:r>
      <w:bookmarkEnd w:id="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firstLine="640" w:firstLineChars="200"/>
        <w:jc w:val="both"/>
        <w:textAlignment w:val="baseline"/>
        <w:rPr>
          <w:rFonts w:hint="eastAsia" w:ascii="宋体" w:hAnsi="宋体"/>
          <w:sz w:val="32"/>
          <w:lang w:val="en-US" w:eastAsia="zh-CN"/>
        </w:rPr>
      </w:pPr>
      <w:r>
        <w:rPr>
          <w:rFonts w:hint="eastAsia" w:ascii="仿宋_GB2312" w:hAnsi="仿宋_GB2312" w:eastAsia="仿宋_GB2312" w:cs="仿宋_GB2312"/>
          <w:sz w:val="32"/>
          <w:lang w:val="en-US" w:eastAsia="zh-CN"/>
        </w:rPr>
        <w:t>1.深入实施国有企业改革深化提升行动，完善市场化经营机制和国有资产监管体制。引导国有企业聚焦主业、做强实业。                                                                                                                         2.引导国有企业切实履行好政治责任和社会责任，加快推进新型智慧城市、小西湖及城市公共空间特许经营权、污水处理厂特许经营权等项目前期进度，开展智慧水务建设，完成城区智慧水务平台的搭建和运行，助力民生服务。</w:t>
      </w: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0578"/>
      <w:r>
        <w:rPr>
          <w:rFonts w:hint="eastAsia" w:ascii="宋体" w:hAnsi="宋体" w:eastAsia="黑体"/>
          <w:color w:val="333333"/>
        </w:rPr>
        <w:t>二、部门预算单位构成</w:t>
      </w:r>
      <w:bookmarkEnd w:id="4"/>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部门下属预算单位2个（含局机关），其中行政单位1个，参照公务员法管理的事业单位0个，其他事业单位1个。主要包括：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4"/>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4"/>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4"/>
              <w:spacing w:before="181"/>
              <w:ind w:left="748"/>
              <w:rPr>
                <w:rFonts w:ascii="宋体" w:hAnsi="宋体"/>
                <w:sz w:val="32"/>
              </w:rPr>
            </w:pPr>
            <w:r>
              <w:rPr>
                <w:rFonts w:ascii="宋体" w:hAnsi="宋体"/>
                <w:color w:val="333333"/>
                <w:w w:val="99"/>
                <w:sz w:val="32"/>
              </w:rPr>
              <w:t>1</w:t>
            </w:r>
          </w:p>
        </w:tc>
        <w:tc>
          <w:tcPr>
            <w:tcW w:w="6282" w:type="dxa"/>
          </w:tcPr>
          <w:p>
            <w:pPr>
              <w:pStyle w:val="14"/>
              <w:spacing w:before="160"/>
              <w:ind w:left="746"/>
              <w:rPr>
                <w:rFonts w:hint="default" w:ascii="宋体" w:hAnsi="宋体" w:eastAsia="仿宋_GB2312"/>
                <w:sz w:val="32"/>
                <w:lang w:val="en-US" w:eastAsia="zh-CN"/>
              </w:rPr>
            </w:pPr>
            <w:r>
              <w:rPr>
                <w:rFonts w:hint="eastAsia" w:eastAsia="仿宋_GB2312"/>
                <w:sz w:val="32"/>
                <w:lang w:val="en-US" w:eastAsia="zh-CN"/>
              </w:rPr>
              <w:t>乐山市五通桥区国有资产监督管理局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spacing w:before="183"/>
              <w:ind w:left="748"/>
              <w:rPr>
                <w:rFonts w:ascii="宋体" w:hAnsi="宋体"/>
                <w:sz w:val="32"/>
              </w:rPr>
            </w:pPr>
            <w:r>
              <w:rPr>
                <w:rFonts w:ascii="宋体" w:hAnsi="宋体"/>
                <w:color w:val="333333"/>
                <w:w w:val="99"/>
                <w:sz w:val="32"/>
              </w:rPr>
              <w:t>2</w:t>
            </w:r>
          </w:p>
        </w:tc>
        <w:tc>
          <w:tcPr>
            <w:tcW w:w="6282" w:type="dxa"/>
          </w:tcPr>
          <w:p>
            <w:pPr>
              <w:pStyle w:val="14"/>
              <w:spacing w:before="162"/>
              <w:ind w:left="746"/>
              <w:rPr>
                <w:rFonts w:hint="default" w:ascii="宋体" w:hAnsi="宋体" w:eastAsia="仿宋_GB2312"/>
                <w:sz w:val="32"/>
                <w:lang w:val="en-US" w:eastAsia="zh-CN"/>
              </w:rPr>
            </w:pPr>
            <w:r>
              <w:rPr>
                <w:rFonts w:hint="eastAsia" w:eastAsia="仿宋_GB2312"/>
                <w:sz w:val="32"/>
                <w:lang w:val="en-US" w:eastAsia="zh-CN"/>
              </w:rPr>
              <w:t>乐山市五通桥区国有资产服务中心</w:t>
            </w:r>
          </w:p>
        </w:tc>
      </w:tr>
    </w:tbl>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sz w:val="52"/>
          <w:szCs w:val="52"/>
          <w:lang w:val="en-US" w:eastAsia="zh-CN"/>
        </w:rPr>
        <w:t>乐山市五通桥区国有资产监督管理局2025年部门预算表</w:t>
      </w:r>
      <w:bookmarkEnd w:id="5"/>
    </w:p>
    <w:p>
      <w:pPr>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r>
        <w:rPr>
          <w:rFonts w:hint="eastAsia" w:ascii="宋体" w:hAnsi="宋体"/>
          <w:sz w:val="32"/>
          <w:lang w:val="en-US" w:eastAsia="zh-CN"/>
        </w:rPr>
        <w:t>一、收支预算总表（收支总表1）</w:t>
      </w:r>
      <w:bookmarkEnd w:id="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7375"/>
      <w:r>
        <w:rPr>
          <w:rFonts w:hint="eastAsia" w:ascii="宋体" w:hAnsi="宋体"/>
          <w:sz w:val="32"/>
          <w:lang w:val="en-US" w:eastAsia="zh-CN"/>
        </w:rPr>
        <w:t>二、收入预算总表（收入总表2）</w:t>
      </w:r>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r>
        <w:rPr>
          <w:rFonts w:hint="eastAsia" w:ascii="宋体" w:hAnsi="宋体"/>
          <w:sz w:val="32"/>
          <w:lang w:val="en-US" w:eastAsia="zh-CN"/>
        </w:rPr>
        <w:t>三、征收预期表（征收预期3）</w:t>
      </w:r>
      <w:bookmarkEnd w:id="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022"/>
      <w:r>
        <w:rPr>
          <w:rFonts w:hint="eastAsia" w:ascii="宋体" w:hAnsi="宋体"/>
          <w:sz w:val="32"/>
          <w:lang w:val="en-US" w:eastAsia="zh-CN"/>
        </w:rPr>
        <w:t>四、支出预算总表（支出总表4）</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8846"/>
      <w:r>
        <w:rPr>
          <w:rFonts w:hint="eastAsia" w:ascii="宋体" w:hAnsi="宋体"/>
          <w:sz w:val="32"/>
          <w:lang w:val="en-US" w:eastAsia="zh-CN"/>
        </w:rPr>
        <w:t>五、财政拨款预算总表（财拨总表5）</w:t>
      </w:r>
      <w:bookmarkEnd w:id="1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6817"/>
      <w:r>
        <w:rPr>
          <w:rFonts w:hint="eastAsia" w:ascii="宋体" w:hAnsi="宋体"/>
          <w:sz w:val="32"/>
          <w:lang w:val="en-US" w:eastAsia="zh-CN"/>
        </w:rPr>
        <w:t>六、一般公共预算支出表（一般预算支出6）</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2197"/>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9152"/>
      <w:r>
        <w:rPr>
          <w:rFonts w:hint="eastAsia" w:ascii="宋体" w:hAnsi="宋体"/>
          <w:sz w:val="32"/>
          <w:lang w:val="en-US" w:eastAsia="zh-CN"/>
        </w:rPr>
        <w:t>八、一般公共预算“三公”经费支出预算表（三公8）</w:t>
      </w:r>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9240"/>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0708"/>
      <w:r>
        <w:rPr>
          <w:rFonts w:hint="eastAsia" w:ascii="宋体" w:hAnsi="宋体"/>
          <w:sz w:val="32"/>
          <w:lang w:val="en-US" w:eastAsia="zh-CN"/>
        </w:rPr>
        <w:t>十、国有资本经营预算支出表（国资10）</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32474"/>
      <w:r>
        <w:rPr>
          <w:rFonts w:hint="eastAsia" w:ascii="宋体" w:hAnsi="宋体"/>
          <w:sz w:val="32"/>
          <w:lang w:val="en-US" w:eastAsia="zh-CN"/>
        </w:rPr>
        <w:t>十一、支出功能分类预算表（支出功能11）</w:t>
      </w:r>
      <w:bookmarkEnd w:id="1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5884"/>
      <w:r>
        <w:rPr>
          <w:rFonts w:hint="eastAsia" w:ascii="宋体" w:hAnsi="宋体"/>
          <w:sz w:val="32"/>
          <w:lang w:val="en-US" w:eastAsia="zh-CN"/>
        </w:rPr>
        <w:t>十二、支出经济分类预算表（支出经济分类12）</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873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069"/>
      <w:r>
        <w:rPr>
          <w:rFonts w:hint="eastAsia" w:ascii="宋体" w:hAnsi="宋体"/>
          <w:sz w:val="32"/>
          <w:lang w:val="en-US" w:eastAsia="zh-CN"/>
        </w:rPr>
        <w:t>十四、项目支出表（项目支出14）</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31813"/>
      <w:r>
        <w:rPr>
          <w:rFonts w:hint="eastAsia" w:ascii="宋体" w:hAnsi="宋体"/>
          <w:sz w:val="32"/>
          <w:lang w:val="en-US" w:eastAsia="zh-CN"/>
        </w:rPr>
        <w:t>十六、政府购买服务预算表（购买服务16）</w:t>
      </w:r>
      <w:bookmarkEnd w:id="2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2434"/>
      <w:bookmarkStart w:id="22" w:name="_Toc16458"/>
      <w:r>
        <w:rPr>
          <w:rFonts w:hint="eastAsia" w:ascii="宋体" w:hAnsi="宋体"/>
          <w:sz w:val="32"/>
          <w:lang w:val="en-US" w:eastAsia="zh-CN"/>
        </w:rPr>
        <w:t>十七、采购需求表（采购需求表17）</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7220"/>
      <w:r>
        <w:rPr>
          <w:rFonts w:hint="eastAsia" w:ascii="宋体" w:hAnsi="宋体"/>
          <w:sz w:val="32"/>
          <w:lang w:val="en-US" w:eastAsia="zh-CN"/>
        </w:rPr>
        <w:t>十八、国有资产配置预算表（资产18）</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888"/>
      <w:r>
        <w:rPr>
          <w:rFonts w:hint="eastAsia" w:ascii="宋体" w:hAnsi="宋体"/>
          <w:sz w:val="32"/>
          <w:lang w:val="en-US" w:eastAsia="zh-CN"/>
        </w:rPr>
        <w:t>十九、项目支出绩效表（项目绩效19）</w:t>
      </w:r>
      <w:bookmarkEnd w:id="2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130"/>
      <w:r>
        <w:rPr>
          <w:rFonts w:hint="eastAsia" w:ascii="宋体" w:hAnsi="宋体"/>
          <w:sz w:val="32"/>
          <w:lang w:val="en-US" w:eastAsia="zh-CN"/>
        </w:rPr>
        <w:t>二十、部门绩效表（部门绩效20）</w:t>
      </w:r>
      <w:bookmarkEnd w:id="2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5389"/>
      <w:r>
        <w:rPr>
          <w:rFonts w:hint="eastAsia" w:ascii="宋体" w:hAnsi="宋体"/>
          <w:sz w:val="32"/>
          <w:lang w:val="en-US" w:eastAsia="zh-CN"/>
        </w:rPr>
        <w:t>二十一、年初政府采购项目预算表（政府采购项目预算表21）</w:t>
      </w:r>
      <w:bookmarkEnd w:id="2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1097"/>
      <w:r>
        <w:rPr>
          <w:rFonts w:hint="eastAsia" w:ascii="宋体" w:hAnsi="宋体"/>
          <w:sz w:val="32"/>
          <w:lang w:val="en-US" w:eastAsia="zh-CN"/>
        </w:rPr>
        <w:t>二十二、2025-2027年支出计划总表（三年计划总表22）</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731"/>
      <w:r>
        <w:rPr>
          <w:rFonts w:hint="eastAsia" w:ascii="宋体" w:hAnsi="宋体"/>
          <w:sz w:val="32"/>
          <w:lang w:val="en-US" w:eastAsia="zh-CN"/>
        </w:rPr>
        <w:t>二十三、2025-2027年支出计划明细表（三年计划明细表23）</w:t>
      </w:r>
      <w:bookmarkEnd w:id="2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9864"/>
      <w:r>
        <w:rPr>
          <w:rFonts w:hint="eastAsia" w:ascii="宋体" w:hAnsi="宋体"/>
          <w:sz w:val="32"/>
          <w:lang w:val="en-US" w:eastAsia="zh-CN"/>
        </w:rPr>
        <w:t>二十四、人员和车辆基本情况表（人员24）</w:t>
      </w:r>
      <w:bookmarkEnd w:id="2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9339"/>
      <w:r>
        <w:rPr>
          <w:rFonts w:hint="eastAsia" w:ascii="宋体" w:hAnsi="宋体"/>
          <w:b/>
          <w:bCs/>
          <w:sz w:val="32"/>
          <w:lang w:val="en-US" w:eastAsia="zh-CN"/>
        </w:rPr>
        <w:t>以上所有表格详见部门说明后附件。</w:t>
      </w:r>
      <w:bookmarkEnd w:id="22"/>
      <w:bookmarkEnd w:id="30"/>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0"/>
        </w:numPr>
        <w:spacing w:before="6"/>
        <w:ind w:leftChars="0" w:right="0" w:rightChars="0"/>
        <w:jc w:val="both"/>
        <w:outlineLvl w:val="0"/>
        <w:rPr>
          <w:rFonts w:hint="eastAsia" w:ascii="宋体" w:hAnsi="宋体" w:eastAsia="方正小标宋简体" w:cs="方正小标宋简体"/>
          <w:sz w:val="52"/>
          <w:szCs w:val="52"/>
          <w:lang w:val="en-US" w:eastAsia="zh-CN"/>
        </w:rPr>
      </w:pPr>
    </w:p>
    <w:p>
      <w:pPr>
        <w:pStyle w:val="4"/>
        <w:numPr>
          <w:ilvl w:val="0"/>
          <w:numId w:val="2"/>
        </w:numPr>
        <w:spacing w:before="6"/>
        <w:ind w:left="0" w:leftChars="0" w:firstLine="0" w:firstLineChars="0"/>
        <w:jc w:val="center"/>
        <w:outlineLvl w:val="0"/>
        <w:rPr>
          <w:rFonts w:hint="default" w:ascii="宋体" w:hAnsi="宋体"/>
          <w:sz w:val="20"/>
          <w:lang w:val="en-US"/>
        </w:rPr>
      </w:pPr>
      <w:bookmarkStart w:id="31" w:name="_Toc330"/>
    </w:p>
    <w:p>
      <w:pPr>
        <w:pStyle w:val="4"/>
        <w:numPr>
          <w:ilvl w:val="0"/>
          <w:numId w:val="0"/>
        </w:numPr>
        <w:spacing w:before="6"/>
        <w:ind w:left="1560" w:leftChars="0" w:right="0" w:rightChars="0" w:hanging="1560" w:hangingChars="300"/>
        <w:jc w:val="both"/>
        <w:outlineLvl w:val="0"/>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r>
        <w:rPr>
          <w:rFonts w:hint="eastAsia" w:ascii="宋体" w:hAnsi="宋体" w:eastAsia="方正小标宋简体" w:cs="方正小标宋简体"/>
          <w:sz w:val="52"/>
          <w:szCs w:val="52"/>
          <w:lang w:val="en-US" w:eastAsia="zh-CN"/>
        </w:rPr>
        <w:t>乐山市五通桥区国有资产监督管理局                               2025年</w:t>
      </w:r>
      <w:bookmarkEnd w:id="31"/>
      <w:bookmarkStart w:id="32" w:name="_Toc13299"/>
      <w:bookmarkStart w:id="33" w:name="_Toc1047"/>
      <w:r>
        <w:rPr>
          <w:rFonts w:hint="eastAsia" w:ascii="宋体" w:hAnsi="宋体" w:eastAsia="方正小标宋简体" w:cs="方正小标宋简体"/>
          <w:sz w:val="52"/>
          <w:szCs w:val="52"/>
          <w:lang w:val="en-US" w:eastAsia="zh-CN"/>
        </w:rPr>
        <w:t>部门预算情况说明</w:t>
      </w:r>
      <w:bookmarkEnd w:id="32"/>
      <w:bookmarkEnd w:id="33"/>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34" w:name="_Toc14393"/>
      <w:r>
        <w:rPr>
          <w:rFonts w:hint="eastAsia" w:ascii="宋体" w:hAnsi="宋体" w:eastAsia="黑体"/>
          <w:color w:val="333333"/>
        </w:rPr>
        <w:t>一、收支预算情况说明</w:t>
      </w:r>
      <w:bookmarkEnd w:id="3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国有资产监督管理局所有收入和支出均纳入部门预算管理。收入包括：一般公共预算拨款收入、国有资本经营预算；支出包括：一般公共服务支出、国有资本经营预算支出。五通桥区国有资产监督管理局2025年收支预算总数300.17万元,比2024年收支预算总数0万元增加300.17万元。主要原因：乐山市五通桥区国有资产监督管理局在2024年6月经批准成立，属于新组建单位，2024年无预算公开。</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181"/>
      <w:r>
        <w:rPr>
          <w:rFonts w:ascii="宋体" w:hAnsi="宋体"/>
        </w:rPr>
        <w:t>（一）收入预算情况</w:t>
      </w:r>
      <w:bookmarkEnd w:id="3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国有资产监督管理局2025年收入预算300.17万元，其中：上年结转39万元，占12.99%；一般公共预算拨款收入261.17万元，占87.01%；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0757"/>
      <w:r>
        <w:rPr>
          <w:rFonts w:ascii="宋体" w:hAnsi="宋体"/>
        </w:rPr>
        <w:t>（二）支出预算情况</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五通桥区国有资产监督管理局2025年支出预算300.17万元，其中：人员支出74.69万元，日常公用支出16.48万元，对个人和家庭的补助支出0万元，专项支出170万元，国有资本经营预算支出39万元。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8286"/>
      <w:r>
        <w:rPr>
          <w:rFonts w:hint="eastAsia" w:ascii="宋体" w:hAnsi="宋体" w:eastAsia="黑体"/>
          <w:color w:val="333333"/>
        </w:rPr>
        <w:t>二、财政拨款收支预算情况说明</w:t>
      </w:r>
      <w:bookmarkEnd w:id="3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1280" w:firstLineChars="400"/>
        <w:jc w:val="both"/>
        <w:textAlignment w:val="auto"/>
        <w:rPr>
          <w:rFonts w:hint="eastAsia" w:ascii="宋体" w:hAnsi="宋体"/>
          <w:sz w:val="32"/>
          <w:lang w:val="en-US" w:eastAsia="zh-CN"/>
        </w:rPr>
      </w:pPr>
      <w:r>
        <w:rPr>
          <w:rFonts w:hint="eastAsia" w:ascii="宋体" w:hAnsi="宋体"/>
          <w:sz w:val="32"/>
          <w:lang w:val="en-US" w:eastAsia="zh-CN"/>
        </w:rPr>
        <w:t>五通桥区国有资产监督管理局2025年财政拨款收支预算总数300.17万元,比2024年财政拨款收支预算总数0万元增加300.17万元。主要原因：乐山市五通桥区国有资产监督管理局在2024年6月经批准成立，属于新组建单位，2024年无预算公开。</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其中：基本支出91.17万元，占30.37%；项目支出209万元，占69.63%。</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基本支出，是用于保障局机关、下属事业单位等机构正常运转的日常支出，包括基本工资、津贴补贴等人员经费以及办公费、印刷费、水电费、办公设备购置等日常公用经费。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项目支出，是用于保障局机关、下属事业单位等机构为完成特定的行政工作任务或事业发展目标，用于专项业务工作的经费支出。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8314"/>
      <w:r>
        <w:rPr>
          <w:rFonts w:hint="eastAsia" w:ascii="宋体" w:hAnsi="宋体" w:eastAsia="黑体"/>
          <w:color w:val="333333"/>
        </w:rPr>
        <w:t>三、一般公共预算当年拨款情况说明</w:t>
      </w:r>
      <w:bookmarkEnd w:id="38"/>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917"/>
      <w:r>
        <w:rPr>
          <w:rFonts w:ascii="宋体" w:hAnsi="宋体"/>
        </w:rPr>
        <w:t>（一）一般公共预算当年拨款规模变化情况</w:t>
      </w:r>
      <w:bookmarkEnd w:id="3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五通桥区国有资产监督管理局2025年一般公共预算当年拨款261.17万元，比2024年财政拨款收支预算总数0万元增加 261.17万元。主要原因：乐山市五通桥区国有资产监督管理局在2024年6月经批准成立，属于新组建单位，2024年无预算公开。</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7070"/>
      <w:r>
        <w:rPr>
          <w:rFonts w:ascii="宋体" w:hAnsi="宋体"/>
        </w:rPr>
        <w:t>（二）一般公共预算当年拨款结构情况</w:t>
      </w:r>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国有资产监督管理局2025年一般公共预算支出261.17万元，主要包括一般公共服务支出0万元，占0.00%；外交支出0万元，占0.00%；国防支出0万元，占0.00%；公共安全支出0万元，占0.00%；教育支出0万元，占0.00%；科学技术支出0万元，占0.00%；文化旅游体育与传媒支出0万元，占0.00%；社会保障和就业支出12.63万元，占4.84%；卫生健康支出2.98万元，占1.14%；节能环保支出0万元，占0.00%；城乡社区支出0万元，占0.00%；农林水支出0万元，占0.00%；交通运输支出0万元，占0.00%；资源勘探工业信息等支出238.17万元，占91.19%；商业服务业等支出0万元，占0.00%；金融支出0万元，占0.00%；援助其他地区支出0万元，占0.00%；自然资源海洋气象等支出0万元，占0.00%；住房保障支出2.83万元，占0.00%；粮油物资储备支出0万元，占0.00%；灾害防治及应急管理支出0万元，占0.00%；预备费0万元，占0.00%；其他支出0万元，占0.00%；转移性支出0万元，占0.00%；债务还本支出0万元，占0.00%；债务付息支出0万元，占0.00%；债务发行费支出0万元，占0.00%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1521"/>
      <w:r>
        <w:rPr>
          <w:rFonts w:ascii="宋体" w:hAnsi="宋体"/>
        </w:rPr>
        <w:t>（三）一般公共预算当年拨款具体使用情况</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财政事务（款）行政运行（项）:2025年预算数为56.46万元，主要用于：机关及参公管理事业单位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2.一般公共服务（类）财政事务（款）一般行政管理事务（项）:2025年预算数为0万元，主要用于：机关及参公管理事业单位开展财政综合业务、预决算编审等未单独设置项级科目的专门性财政管理工作的项目支出。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3.社会保障和就业（类）行政事业单位离退休（款）未归口管理的行政单位离退休（项）:2025年预算数为0万元，主要用于：保障离退休人员经费支出。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4.社会保障和就业（类）行政事业单位离退休（款）未归口管理的行政单位离退休（项）:2025年预算数为0万元，主要用于：保障离退休人员经费支出。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5.社会保障和就业（类）行政事业单位离退休（款）机关事业单位基本养老保险缴费支出（项）:2025年预算数为8.68万元，主要用于：实施养老保险制度后，部门按规定由单位缴纳的基本养老保险费支出。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6.社会保障和就业（类）行政事业单位离退休（款）机关事业单位职业年金缴费支出（项）:2025年预算数为4.13万元，主要用于：实施养老保险制度后，部门按规定由单位缴纳的职业年金支出。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7.卫生健康（类）行政事业单位医疗（款）行政单位医疗（项）:2025年预算数为1.98万元，主要用于：机关及参公管理事业单位基本医疗保险缴费支出。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8.卫生健康（类）行政事业单位医疗（款）事业单位医疗（项）:2025年预算数为0.5万元，主要用于：部门下属事业单位基本医疗保险缴费支出。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9.住房保障（类）住房改革支出（款）住房公积金（项）:2025年预算数为6.05万元，主要用于：部门按人力资源和社会保障部、财政部规定的基本工资和津贴补贴以及规定比例为职工缴纳的住房公积金支出。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10.住房保障（类）城乡社区住宅（款）住房公积金管理（项）:2025年预算数为1.34万元，主要用于：部门下属单位公积金管理中心正常运转的基本支出，开展专门性工作任务的项目支出。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1444"/>
      <w:r>
        <w:rPr>
          <w:rFonts w:hint="eastAsia" w:ascii="宋体" w:hAnsi="宋体" w:eastAsia="黑体"/>
          <w:color w:val="333333"/>
        </w:rPr>
        <w:t>四、一般公共预算基本支出情况说明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五通桥区国有资产监督管理局2025年一般公共预算基本支出91.17万元，其中：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74.68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16.48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3206"/>
      <w:r>
        <w:rPr>
          <w:rFonts w:hint="eastAsia" w:ascii="宋体" w:hAnsi="宋体" w:eastAsia="黑体"/>
          <w:color w:val="333333"/>
        </w:rPr>
        <w:t>五、“三公”经费财政拨款预算安排情况说明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五通桥区国有资产监督管理局2025年“三公”经费财政拨款预算数0.3万元，其中：公务接待费0.3万元，公务用车购置0万元，公车运行维护费0万元。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2025年公务接待费计划用于单位业务开展学习工作餐等。</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4108"/>
      <w:r>
        <w:rPr>
          <w:rFonts w:ascii="宋体" w:hAnsi="宋体"/>
        </w:rPr>
        <w:t>（一）</w:t>
      </w:r>
      <w:r>
        <w:rPr>
          <w:rFonts w:hint="eastAsia" w:ascii="宋体" w:hAnsi="宋体"/>
          <w:lang w:val="en-US" w:eastAsia="zh-CN"/>
        </w:rPr>
        <w:t>公务接待费变化情况</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2024</w:t>
      </w:r>
      <w:r>
        <w:rPr>
          <w:rFonts w:hint="default" w:ascii="宋体" w:hAnsi="宋体"/>
          <w:sz w:val="32"/>
          <w:lang w:val="en-US" w:eastAsia="zh-CN"/>
        </w:rPr>
        <w:t>年预算</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增加0.3</w:t>
      </w:r>
      <w:r>
        <w:rPr>
          <w:rFonts w:hint="default" w:ascii="宋体" w:hAnsi="宋体"/>
          <w:sz w:val="32"/>
          <w:lang w:val="en-US" w:eastAsia="zh-CN"/>
        </w:rPr>
        <w:t>万元。主要原因</w:t>
      </w:r>
      <w:r>
        <w:rPr>
          <w:rFonts w:hint="eastAsia" w:ascii="宋体" w:hAnsi="宋体"/>
          <w:sz w:val="32"/>
          <w:lang w:val="en-US" w:eastAsia="zh-CN"/>
        </w:rPr>
        <w:t>乐山市五通桥区国有资产监督管理局在2024年6月经批准成立，属于新组建单位，2024年无预算公开。</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2024</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w:t>
      </w:r>
      <w:r>
        <w:rPr>
          <w:rFonts w:hint="eastAsia" w:ascii="宋体" w:hAnsi="宋体"/>
          <w:sz w:val="32"/>
          <w:lang w:val="en-US" w:eastAsia="zh-CN"/>
        </w:rPr>
        <w:t>乐山市五通桥区国有资产监督管理局在2024年6月经批准成立，属于新组建单位，2024年无预算公开。</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用于0</w:t>
      </w:r>
      <w:r>
        <w:rPr>
          <w:rFonts w:hint="default" w:ascii="宋体" w:hAnsi="宋体"/>
          <w:sz w:val="32"/>
          <w:lang w:val="en-US" w:eastAsia="zh-CN"/>
        </w:rPr>
        <w:t>辆公务用车</w:t>
      </w:r>
      <w:r>
        <w:rPr>
          <w:rFonts w:hint="eastAsia" w:ascii="宋体" w:hAnsi="宋体"/>
          <w:sz w:val="32"/>
          <w:lang w:val="en-US" w:eastAsia="zh-CN"/>
        </w:rPr>
        <w:t>。无</w:t>
      </w:r>
      <w:r>
        <w:rPr>
          <w:rFonts w:hint="default" w:ascii="宋体" w:hAnsi="宋体"/>
          <w:sz w:val="32"/>
          <w:lang w:val="en-US" w:eastAsia="zh-CN"/>
        </w:rPr>
        <w:t>公务用车汽油费、维修费、过路过桥费、保险费、停车费等支出。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27419"/>
      <w:r>
        <w:rPr>
          <w:rFonts w:hint="eastAsia" w:ascii="宋体" w:hAnsi="宋体" w:eastAsia="黑体"/>
          <w:color w:val="333333"/>
        </w:rPr>
        <w:t>六、政府性基金预算支出情况说明</w:t>
      </w:r>
      <w:bookmarkEnd w:id="4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五通桥区国有资产监督管理局2025</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五通桥区国有资产监督管理局2025年国有资本经营预算拨款安排支出39万元,较上年预算数增加39万元，主要用于国有企业退休人员社会化管理补助支出。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904"/>
      <w:r>
        <w:rPr>
          <w:rFonts w:hint="eastAsia" w:ascii="宋体" w:hAnsi="宋体" w:eastAsia="黑体"/>
          <w:color w:val="333333"/>
          <w:lang w:val="en-US" w:eastAsia="zh-CN"/>
        </w:rPr>
        <w:t>八、其他重要事项的情况说明</w:t>
      </w:r>
      <w:bookmarkEnd w:id="48"/>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17345"/>
      <w:r>
        <w:rPr>
          <w:rFonts w:ascii="宋体" w:hAnsi="宋体"/>
        </w:rPr>
        <w:t>（一）机关运行经费情况</w:t>
      </w:r>
      <w:bookmarkEnd w:id="4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乐山市五通桥区国有资产监督管理局下属（局机关）1家行政单位,以及乐山市五通桥区国有资产服务中心1家事业单位的机关运行经费财政拨款预算为16.48万元，比2024年预算增加16.48万元，增长100%。主要原因是乐山市五通桥区国有资产监督管理局在2024年6月经批准成立，属于新组建单位，2024年无预算公开。</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1837"/>
      <w:r>
        <w:rPr>
          <w:rFonts w:ascii="宋体" w:hAnsi="宋体"/>
        </w:rPr>
        <w:t>（二）政府采购情况</w:t>
      </w:r>
      <w:bookmarkEnd w:id="5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2025年，五通桥区国有资产监督管理局政府采购项目0万元。其中，政府采购货物预算0万元；政府采购工程预算0万元；政府采购服务预算0万元。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6771"/>
      <w:r>
        <w:rPr>
          <w:rFonts w:ascii="宋体" w:hAnsi="宋体"/>
        </w:rPr>
        <w:t>（三）国有资产占有使用情况</w:t>
      </w:r>
      <w:bookmarkEnd w:id="5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截至2025年底，五通桥区国有资产监督管理局部门所属各预算单位共有车辆0辆。单位价值100万元以上大型设备0套。</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2025年部门预算未安排购置车辆及单位价值100万元以上大型设备。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2025年五通桥区国有资产监督管理局开展绩效目标管理的项目25个，涉及预算261.16万元。其中：人员类项目20个，涉及预算74.68万元；运转类项目4个，涉及预算16.48万元；特定目标</w:t>
      </w:r>
      <w:bookmarkStart w:id="54" w:name="_GoBack"/>
      <w:bookmarkEnd w:id="54"/>
      <w:r>
        <w:rPr>
          <w:rFonts w:hint="eastAsia" w:ascii="宋体" w:hAnsi="宋体"/>
          <w:sz w:val="32"/>
          <w:lang w:val="en-US" w:eastAsia="zh-CN"/>
        </w:rPr>
        <w:t>类项目1个，涉及预算170万元。</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方正小标宋简体" w:cs="方正小标宋简体"/>
          <w:sz w:val="52"/>
          <w:szCs w:val="52"/>
          <w:lang w:val="en-US" w:eastAsia="zh-CN"/>
        </w:rPr>
      </w:pPr>
      <w:bookmarkStart w:id="53" w:name="_Toc12947"/>
      <w:r>
        <w:rPr>
          <w:rFonts w:hint="eastAsia" w:ascii="宋体" w:hAnsi="宋体" w:eastAsia="方正小标宋简体" w:cs="方正小标宋简体"/>
          <w:sz w:val="52"/>
          <w:szCs w:val="52"/>
          <w:lang w:val="en-US" w:eastAsia="zh-CN"/>
        </w:rPr>
        <w:t>第四部分  名词解释</w:t>
      </w:r>
      <w:bookmarkEnd w:id="53"/>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FE7439-0AFD-4EF0-A497-D3F77F890A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96254F9B-41C1-4D67-9016-DC46B2E9BF1A}"/>
  </w:font>
  <w:font w:name="楷体">
    <w:panose1 w:val="02010609060101010101"/>
    <w:charset w:val="86"/>
    <w:family w:val="modern"/>
    <w:pitch w:val="default"/>
    <w:sig w:usb0="800002BF" w:usb1="38CF7CFA" w:usb2="00000016" w:usb3="00000000" w:csb0="00040001" w:csb1="00000000"/>
    <w:embedRegular r:id="rId3" w:fontKey="{73D57D3E-B933-4C6A-8AEC-B296623097B9}"/>
  </w:font>
  <w:font w:name="仿宋_GB2312">
    <w:panose1 w:val="02010609030101010101"/>
    <w:charset w:val="86"/>
    <w:family w:val="modern"/>
    <w:pitch w:val="default"/>
    <w:sig w:usb0="00000001" w:usb1="080E0000" w:usb2="00000000" w:usb3="00000000" w:csb0="00040000" w:csb1="00000000"/>
    <w:embedRegular r:id="rId4" w:fontKey="{76AB3944-9029-488E-976A-ED9EE7E0857C}"/>
  </w:font>
  <w:font w:name="方正小标宋简体">
    <w:panose1 w:val="03000509000000000000"/>
    <w:charset w:val="86"/>
    <w:family w:val="script"/>
    <w:pitch w:val="default"/>
    <w:sig w:usb0="00000001" w:usb1="080E0000" w:usb2="00000000" w:usb3="00000000" w:csb0="00040000" w:csb1="00000000"/>
    <w:embedRegular r:id="rId5" w:fontKey="{FDFFBF9D-99B1-4AA0-BE5C-3128E2FB6E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ascii="方正小标宋简体" w:hAnsi="方正小标宋简体" w:eastAsia="方正小标宋简体" w:cs="方正小标宋简体"/>
        <w:sz w:val="52"/>
        <w:szCs w:val="5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0EC7F25"/>
    <w:rsid w:val="02DA1F3A"/>
    <w:rsid w:val="02ED1707"/>
    <w:rsid w:val="02F925FF"/>
    <w:rsid w:val="03261624"/>
    <w:rsid w:val="03AA4003"/>
    <w:rsid w:val="0442423B"/>
    <w:rsid w:val="04A400F3"/>
    <w:rsid w:val="04E43544"/>
    <w:rsid w:val="058D598A"/>
    <w:rsid w:val="075430FD"/>
    <w:rsid w:val="08A64DE8"/>
    <w:rsid w:val="08CC0577"/>
    <w:rsid w:val="08F93370"/>
    <w:rsid w:val="09AC77A3"/>
    <w:rsid w:val="0A171CC6"/>
    <w:rsid w:val="0A636CB9"/>
    <w:rsid w:val="0B422D73"/>
    <w:rsid w:val="0BAF2021"/>
    <w:rsid w:val="0C4548C9"/>
    <w:rsid w:val="0D643474"/>
    <w:rsid w:val="0D676AC1"/>
    <w:rsid w:val="0D991370"/>
    <w:rsid w:val="0E625C06"/>
    <w:rsid w:val="0E96765D"/>
    <w:rsid w:val="0EAD2BF9"/>
    <w:rsid w:val="0ED168E7"/>
    <w:rsid w:val="0EE02FCE"/>
    <w:rsid w:val="0EFD52CE"/>
    <w:rsid w:val="0F28527A"/>
    <w:rsid w:val="109D72B8"/>
    <w:rsid w:val="115C2EBC"/>
    <w:rsid w:val="11EE77B0"/>
    <w:rsid w:val="12103BCB"/>
    <w:rsid w:val="12681311"/>
    <w:rsid w:val="135950FD"/>
    <w:rsid w:val="13CB5FFB"/>
    <w:rsid w:val="14186D67"/>
    <w:rsid w:val="1437543F"/>
    <w:rsid w:val="151F3B9D"/>
    <w:rsid w:val="15FC55E0"/>
    <w:rsid w:val="178A7953"/>
    <w:rsid w:val="18B7543F"/>
    <w:rsid w:val="18D94D16"/>
    <w:rsid w:val="19C30407"/>
    <w:rsid w:val="1AD667BD"/>
    <w:rsid w:val="1B3E70B3"/>
    <w:rsid w:val="1B7930C6"/>
    <w:rsid w:val="1BB22217"/>
    <w:rsid w:val="1BF73705"/>
    <w:rsid w:val="1C1511F1"/>
    <w:rsid w:val="1C4565B4"/>
    <w:rsid w:val="1C481150"/>
    <w:rsid w:val="1E14059F"/>
    <w:rsid w:val="1E9115A9"/>
    <w:rsid w:val="1F282554"/>
    <w:rsid w:val="1F364464"/>
    <w:rsid w:val="1F4B4494"/>
    <w:rsid w:val="1FA15D75"/>
    <w:rsid w:val="20D9567F"/>
    <w:rsid w:val="21211D8E"/>
    <w:rsid w:val="21244F9D"/>
    <w:rsid w:val="21C870E9"/>
    <w:rsid w:val="21F4671D"/>
    <w:rsid w:val="223B59A1"/>
    <w:rsid w:val="225225AE"/>
    <w:rsid w:val="22A64989"/>
    <w:rsid w:val="231C3320"/>
    <w:rsid w:val="234B4A63"/>
    <w:rsid w:val="23C12F77"/>
    <w:rsid w:val="23CD191B"/>
    <w:rsid w:val="23FE3883"/>
    <w:rsid w:val="240622C9"/>
    <w:rsid w:val="241E2177"/>
    <w:rsid w:val="247F2477"/>
    <w:rsid w:val="24BC5AB4"/>
    <w:rsid w:val="25553B78"/>
    <w:rsid w:val="26062EC3"/>
    <w:rsid w:val="27A847C5"/>
    <w:rsid w:val="27CB7F20"/>
    <w:rsid w:val="27DD05DF"/>
    <w:rsid w:val="29701758"/>
    <w:rsid w:val="2A321E21"/>
    <w:rsid w:val="2BD66371"/>
    <w:rsid w:val="2D206F4D"/>
    <w:rsid w:val="2D4833F2"/>
    <w:rsid w:val="2DAF2092"/>
    <w:rsid w:val="2E8452CD"/>
    <w:rsid w:val="2E8C7A38"/>
    <w:rsid w:val="2EDB6DBC"/>
    <w:rsid w:val="2F2B74F6"/>
    <w:rsid w:val="30476732"/>
    <w:rsid w:val="30C67DCC"/>
    <w:rsid w:val="3170631D"/>
    <w:rsid w:val="328B7DC4"/>
    <w:rsid w:val="32B1069F"/>
    <w:rsid w:val="333F5C66"/>
    <w:rsid w:val="33744468"/>
    <w:rsid w:val="341669C7"/>
    <w:rsid w:val="34391442"/>
    <w:rsid w:val="35447564"/>
    <w:rsid w:val="35944047"/>
    <w:rsid w:val="35F20D6E"/>
    <w:rsid w:val="36D131EC"/>
    <w:rsid w:val="37144D14"/>
    <w:rsid w:val="37160A8C"/>
    <w:rsid w:val="37CD3840"/>
    <w:rsid w:val="388A1B86"/>
    <w:rsid w:val="38A30A45"/>
    <w:rsid w:val="394713D0"/>
    <w:rsid w:val="39DA2245"/>
    <w:rsid w:val="3A1106A9"/>
    <w:rsid w:val="3A2175DD"/>
    <w:rsid w:val="3CB274A9"/>
    <w:rsid w:val="3DC2196D"/>
    <w:rsid w:val="3DE9514C"/>
    <w:rsid w:val="3E04509C"/>
    <w:rsid w:val="3E95498C"/>
    <w:rsid w:val="3F19736B"/>
    <w:rsid w:val="3F93711E"/>
    <w:rsid w:val="3FCC6AD3"/>
    <w:rsid w:val="3FFB4CC3"/>
    <w:rsid w:val="40A62E81"/>
    <w:rsid w:val="40EE01EF"/>
    <w:rsid w:val="42D305B5"/>
    <w:rsid w:val="4302730E"/>
    <w:rsid w:val="436239D7"/>
    <w:rsid w:val="437D7220"/>
    <w:rsid w:val="44906321"/>
    <w:rsid w:val="449C6A74"/>
    <w:rsid w:val="44A84FEF"/>
    <w:rsid w:val="44DF5600"/>
    <w:rsid w:val="455C26A8"/>
    <w:rsid w:val="459F0175"/>
    <w:rsid w:val="45E1416B"/>
    <w:rsid w:val="469043B7"/>
    <w:rsid w:val="46965745"/>
    <w:rsid w:val="46D22C21"/>
    <w:rsid w:val="476870E2"/>
    <w:rsid w:val="477C493B"/>
    <w:rsid w:val="48735D3E"/>
    <w:rsid w:val="487C162F"/>
    <w:rsid w:val="498C28EA"/>
    <w:rsid w:val="49C32CF5"/>
    <w:rsid w:val="4A7B537E"/>
    <w:rsid w:val="4AB10DA0"/>
    <w:rsid w:val="4AFD5D93"/>
    <w:rsid w:val="4B490FD8"/>
    <w:rsid w:val="4B902853"/>
    <w:rsid w:val="4BC60494"/>
    <w:rsid w:val="4CED0867"/>
    <w:rsid w:val="4D3C563B"/>
    <w:rsid w:val="4E6974D1"/>
    <w:rsid w:val="4E807407"/>
    <w:rsid w:val="4ED35788"/>
    <w:rsid w:val="4F043B94"/>
    <w:rsid w:val="4F0911AA"/>
    <w:rsid w:val="501D1A74"/>
    <w:rsid w:val="507B60E6"/>
    <w:rsid w:val="51433AA1"/>
    <w:rsid w:val="515B1A65"/>
    <w:rsid w:val="51654692"/>
    <w:rsid w:val="52250DE4"/>
    <w:rsid w:val="529E60AD"/>
    <w:rsid w:val="53533A38"/>
    <w:rsid w:val="53566988"/>
    <w:rsid w:val="5358625C"/>
    <w:rsid w:val="5418600B"/>
    <w:rsid w:val="54B95421"/>
    <w:rsid w:val="54BB49E6"/>
    <w:rsid w:val="54C30EEA"/>
    <w:rsid w:val="54F47E52"/>
    <w:rsid w:val="55061CE8"/>
    <w:rsid w:val="5543046B"/>
    <w:rsid w:val="555858B6"/>
    <w:rsid w:val="55A27C63"/>
    <w:rsid w:val="567F61F6"/>
    <w:rsid w:val="57A31A70"/>
    <w:rsid w:val="57A760B6"/>
    <w:rsid w:val="57DA1A83"/>
    <w:rsid w:val="585077AC"/>
    <w:rsid w:val="58677A1D"/>
    <w:rsid w:val="58B70EDD"/>
    <w:rsid w:val="58D60995"/>
    <w:rsid w:val="58EE6347"/>
    <w:rsid w:val="593257A1"/>
    <w:rsid w:val="59411541"/>
    <w:rsid w:val="595E3E2E"/>
    <w:rsid w:val="59EF3692"/>
    <w:rsid w:val="5A3B0686"/>
    <w:rsid w:val="5A3B11C6"/>
    <w:rsid w:val="5AE90F4A"/>
    <w:rsid w:val="5B65451D"/>
    <w:rsid w:val="5CD557B6"/>
    <w:rsid w:val="5D4614E6"/>
    <w:rsid w:val="5DC22219"/>
    <w:rsid w:val="5E0E6278"/>
    <w:rsid w:val="5E3D49CC"/>
    <w:rsid w:val="5E9050A3"/>
    <w:rsid w:val="62292267"/>
    <w:rsid w:val="62886432"/>
    <w:rsid w:val="62D16D9D"/>
    <w:rsid w:val="64A77044"/>
    <w:rsid w:val="64CA4AE0"/>
    <w:rsid w:val="667B3936"/>
    <w:rsid w:val="66862C89"/>
    <w:rsid w:val="66DA197B"/>
    <w:rsid w:val="681A7B2C"/>
    <w:rsid w:val="690507DD"/>
    <w:rsid w:val="6A767C5B"/>
    <w:rsid w:val="6AD06BC8"/>
    <w:rsid w:val="6B4D1FC7"/>
    <w:rsid w:val="6BA049BF"/>
    <w:rsid w:val="6BD46244"/>
    <w:rsid w:val="6C150D37"/>
    <w:rsid w:val="6C687ADA"/>
    <w:rsid w:val="6DE07122"/>
    <w:rsid w:val="6DEA7FA1"/>
    <w:rsid w:val="6E1A6AD8"/>
    <w:rsid w:val="6FCF5D23"/>
    <w:rsid w:val="6FE078AE"/>
    <w:rsid w:val="7146146C"/>
    <w:rsid w:val="7209340F"/>
    <w:rsid w:val="728C7879"/>
    <w:rsid w:val="73E77DB8"/>
    <w:rsid w:val="744F0B5E"/>
    <w:rsid w:val="74FA4F6E"/>
    <w:rsid w:val="75722D56"/>
    <w:rsid w:val="76A30804"/>
    <w:rsid w:val="785B3F75"/>
    <w:rsid w:val="7863107C"/>
    <w:rsid w:val="787C4F46"/>
    <w:rsid w:val="792613EA"/>
    <w:rsid w:val="7991216C"/>
    <w:rsid w:val="79AC0800"/>
    <w:rsid w:val="79C618C2"/>
    <w:rsid w:val="7C6130B2"/>
    <w:rsid w:val="7D050953"/>
    <w:rsid w:val="7E3D5E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5959</Words>
  <Characters>6852</Characters>
  <TotalTime>34</TotalTime>
  <ScaleCrop>false</ScaleCrop>
  <LinksUpToDate>false</LinksUpToDate>
  <CharactersWithSpaces>6950</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WPS_1484565298</cp:lastModifiedBy>
  <dcterms:modified xsi:type="dcterms:W3CDTF">2025-02-14T03:45:52Z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y fmtid="{D5CDD505-2E9C-101B-9397-08002B2CF9AE}" pid="7" name="KSOTemplateDocerSaveRecord">
    <vt:lpwstr>eyJoZGlkIjoiMjhkNjg0NTVkNTYyYTM1ZjM0NzY4NTVkYTFlMGI5OTIifQ==</vt:lpwstr>
  </property>
</Properties>
</file>