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D0EE3B">
      <w:pPr>
        <w:pStyle w:val="2"/>
        <w:rPr>
          <w:rFonts w:hint="eastAsia" w:ascii="Times New Roman" w:hAnsi="Times New Roman" w:eastAsia="方正小标宋简体" w:cs="Times New Roman"/>
          <w:color w:val="auto"/>
          <w:kern w:val="2"/>
          <w:sz w:val="72"/>
          <w:szCs w:val="72"/>
          <w:highlight w:val="none"/>
          <w:lang w:val="en-US" w:eastAsia="zh-CN" w:bidi="ar-SA"/>
        </w:rPr>
      </w:pPr>
      <w:bookmarkStart w:id="0" w:name="_Toc15378441"/>
      <w:bookmarkStart w:id="1" w:name="_Toc15396597"/>
      <w:bookmarkStart w:id="2" w:name="_Toc15396475"/>
      <w:bookmarkStart w:id="3" w:name="_Toc15306267"/>
      <w:bookmarkStart w:id="4" w:name="_Toc15377193"/>
      <w:bookmarkStart w:id="5" w:name="_Toc15377425"/>
    </w:p>
    <w:p w14:paraId="7569360E">
      <w:pPr>
        <w:pStyle w:val="2"/>
        <w:rPr>
          <w:rFonts w:hint="eastAsia" w:ascii="Times New Roman" w:hAnsi="Times New Roman" w:eastAsia="方正小标宋简体" w:cs="Times New Roman"/>
          <w:color w:val="auto"/>
          <w:kern w:val="2"/>
          <w:sz w:val="72"/>
          <w:szCs w:val="72"/>
          <w:highlight w:val="none"/>
          <w:lang w:val="en-US" w:eastAsia="zh-CN" w:bidi="ar-SA"/>
        </w:rPr>
      </w:pPr>
    </w:p>
    <w:p w14:paraId="4BD9034A">
      <w:pPr>
        <w:pStyle w:val="2"/>
        <w:rPr>
          <w:rFonts w:hint="eastAsia" w:ascii="Times New Roman" w:hAnsi="Times New Roman" w:eastAsia="方正小标宋简体" w:cs="Times New Roman"/>
          <w:color w:val="auto"/>
          <w:kern w:val="2"/>
          <w:sz w:val="72"/>
          <w:szCs w:val="72"/>
          <w:highlight w:val="none"/>
          <w:lang w:val="en-US" w:eastAsia="zh-CN" w:bidi="ar-SA"/>
        </w:rPr>
      </w:pPr>
    </w:p>
    <w:p w14:paraId="4E23E54B">
      <w:pPr>
        <w:pStyle w:val="2"/>
        <w:jc w:val="center"/>
        <w:rPr>
          <w:rFonts w:hint="eastAsia" w:ascii="黑体" w:hAnsi="黑体" w:eastAsia="黑体" w:cs="黑体"/>
          <w:b/>
          <w:bCs/>
          <w:color w:val="auto"/>
          <w:kern w:val="2"/>
          <w:sz w:val="52"/>
          <w:szCs w:val="52"/>
          <w:highlight w:val="none"/>
          <w:lang w:val="en-US" w:eastAsia="zh-CN" w:bidi="ar-SA"/>
        </w:rPr>
      </w:pPr>
      <w:r>
        <w:rPr>
          <w:rFonts w:hint="eastAsia" w:ascii="黑体" w:hAnsi="黑体" w:eastAsia="黑体" w:cs="黑体"/>
          <w:b/>
          <w:bCs/>
          <w:color w:val="auto"/>
          <w:kern w:val="2"/>
          <w:sz w:val="52"/>
          <w:szCs w:val="52"/>
          <w:highlight w:val="none"/>
          <w:lang w:val="en-US" w:eastAsia="zh-CN" w:bidi="ar-SA"/>
        </w:rPr>
        <w:t>2024年度</w:t>
      </w:r>
    </w:p>
    <w:p w14:paraId="76CA335F">
      <w:pPr>
        <w:pStyle w:val="2"/>
        <w:jc w:val="center"/>
        <w:rPr>
          <w:rFonts w:hint="eastAsia" w:ascii="黑体" w:hAnsi="黑体" w:eastAsia="黑体" w:cs="黑体"/>
          <w:b/>
          <w:bCs/>
          <w:color w:val="auto"/>
          <w:kern w:val="2"/>
          <w:sz w:val="52"/>
          <w:szCs w:val="52"/>
          <w:highlight w:val="none"/>
          <w:lang w:val="en-US" w:eastAsia="zh-CN" w:bidi="ar-SA"/>
        </w:rPr>
      </w:pPr>
      <w:r>
        <w:rPr>
          <w:rFonts w:hint="eastAsia" w:ascii="黑体" w:hAnsi="黑体" w:eastAsia="黑体" w:cs="黑体"/>
          <w:b/>
          <w:bCs/>
          <w:color w:val="auto"/>
          <w:kern w:val="2"/>
          <w:sz w:val="52"/>
          <w:szCs w:val="52"/>
          <w:highlight w:val="none"/>
          <w:lang w:val="en-US" w:eastAsia="zh-CN" w:bidi="ar-SA"/>
        </w:rPr>
        <w:t>四川省乐山市五通桥区涌斯江水利工程保护服务中心决算公开</w:t>
      </w:r>
    </w:p>
    <w:p w14:paraId="601D4573">
      <w:pPr>
        <w:spacing w:line="600" w:lineRule="exact"/>
        <w:jc w:val="center"/>
        <w:outlineLvl w:val="0"/>
        <w:rPr>
          <w:rFonts w:ascii="Times New Roman" w:hAnsi="Times New Roman" w:eastAsia="方正小标宋简体"/>
          <w:color w:val="auto"/>
          <w:sz w:val="72"/>
          <w:szCs w:val="72"/>
          <w:highlight w:val="none"/>
        </w:rPr>
      </w:pPr>
    </w:p>
    <w:p w14:paraId="07C6DC42">
      <w:pPr>
        <w:pStyle w:val="19"/>
        <w:rPr>
          <w:rFonts w:ascii="Times New Roman" w:hAnsi="Times New Roman"/>
        </w:rPr>
        <w:sectPr>
          <w:headerReference r:id="rId3" w:type="default"/>
          <w:footerReference r:id="rId4" w:type="default"/>
          <w:pgSz w:w="11906" w:h="16838"/>
          <w:pgMar w:top="1440" w:right="1800" w:bottom="1440" w:left="1800" w:header="851" w:footer="992" w:gutter="0"/>
          <w:pgNumType w:fmt="decimal"/>
          <w:cols w:space="425" w:num="1"/>
          <w:titlePg/>
          <w:docGrid w:type="lines" w:linePitch="312" w:charSpace="0"/>
        </w:sectPr>
      </w:pPr>
    </w:p>
    <w:p w14:paraId="0C48E399">
      <w:pPr>
        <w:rPr>
          <w:rFonts w:ascii="Times New Roman" w:hAnsi="Times New Roman"/>
        </w:rPr>
      </w:pPr>
    </w:p>
    <w:bookmarkEnd w:id="0"/>
    <w:bookmarkEnd w:id="1"/>
    <w:bookmarkEnd w:id="2"/>
    <w:bookmarkEnd w:id="3"/>
    <w:bookmarkEnd w:id="4"/>
    <w:bookmarkEnd w:id="5"/>
    <w:p w14:paraId="51B1510E">
      <w:pPr>
        <w:widowControl/>
        <w:jc w:val="center"/>
        <w:rPr>
          <w:rFonts w:ascii="Times New Roman" w:hAnsi="Times New Roman" w:eastAsia="黑体"/>
          <w:color w:val="auto"/>
          <w:sz w:val="48"/>
          <w:szCs w:val="48"/>
          <w:highlight w:val="none"/>
        </w:rPr>
      </w:pPr>
      <w:r>
        <w:rPr>
          <w:rFonts w:hint="eastAsia" w:ascii="Times New Roman" w:hAnsi="Times New Roman" w:eastAsia="黑体"/>
          <w:color w:val="auto"/>
          <w:sz w:val="48"/>
          <w:szCs w:val="48"/>
          <w:highlight w:val="none"/>
        </w:rPr>
        <w:t>目录</w:t>
      </w:r>
    </w:p>
    <w:p w14:paraId="7F3312C4">
      <w:pPr>
        <w:widowControl/>
        <w:jc w:val="center"/>
        <w:rPr>
          <w:rFonts w:ascii="Times New Roman" w:hAnsi="Times New Roman" w:eastAsia="黑体" w:cstheme="minorBidi"/>
          <w:color w:val="auto"/>
          <w:sz w:val="28"/>
          <w:szCs w:val="28"/>
          <w:highlight w:val="none"/>
        </w:rPr>
      </w:pPr>
    </w:p>
    <w:p w14:paraId="72D96468">
      <w:pPr>
        <w:pStyle w:val="12"/>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公开时间：20</w:t>
      </w:r>
      <w:r>
        <w:rPr>
          <w:rFonts w:hint="eastAsia" w:ascii="Times New Roman" w:hAnsi="Times New Roman" w:eastAsia="仿宋_GB2312" w:cs="仿宋_GB2312"/>
          <w:color w:val="auto"/>
          <w:sz w:val="32"/>
          <w:szCs w:val="32"/>
          <w:highlight w:val="none"/>
          <w:lang w:val="en-US" w:eastAsia="zh-CN"/>
        </w:rPr>
        <w:t>24</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val="en-US" w:eastAsia="zh-CN"/>
        </w:rPr>
        <w:t xml:space="preserve"> 10 </w:t>
      </w:r>
      <w:r>
        <w:rPr>
          <w:rFonts w:hint="eastAsia" w:ascii="Times New Roman" w:hAnsi="Times New Roman" w:eastAsia="仿宋_GB2312" w:cs="仿宋_GB2312"/>
          <w:color w:val="auto"/>
          <w:sz w:val="32"/>
          <w:szCs w:val="32"/>
          <w:highlight w:val="none"/>
        </w:rPr>
        <w:t>月</w:t>
      </w:r>
      <w:r>
        <w:rPr>
          <w:rFonts w:hint="eastAsia" w:ascii="Times New Roman" w:hAnsi="Times New Roman" w:eastAsia="仿宋_GB2312" w:cs="仿宋_GB2312"/>
          <w:color w:val="auto"/>
          <w:sz w:val="32"/>
          <w:szCs w:val="32"/>
          <w:highlight w:val="none"/>
          <w:lang w:val="en-US" w:eastAsia="zh-CN"/>
        </w:rPr>
        <w:t xml:space="preserve"> 28</w:t>
      </w:r>
      <w:bookmarkStart w:id="143" w:name="_GoBack"/>
      <w:bookmarkEnd w:id="143"/>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color w:val="auto"/>
          <w:sz w:val="32"/>
          <w:szCs w:val="32"/>
          <w:highlight w:val="none"/>
        </w:rPr>
        <w:t>日</w:t>
      </w:r>
    </w:p>
    <w:p w14:paraId="11113F04">
      <w:pPr>
        <w:rPr>
          <w:rFonts w:hint="eastAsia" w:ascii="Times New Roman" w:hAnsi="Times New Roman" w:eastAsia="仿宋_GB2312" w:cs="仿宋_GB2312"/>
          <w:color w:val="auto"/>
          <w:sz w:val="32"/>
          <w:szCs w:val="32"/>
          <w:highlight w:val="none"/>
        </w:rPr>
      </w:pPr>
    </w:p>
    <w:sdt>
      <w:sdtPr>
        <w:rPr>
          <w:rFonts w:ascii="宋体" w:hAnsi="宋体" w:eastAsia="宋体" w:cs="Times New Roman"/>
          <w:kern w:val="2"/>
          <w:sz w:val="21"/>
          <w:szCs w:val="24"/>
          <w:lang w:val="en-US" w:eastAsia="zh-CN" w:bidi="ar-SA"/>
        </w:rPr>
        <w:id w:val="147480840"/>
        <w15:color w:val="DBDBDB"/>
        <w:docPartObj>
          <w:docPartGallery w:val="Table of Contents"/>
          <w:docPartUnique/>
        </w:docPartObj>
      </w:sdtPr>
      <w:sdtEndPr>
        <w:rPr>
          <w:rFonts w:ascii="宋体" w:hAnsi="宋体" w:eastAsia="宋体" w:cs="Times New Roman"/>
          <w:kern w:val="2"/>
          <w:sz w:val="20"/>
          <w:szCs w:val="20"/>
          <w:lang w:val="en-US" w:eastAsia="zh-CN" w:bidi="ar-SA"/>
        </w:rPr>
      </w:sdtEndPr>
      <w:sdtContent>
        <w:p w14:paraId="257B766D">
          <w:pPr>
            <w:spacing w:before="0" w:beforeLines="0" w:after="0" w:afterLines="0" w:line="240" w:lineRule="auto"/>
            <w:ind w:left="0" w:leftChars="0" w:right="0" w:rightChars="0" w:firstLine="0" w:firstLineChars="0"/>
            <w:jc w:val="center"/>
          </w:pPr>
          <w:bookmarkStart w:id="6" w:name="_Toc2094_WPSOffice_Type3"/>
          <w:r>
            <w:rPr>
              <w:rFonts w:ascii="宋体" w:hAnsi="宋体" w:eastAsia="宋体"/>
              <w:sz w:val="21"/>
            </w:rPr>
            <w:t>目录</w:t>
          </w:r>
        </w:p>
        <w:p w14:paraId="703FC912">
          <w:pPr>
            <w:pStyle w:val="35"/>
            <w:tabs>
              <w:tab w:val="right" w:leader="dot" w:pos="8441"/>
            </w:tabs>
          </w:pPr>
          <w:r>
            <w:fldChar w:fldCharType="begin"/>
          </w:r>
          <w:r>
            <w:instrText xml:space="preserve"> HYPERLINK \l _Toc3592_WPSOffice_Level1 </w:instrText>
          </w:r>
          <w:r>
            <w:fldChar w:fldCharType="separate"/>
          </w:r>
          <w:sdt>
            <w:sdtPr>
              <w:rPr>
                <w:rFonts w:ascii="仿宋_GB2312" w:hAnsi="Times New Roman" w:eastAsia="仿宋_GB2312" w:cs="Times New Roman"/>
                <w:kern w:val="0"/>
                <w:sz w:val="30"/>
                <w:szCs w:val="24"/>
                <w:lang w:val="en-US" w:eastAsia="zh-CN" w:bidi="ar-SA"/>
              </w:rPr>
              <w:id w:val="147472949"/>
              <w:placeholder>
                <w:docPart w:val="{734fa41c-53ff-4ba1-b913-e8590c9a60de}"/>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方正小标宋简体" w:cs="方正小标宋简体"/>
                </w:rPr>
                <w:t>第一部分  部门概况</w:t>
              </w:r>
            </w:sdtContent>
          </w:sdt>
          <w:r>
            <w:tab/>
          </w:r>
          <w:bookmarkStart w:id="7" w:name="_Toc3592_WPSOffice_Level1Page"/>
          <w:r>
            <w:t>1</w:t>
          </w:r>
          <w:bookmarkEnd w:id="7"/>
          <w:r>
            <w:fldChar w:fldCharType="end"/>
          </w:r>
        </w:p>
        <w:p w14:paraId="6CC865BE">
          <w:pPr>
            <w:pStyle w:val="36"/>
            <w:tabs>
              <w:tab w:val="right" w:leader="dot" w:pos="8441"/>
            </w:tabs>
          </w:pPr>
          <w:r>
            <w:fldChar w:fldCharType="begin"/>
          </w:r>
          <w:r>
            <w:instrText xml:space="preserve"> HYPERLINK \l _Toc2094_WPSOffice_Level2 </w:instrText>
          </w:r>
          <w:r>
            <w:fldChar w:fldCharType="separate"/>
          </w:r>
          <w:sdt>
            <w:sdtPr>
              <w:rPr>
                <w:rFonts w:ascii="仿宋_GB2312" w:hAnsi="Times New Roman" w:eastAsia="仿宋_GB2312" w:cs="Times New Roman"/>
                <w:kern w:val="0"/>
                <w:sz w:val="30"/>
                <w:szCs w:val="24"/>
                <w:lang w:val="en-US" w:eastAsia="zh-CN" w:bidi="ar-SA"/>
              </w:rPr>
              <w:id w:val="147482753"/>
              <w:placeholder>
                <w:docPart w:val="{85302fc2-527e-4035-9e88-e01302617dd9}"/>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heme="majorBidi"/>
                </w:rPr>
                <w:t>一、 部门职责</w:t>
              </w:r>
            </w:sdtContent>
          </w:sdt>
          <w:r>
            <w:tab/>
          </w:r>
          <w:bookmarkStart w:id="8" w:name="_Toc2094_WPSOffice_Level2Page"/>
          <w:r>
            <w:t>1</w:t>
          </w:r>
          <w:bookmarkEnd w:id="8"/>
          <w:r>
            <w:fldChar w:fldCharType="end"/>
          </w:r>
        </w:p>
        <w:p w14:paraId="33CC7BD9">
          <w:pPr>
            <w:pStyle w:val="36"/>
            <w:tabs>
              <w:tab w:val="right" w:leader="dot" w:pos="8441"/>
            </w:tabs>
          </w:pPr>
          <w:r>
            <w:fldChar w:fldCharType="begin"/>
          </w:r>
          <w:r>
            <w:instrText xml:space="preserve"> HYPERLINK \l _Toc8934_WPSOffice_Level2 </w:instrText>
          </w:r>
          <w:r>
            <w:fldChar w:fldCharType="separate"/>
          </w:r>
          <w:sdt>
            <w:sdtPr>
              <w:rPr>
                <w:rFonts w:ascii="仿宋_GB2312" w:hAnsi="Times New Roman" w:eastAsia="仿宋_GB2312" w:cs="Times New Roman"/>
                <w:kern w:val="0"/>
                <w:sz w:val="30"/>
                <w:szCs w:val="24"/>
                <w:lang w:val="en-US" w:eastAsia="zh-CN" w:bidi="ar-SA"/>
              </w:rPr>
              <w:id w:val="147461767"/>
              <w:placeholder>
                <w:docPart w:val="{0c76d543-adbf-44f9-af71-9577ef6242d8}"/>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heme="majorBidi"/>
                </w:rPr>
                <w:t>二、机构设置</w:t>
              </w:r>
            </w:sdtContent>
          </w:sdt>
          <w:r>
            <w:tab/>
          </w:r>
          <w:bookmarkStart w:id="9" w:name="_Toc8934_WPSOffice_Level2Page"/>
          <w:r>
            <w:t>1</w:t>
          </w:r>
          <w:bookmarkEnd w:id="9"/>
          <w:r>
            <w:fldChar w:fldCharType="end"/>
          </w:r>
        </w:p>
        <w:p w14:paraId="1A53419C">
          <w:pPr>
            <w:pStyle w:val="37"/>
            <w:tabs>
              <w:tab w:val="right" w:leader="dot" w:pos="8441"/>
            </w:tabs>
          </w:pPr>
          <w:r>
            <w:fldChar w:fldCharType="begin"/>
          </w:r>
          <w:r>
            <w:instrText xml:space="preserve"> HYPERLINK \l _Toc2094_WPSOffice_Level3 </w:instrText>
          </w:r>
          <w:r>
            <w:fldChar w:fldCharType="separate"/>
          </w:r>
          <w:sdt>
            <w:sdtPr>
              <w:rPr>
                <w:rFonts w:ascii="仿宋_GB2312" w:hAnsi="Times New Roman" w:eastAsia="仿宋_GB2312" w:cs="Times New Roman"/>
                <w:kern w:val="0"/>
                <w:sz w:val="30"/>
                <w:szCs w:val="24"/>
                <w:lang w:val="en-US" w:eastAsia="zh-CN" w:bidi="ar-SA"/>
              </w:rPr>
              <w:id w:val="147453603"/>
              <w:placeholder>
                <w:docPart w:val="{45c1bd69-4845-4534-a687-75b04c994d3f}"/>
              </w:placeholder>
              <w15:color w:val="509DF3"/>
            </w:sdtPr>
            <w:sdtEndPr>
              <w:rPr>
                <w:rFonts w:ascii="仿宋_GB2312" w:hAnsi="Times New Roman" w:eastAsia="仿宋_GB2312" w:cs="Times New Roman"/>
                <w:kern w:val="0"/>
                <w:sz w:val="30"/>
                <w:szCs w:val="24"/>
                <w:lang w:val="en-US" w:eastAsia="zh-CN" w:bidi="ar-SA"/>
              </w:rPr>
            </w:sdtEndPr>
            <w:sdtContent>
              <w:r>
                <w:rPr>
                  <w:rFonts w:hint="default" w:ascii="Times New Roman" w:hAnsi="Times New Roman" w:eastAsia="仿宋_GB2312" w:cs="仿宋_GB2312"/>
                </w:rPr>
                <w:t xml:space="preserve">1. </w:t>
              </w:r>
              <w:r>
                <w:rPr>
                  <w:rFonts w:hint="eastAsia" w:ascii="仿宋_GB2312" w:hAnsi="仿宋_GB2312" w:eastAsia="仿宋_GB2312" w:cs="仿宋_GB2312"/>
                </w:rPr>
                <w:t>乐山市涌斯江水利工程保护服务中心无</w:t>
              </w:r>
              <w:r>
                <w:rPr>
                  <w:rFonts w:hint="eastAsia" w:ascii="Times New Roman" w:hAnsi="Times New Roman" w:eastAsia="仿宋_GB2312" w:cs="仿宋_GB2312"/>
                </w:rPr>
                <w:t>下属二级预算单位。</w:t>
              </w:r>
            </w:sdtContent>
          </w:sdt>
          <w:r>
            <w:tab/>
          </w:r>
          <w:bookmarkStart w:id="10" w:name="_Toc2094_WPSOffice_Level3Page"/>
          <w:r>
            <w:t>1</w:t>
          </w:r>
          <w:bookmarkEnd w:id="10"/>
          <w:r>
            <w:fldChar w:fldCharType="end"/>
          </w:r>
        </w:p>
        <w:p w14:paraId="7211381D">
          <w:pPr>
            <w:pStyle w:val="35"/>
            <w:tabs>
              <w:tab w:val="right" w:leader="dot" w:pos="8441"/>
            </w:tabs>
          </w:pPr>
          <w:r>
            <w:fldChar w:fldCharType="begin"/>
          </w:r>
          <w:r>
            <w:instrText xml:space="preserve"> HYPERLINK \l _Toc2094_WPSOffice_Level1 </w:instrText>
          </w:r>
          <w:r>
            <w:fldChar w:fldCharType="separate"/>
          </w:r>
          <w:sdt>
            <w:sdtPr>
              <w:rPr>
                <w:rFonts w:ascii="仿宋_GB2312" w:hAnsi="Times New Roman" w:eastAsia="仿宋_GB2312" w:cs="Times New Roman"/>
                <w:kern w:val="0"/>
                <w:sz w:val="30"/>
                <w:szCs w:val="24"/>
                <w:lang w:val="en-US" w:eastAsia="zh-CN" w:bidi="ar-SA"/>
              </w:rPr>
              <w:id w:val="147474392"/>
              <w:placeholder>
                <w:docPart w:val="{b411ef11-5ee8-48f3-a6a7-ac4bd3c43e91}"/>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方正小标宋简体" w:cs="方正小标宋简体"/>
                </w:rPr>
                <w:t>第二部分  2024年度部门决算情况说明</w:t>
              </w:r>
            </w:sdtContent>
          </w:sdt>
          <w:r>
            <w:tab/>
          </w:r>
          <w:bookmarkStart w:id="11" w:name="_Toc2094_WPSOffice_Level1Page"/>
          <w:r>
            <w:t>1</w:t>
          </w:r>
          <w:bookmarkEnd w:id="11"/>
          <w:r>
            <w:fldChar w:fldCharType="end"/>
          </w:r>
        </w:p>
        <w:p w14:paraId="26137276">
          <w:pPr>
            <w:pStyle w:val="36"/>
            <w:tabs>
              <w:tab w:val="right" w:leader="dot" w:pos="8441"/>
            </w:tabs>
          </w:pPr>
          <w:r>
            <w:fldChar w:fldCharType="begin"/>
          </w:r>
          <w:r>
            <w:instrText xml:space="preserve"> HYPERLINK \l _Toc9985_WPSOffice_Level2 </w:instrText>
          </w:r>
          <w:r>
            <w:fldChar w:fldCharType="separate"/>
          </w:r>
          <w:sdt>
            <w:sdtPr>
              <w:rPr>
                <w:rFonts w:ascii="仿宋_GB2312" w:hAnsi="Times New Roman" w:eastAsia="仿宋_GB2312" w:cs="Times New Roman"/>
                <w:kern w:val="0"/>
                <w:sz w:val="30"/>
                <w:szCs w:val="24"/>
                <w:lang w:val="en-US" w:eastAsia="zh-CN" w:bidi="ar-SA"/>
              </w:rPr>
              <w:id w:val="147468141"/>
              <w:placeholder>
                <w:docPart w:val="{7ed0d299-1fed-414f-8c9b-4dc4f616a8e3}"/>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imes New Roman"/>
                </w:rPr>
                <w:t>一、收</w:t>
              </w:r>
              <w:r>
                <w:rPr>
                  <w:rFonts w:hint="eastAsia" w:ascii="Times New Roman" w:hAnsi="Times New Roman" w:eastAsia="黑体" w:cstheme="majorBidi"/>
                </w:rPr>
                <w:t>入支出决算总体情况说明</w:t>
              </w:r>
            </w:sdtContent>
          </w:sdt>
          <w:r>
            <w:tab/>
          </w:r>
          <w:bookmarkStart w:id="12" w:name="_Toc9985_WPSOffice_Level2Page"/>
          <w:r>
            <w:t>1</w:t>
          </w:r>
          <w:bookmarkEnd w:id="12"/>
          <w:r>
            <w:fldChar w:fldCharType="end"/>
          </w:r>
        </w:p>
        <w:p w14:paraId="615D0B7F">
          <w:pPr>
            <w:pStyle w:val="36"/>
            <w:tabs>
              <w:tab w:val="right" w:leader="dot" w:pos="8441"/>
            </w:tabs>
          </w:pPr>
          <w:r>
            <w:fldChar w:fldCharType="begin"/>
          </w:r>
          <w:r>
            <w:instrText xml:space="preserve"> HYPERLINK \l _Toc31771_WPSOffice_Level2 </w:instrText>
          </w:r>
          <w:r>
            <w:fldChar w:fldCharType="separate"/>
          </w:r>
          <w:sdt>
            <w:sdtPr>
              <w:rPr>
                <w:rFonts w:ascii="仿宋_GB2312" w:hAnsi="Times New Roman" w:eastAsia="仿宋_GB2312" w:cs="Times New Roman"/>
                <w:kern w:val="0"/>
                <w:sz w:val="30"/>
                <w:szCs w:val="24"/>
                <w:lang w:val="en-US" w:eastAsia="zh-CN" w:bidi="ar-SA"/>
              </w:rPr>
              <w:id w:val="147462054"/>
              <w:placeholder>
                <w:docPart w:val="{330ffb9c-4264-4286-bdbf-6ccc0cebf942}"/>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imes New Roman"/>
                </w:rPr>
                <w:t>二、收入决算情况说明</w:t>
              </w:r>
            </w:sdtContent>
          </w:sdt>
          <w:r>
            <w:tab/>
          </w:r>
          <w:bookmarkStart w:id="13" w:name="_Toc31771_WPSOffice_Level2Page"/>
          <w:r>
            <w:t>2</w:t>
          </w:r>
          <w:bookmarkEnd w:id="13"/>
          <w:r>
            <w:fldChar w:fldCharType="end"/>
          </w:r>
        </w:p>
        <w:p w14:paraId="7C0EA98D">
          <w:pPr>
            <w:pStyle w:val="36"/>
            <w:tabs>
              <w:tab w:val="right" w:leader="dot" w:pos="8441"/>
            </w:tabs>
          </w:pPr>
          <w:r>
            <w:fldChar w:fldCharType="begin"/>
          </w:r>
          <w:r>
            <w:instrText xml:space="preserve"> HYPERLINK \l _Toc32252_WPSOffice_Level2 </w:instrText>
          </w:r>
          <w:r>
            <w:fldChar w:fldCharType="separate"/>
          </w:r>
          <w:sdt>
            <w:sdtPr>
              <w:rPr>
                <w:rFonts w:ascii="仿宋_GB2312" w:hAnsi="Times New Roman" w:eastAsia="仿宋_GB2312" w:cs="Times New Roman"/>
                <w:kern w:val="0"/>
                <w:sz w:val="30"/>
                <w:szCs w:val="24"/>
                <w:lang w:val="en-US" w:eastAsia="zh-CN" w:bidi="ar-SA"/>
              </w:rPr>
              <w:id w:val="147468387"/>
              <w:placeholder>
                <w:docPart w:val="{12ffbeb3-4083-403e-ac87-3e9a7c1aa1c7}"/>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imes New Roman"/>
                </w:rPr>
                <w:t>三、支</w:t>
              </w:r>
              <w:r>
                <w:rPr>
                  <w:rFonts w:hint="eastAsia" w:ascii="Times New Roman" w:hAnsi="Times New Roman" w:eastAsia="黑体" w:cstheme="majorBidi"/>
                </w:rPr>
                <w:t>出决算情况说明</w:t>
              </w:r>
            </w:sdtContent>
          </w:sdt>
          <w:r>
            <w:tab/>
          </w:r>
          <w:bookmarkStart w:id="14" w:name="_Toc32252_WPSOffice_Level2Page"/>
          <w:r>
            <w:t>3</w:t>
          </w:r>
          <w:bookmarkEnd w:id="14"/>
          <w:r>
            <w:fldChar w:fldCharType="end"/>
          </w:r>
        </w:p>
        <w:p w14:paraId="0D53E5D2">
          <w:pPr>
            <w:pStyle w:val="36"/>
            <w:tabs>
              <w:tab w:val="right" w:leader="dot" w:pos="8441"/>
            </w:tabs>
          </w:pPr>
          <w:r>
            <w:fldChar w:fldCharType="begin"/>
          </w:r>
          <w:r>
            <w:instrText xml:space="preserve"> HYPERLINK \l _Toc17528_WPSOffice_Level2 </w:instrText>
          </w:r>
          <w:r>
            <w:fldChar w:fldCharType="separate"/>
          </w:r>
          <w:sdt>
            <w:sdtPr>
              <w:rPr>
                <w:rFonts w:ascii="仿宋_GB2312" w:hAnsi="Times New Roman" w:eastAsia="仿宋_GB2312" w:cs="Times New Roman"/>
                <w:kern w:val="0"/>
                <w:sz w:val="30"/>
                <w:szCs w:val="24"/>
                <w:lang w:val="en-US" w:eastAsia="zh-CN" w:bidi="ar-SA"/>
              </w:rPr>
              <w:id w:val="147465982"/>
              <w:placeholder>
                <w:docPart w:val="{446a02da-4996-48ae-8e05-ad594b1a6f82}"/>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imes New Roman"/>
                </w:rPr>
                <w:t>四、财</w:t>
              </w:r>
              <w:r>
                <w:rPr>
                  <w:rFonts w:hint="eastAsia" w:ascii="Times New Roman" w:hAnsi="Times New Roman" w:eastAsia="黑体" w:cstheme="majorBidi"/>
                </w:rPr>
                <w:t>政拨款收入支出决算总体情况说明</w:t>
              </w:r>
            </w:sdtContent>
          </w:sdt>
          <w:r>
            <w:tab/>
          </w:r>
          <w:bookmarkStart w:id="15" w:name="_Toc17528_WPSOffice_Level2Page"/>
          <w:r>
            <w:t>4</w:t>
          </w:r>
          <w:bookmarkEnd w:id="15"/>
          <w:r>
            <w:fldChar w:fldCharType="end"/>
          </w:r>
        </w:p>
        <w:p w14:paraId="175756EE">
          <w:pPr>
            <w:pStyle w:val="36"/>
            <w:tabs>
              <w:tab w:val="right" w:leader="dot" w:pos="8441"/>
            </w:tabs>
          </w:pPr>
          <w:r>
            <w:fldChar w:fldCharType="begin"/>
          </w:r>
          <w:r>
            <w:instrText xml:space="preserve"> HYPERLINK \l _Toc23958_WPSOffice_Level2 </w:instrText>
          </w:r>
          <w:r>
            <w:fldChar w:fldCharType="separate"/>
          </w:r>
          <w:sdt>
            <w:sdtPr>
              <w:rPr>
                <w:rFonts w:ascii="仿宋_GB2312" w:hAnsi="Times New Roman" w:eastAsia="仿宋_GB2312" w:cs="Times New Roman"/>
                <w:kern w:val="0"/>
                <w:sz w:val="30"/>
                <w:szCs w:val="24"/>
                <w:lang w:val="en-US" w:eastAsia="zh-CN" w:bidi="ar-SA"/>
              </w:rPr>
              <w:id w:val="147464584"/>
              <w:placeholder>
                <w:docPart w:val="{53924a26-0761-4eea-96fe-7fc21b33e18c}"/>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imes New Roman"/>
                </w:rPr>
                <w:t>五、一</w:t>
              </w:r>
              <w:r>
                <w:rPr>
                  <w:rFonts w:hint="eastAsia" w:ascii="Times New Roman" w:hAnsi="Times New Roman" w:eastAsia="黑体" w:cstheme="majorBidi"/>
                </w:rPr>
                <w:t>般公共预算财政拨款支出决算情况说明</w:t>
              </w:r>
            </w:sdtContent>
          </w:sdt>
          <w:r>
            <w:tab/>
          </w:r>
          <w:bookmarkStart w:id="16" w:name="_Toc23958_WPSOffice_Level2Page"/>
          <w:r>
            <w:t>5</w:t>
          </w:r>
          <w:bookmarkEnd w:id="16"/>
          <w:r>
            <w:fldChar w:fldCharType="end"/>
          </w:r>
        </w:p>
        <w:p w14:paraId="6742A49F">
          <w:pPr>
            <w:pStyle w:val="37"/>
            <w:tabs>
              <w:tab w:val="right" w:leader="dot" w:pos="8441"/>
            </w:tabs>
          </w:pPr>
          <w:r>
            <w:fldChar w:fldCharType="begin"/>
          </w:r>
          <w:r>
            <w:instrText xml:space="preserve"> HYPERLINK \l _Toc8934_WPSOffice_Level3 </w:instrText>
          </w:r>
          <w:r>
            <w:fldChar w:fldCharType="separate"/>
          </w:r>
          <w:sdt>
            <w:sdtPr>
              <w:rPr>
                <w:rFonts w:ascii="仿宋_GB2312" w:hAnsi="Times New Roman" w:eastAsia="仿宋_GB2312" w:cs="Times New Roman"/>
                <w:kern w:val="0"/>
                <w:sz w:val="30"/>
                <w:szCs w:val="24"/>
                <w:lang w:val="en-US" w:eastAsia="zh-CN" w:bidi="ar-SA"/>
              </w:rPr>
              <w:id w:val="147453037"/>
              <w:placeholder>
                <w:docPart w:val="{014dd3e0-16ee-4aa3-bdd4-b5b6ad16e1b8}"/>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楷体_GB2312" w:cs="楷体_GB2312"/>
                </w:rPr>
                <w:t>（一）一般公共预算财政拨款支出决算总体情况</w:t>
              </w:r>
            </w:sdtContent>
          </w:sdt>
          <w:r>
            <w:tab/>
          </w:r>
          <w:bookmarkStart w:id="17" w:name="_Toc8934_WPSOffice_Level3Page"/>
          <w:r>
            <w:t>5</w:t>
          </w:r>
          <w:bookmarkEnd w:id="17"/>
          <w:r>
            <w:fldChar w:fldCharType="end"/>
          </w:r>
        </w:p>
        <w:p w14:paraId="155FDD61">
          <w:pPr>
            <w:pStyle w:val="37"/>
            <w:tabs>
              <w:tab w:val="right" w:leader="dot" w:pos="8441"/>
            </w:tabs>
          </w:pPr>
          <w:r>
            <w:fldChar w:fldCharType="begin"/>
          </w:r>
          <w:r>
            <w:instrText xml:space="preserve"> HYPERLINK \l _Toc9985_WPSOffice_Level3 </w:instrText>
          </w:r>
          <w:r>
            <w:fldChar w:fldCharType="separate"/>
          </w:r>
          <w:sdt>
            <w:sdtPr>
              <w:rPr>
                <w:rFonts w:ascii="仿宋_GB2312" w:hAnsi="Times New Roman" w:eastAsia="仿宋_GB2312" w:cs="Times New Roman"/>
                <w:kern w:val="0"/>
                <w:sz w:val="30"/>
                <w:szCs w:val="24"/>
                <w:lang w:val="en-US" w:eastAsia="zh-CN" w:bidi="ar-SA"/>
              </w:rPr>
              <w:id w:val="147479432"/>
              <w:placeholder>
                <w:docPart w:val="{50664a80-27b9-416a-9578-aca0be5d83e9}"/>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楷体_GB2312" w:cs="楷体_GB2312"/>
                </w:rPr>
                <w:t>（二）一般公共预算财政拨款支出决算结构情况</w:t>
              </w:r>
            </w:sdtContent>
          </w:sdt>
          <w:r>
            <w:tab/>
          </w:r>
          <w:bookmarkStart w:id="18" w:name="_Toc9985_WPSOffice_Level3Page"/>
          <w:r>
            <w:t>5</w:t>
          </w:r>
          <w:bookmarkEnd w:id="18"/>
          <w:r>
            <w:fldChar w:fldCharType="end"/>
          </w:r>
        </w:p>
        <w:p w14:paraId="2EEEAC29">
          <w:pPr>
            <w:pStyle w:val="37"/>
            <w:tabs>
              <w:tab w:val="right" w:leader="dot" w:pos="8441"/>
            </w:tabs>
          </w:pPr>
          <w:r>
            <w:fldChar w:fldCharType="begin"/>
          </w:r>
          <w:r>
            <w:instrText xml:space="preserve"> HYPERLINK \l _Toc31771_WPSOffice_Level3 </w:instrText>
          </w:r>
          <w:r>
            <w:fldChar w:fldCharType="separate"/>
          </w:r>
          <w:sdt>
            <w:sdtPr>
              <w:rPr>
                <w:rFonts w:ascii="仿宋_GB2312" w:hAnsi="Times New Roman" w:eastAsia="仿宋_GB2312" w:cs="Times New Roman"/>
                <w:kern w:val="0"/>
                <w:sz w:val="30"/>
                <w:szCs w:val="24"/>
                <w:lang w:val="en-US" w:eastAsia="zh-CN" w:bidi="ar-SA"/>
              </w:rPr>
              <w:id w:val="147476708"/>
              <w:placeholder>
                <w:docPart w:val="{5c82a13a-9c7a-417e-945e-82e87ff8a951}"/>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楷体_GB2312" w:cs="楷体_GB2312"/>
                </w:rPr>
                <w:t>（三）一般公共预算财政拨款支出决算具体情况</w:t>
              </w:r>
            </w:sdtContent>
          </w:sdt>
          <w:r>
            <w:tab/>
          </w:r>
          <w:bookmarkStart w:id="19" w:name="_Toc31771_WPSOffice_Level3Page"/>
          <w:r>
            <w:t>6</w:t>
          </w:r>
          <w:bookmarkEnd w:id="19"/>
          <w:r>
            <w:fldChar w:fldCharType="end"/>
          </w:r>
        </w:p>
        <w:p w14:paraId="414D06D9">
          <w:pPr>
            <w:pStyle w:val="36"/>
            <w:tabs>
              <w:tab w:val="right" w:leader="dot" w:pos="8441"/>
            </w:tabs>
          </w:pPr>
          <w:r>
            <w:fldChar w:fldCharType="begin"/>
          </w:r>
          <w:r>
            <w:instrText xml:space="preserve"> HYPERLINK \l _Toc6585_WPSOffice_Level2 </w:instrText>
          </w:r>
          <w:r>
            <w:fldChar w:fldCharType="separate"/>
          </w:r>
          <w:sdt>
            <w:sdtPr>
              <w:rPr>
                <w:rFonts w:ascii="仿宋_GB2312" w:hAnsi="Times New Roman" w:eastAsia="仿宋_GB2312" w:cs="Times New Roman"/>
                <w:kern w:val="0"/>
                <w:sz w:val="30"/>
                <w:szCs w:val="24"/>
                <w:lang w:val="en-US" w:eastAsia="zh-CN" w:bidi="ar-SA"/>
              </w:rPr>
              <w:id w:val="147477141"/>
              <w:placeholder>
                <w:docPart w:val="{1b8d0d26-b765-4541-9f84-03175900a852}"/>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imes New Roman"/>
                </w:rPr>
                <w:t>六、一</w:t>
              </w:r>
              <w:r>
                <w:rPr>
                  <w:rFonts w:hint="eastAsia" w:ascii="Times New Roman" w:hAnsi="Times New Roman" w:eastAsia="黑体" w:cstheme="majorBidi"/>
                </w:rPr>
                <w:t>般公共预算财政拨款基本支出决算情况说明</w:t>
              </w:r>
            </w:sdtContent>
          </w:sdt>
          <w:r>
            <w:tab/>
          </w:r>
          <w:bookmarkStart w:id="20" w:name="_Toc6585_WPSOffice_Level2Page"/>
          <w:r>
            <w:t>7</w:t>
          </w:r>
          <w:bookmarkEnd w:id="20"/>
          <w:r>
            <w:fldChar w:fldCharType="end"/>
          </w:r>
        </w:p>
        <w:p w14:paraId="26E279E1">
          <w:pPr>
            <w:pStyle w:val="36"/>
            <w:tabs>
              <w:tab w:val="right" w:leader="dot" w:pos="8441"/>
            </w:tabs>
          </w:pPr>
          <w:r>
            <w:fldChar w:fldCharType="begin"/>
          </w:r>
          <w:r>
            <w:instrText xml:space="preserve"> HYPERLINK \l _Toc10062_WPSOffice_Level2 </w:instrText>
          </w:r>
          <w:r>
            <w:fldChar w:fldCharType="separate"/>
          </w:r>
          <w:sdt>
            <w:sdtPr>
              <w:rPr>
                <w:rFonts w:ascii="仿宋_GB2312" w:hAnsi="Times New Roman" w:eastAsia="仿宋_GB2312" w:cs="Times New Roman"/>
                <w:kern w:val="0"/>
                <w:sz w:val="30"/>
                <w:szCs w:val="24"/>
                <w:lang w:val="en-US" w:eastAsia="zh-CN" w:bidi="ar-SA"/>
              </w:rPr>
              <w:id w:val="147473091"/>
              <w:placeholder>
                <w:docPart w:val="{dbfc9b30-ed0e-447b-9561-1b274393535e}"/>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imes New Roman"/>
                </w:rPr>
                <w:t>七、</w:t>
              </w:r>
              <w:r>
                <w:rPr>
                  <w:rFonts w:hint="eastAsia" w:ascii="Times New Roman" w:hAnsi="Times New Roman" w:eastAsia="黑体" w:cstheme="majorBidi"/>
                </w:rPr>
                <w:t>财政拨款“三公”经费支出决算情况说明</w:t>
              </w:r>
            </w:sdtContent>
          </w:sdt>
          <w:r>
            <w:tab/>
          </w:r>
          <w:bookmarkStart w:id="21" w:name="_Toc10062_WPSOffice_Level2Page"/>
          <w:r>
            <w:t>8</w:t>
          </w:r>
          <w:bookmarkEnd w:id="21"/>
          <w:r>
            <w:fldChar w:fldCharType="end"/>
          </w:r>
        </w:p>
        <w:p w14:paraId="154A4642">
          <w:pPr>
            <w:pStyle w:val="37"/>
            <w:tabs>
              <w:tab w:val="right" w:leader="dot" w:pos="8441"/>
            </w:tabs>
          </w:pPr>
          <w:r>
            <w:fldChar w:fldCharType="begin"/>
          </w:r>
          <w:r>
            <w:instrText xml:space="preserve"> HYPERLINK \l _Toc32252_WPSOffice_Level3 </w:instrText>
          </w:r>
          <w:r>
            <w:fldChar w:fldCharType="separate"/>
          </w:r>
          <w:sdt>
            <w:sdtPr>
              <w:rPr>
                <w:rFonts w:ascii="仿宋_GB2312" w:hAnsi="Times New Roman" w:eastAsia="仿宋_GB2312" w:cs="Times New Roman"/>
                <w:kern w:val="0"/>
                <w:sz w:val="30"/>
                <w:szCs w:val="24"/>
                <w:lang w:val="en-US" w:eastAsia="zh-CN" w:bidi="ar-SA"/>
              </w:rPr>
              <w:id w:val="147456713"/>
              <w:placeholder>
                <w:docPart w:val="{23a2ed56-2092-40f7-bfc2-840158f55298}"/>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楷体_GB2312" w:cs="楷体_GB2312"/>
                </w:rPr>
                <w:t>（一）“三公”经费财政拨款支出决算总体情况说明</w:t>
              </w:r>
            </w:sdtContent>
          </w:sdt>
          <w:r>
            <w:tab/>
          </w:r>
          <w:bookmarkStart w:id="22" w:name="_Toc32252_WPSOffice_Level3Page"/>
          <w:r>
            <w:t>8</w:t>
          </w:r>
          <w:bookmarkEnd w:id="22"/>
          <w:r>
            <w:fldChar w:fldCharType="end"/>
          </w:r>
        </w:p>
        <w:p w14:paraId="18773986">
          <w:pPr>
            <w:pStyle w:val="37"/>
            <w:tabs>
              <w:tab w:val="right" w:leader="dot" w:pos="8441"/>
            </w:tabs>
          </w:pPr>
          <w:r>
            <w:fldChar w:fldCharType="begin"/>
          </w:r>
          <w:r>
            <w:instrText xml:space="preserve"> HYPERLINK \l _Toc17528_WPSOffice_Level3 </w:instrText>
          </w:r>
          <w:r>
            <w:fldChar w:fldCharType="separate"/>
          </w:r>
          <w:sdt>
            <w:sdtPr>
              <w:rPr>
                <w:rFonts w:ascii="仿宋_GB2312" w:hAnsi="Times New Roman" w:eastAsia="仿宋_GB2312" w:cs="Times New Roman"/>
                <w:kern w:val="0"/>
                <w:sz w:val="30"/>
                <w:szCs w:val="24"/>
                <w:lang w:val="en-US" w:eastAsia="zh-CN" w:bidi="ar-SA"/>
              </w:rPr>
              <w:id w:val="147456022"/>
              <w:placeholder>
                <w:docPart w:val="{af95a6ab-73ab-4b9b-9a38-12c9994d6192}"/>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楷体_GB2312" w:cs="楷体_GB2312"/>
                </w:rPr>
                <w:t>（二）“三公”经费财政拨款支出决算具体情况说明</w:t>
              </w:r>
            </w:sdtContent>
          </w:sdt>
          <w:r>
            <w:tab/>
          </w:r>
          <w:bookmarkStart w:id="23" w:name="_Toc17528_WPSOffice_Level3Page"/>
          <w:r>
            <w:t>8</w:t>
          </w:r>
          <w:bookmarkEnd w:id="23"/>
          <w:r>
            <w:fldChar w:fldCharType="end"/>
          </w:r>
        </w:p>
        <w:p w14:paraId="2BDA878D">
          <w:pPr>
            <w:pStyle w:val="36"/>
            <w:tabs>
              <w:tab w:val="right" w:leader="dot" w:pos="8441"/>
            </w:tabs>
          </w:pPr>
          <w:r>
            <w:fldChar w:fldCharType="begin"/>
          </w:r>
          <w:r>
            <w:instrText xml:space="preserve"> HYPERLINK \l _Toc28483_WPSOffice_Level2 </w:instrText>
          </w:r>
          <w:r>
            <w:fldChar w:fldCharType="separate"/>
          </w:r>
          <w:sdt>
            <w:sdtPr>
              <w:rPr>
                <w:rFonts w:ascii="仿宋_GB2312" w:hAnsi="Times New Roman" w:eastAsia="仿宋_GB2312" w:cs="Times New Roman"/>
                <w:kern w:val="0"/>
                <w:sz w:val="30"/>
                <w:szCs w:val="24"/>
                <w:lang w:val="en-US" w:eastAsia="zh-CN" w:bidi="ar-SA"/>
              </w:rPr>
              <w:id w:val="147473123"/>
              <w:placeholder>
                <w:docPart w:val="{2c6922db-bb22-4d66-8149-07b9e2c87ad4}"/>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imes New Roman"/>
                </w:rPr>
                <w:t>八、</w:t>
              </w:r>
              <w:r>
                <w:rPr>
                  <w:rFonts w:hint="eastAsia" w:ascii="Times New Roman" w:hAnsi="Times New Roman" w:eastAsia="黑体" w:cstheme="majorBidi"/>
                </w:rPr>
                <w:t>政府性基金预算支出决算情况说明</w:t>
              </w:r>
            </w:sdtContent>
          </w:sdt>
          <w:r>
            <w:tab/>
          </w:r>
          <w:bookmarkStart w:id="24" w:name="_Toc28483_WPSOffice_Level2Page"/>
          <w:r>
            <w:t>9</w:t>
          </w:r>
          <w:bookmarkEnd w:id="24"/>
          <w:r>
            <w:fldChar w:fldCharType="end"/>
          </w:r>
        </w:p>
        <w:p w14:paraId="50428E81">
          <w:pPr>
            <w:pStyle w:val="36"/>
            <w:tabs>
              <w:tab w:val="right" w:leader="dot" w:pos="8441"/>
            </w:tabs>
          </w:pPr>
          <w:r>
            <w:fldChar w:fldCharType="begin"/>
          </w:r>
          <w:r>
            <w:instrText xml:space="preserve"> HYPERLINK \l _Toc24883_WPSOffice_Level2 </w:instrText>
          </w:r>
          <w:r>
            <w:fldChar w:fldCharType="separate"/>
          </w:r>
          <w:sdt>
            <w:sdtPr>
              <w:rPr>
                <w:rFonts w:ascii="仿宋_GB2312" w:hAnsi="Times New Roman" w:eastAsia="仿宋_GB2312" w:cs="Times New Roman"/>
                <w:kern w:val="0"/>
                <w:sz w:val="30"/>
                <w:szCs w:val="24"/>
                <w:lang w:val="en-US" w:eastAsia="zh-CN" w:bidi="ar-SA"/>
              </w:rPr>
              <w:id w:val="147468782"/>
              <w:placeholder>
                <w:docPart w:val="{66896013-2606-4d21-8798-458ccc267d01}"/>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heme="majorBidi"/>
                </w:rPr>
                <w:t>九、国有资本经营预算支出决算情况说明</w:t>
              </w:r>
            </w:sdtContent>
          </w:sdt>
          <w:r>
            <w:tab/>
          </w:r>
          <w:bookmarkStart w:id="25" w:name="_Toc24883_WPSOffice_Level2Page"/>
          <w:r>
            <w:t>9</w:t>
          </w:r>
          <w:bookmarkEnd w:id="25"/>
          <w:r>
            <w:fldChar w:fldCharType="end"/>
          </w:r>
        </w:p>
        <w:p w14:paraId="1B9C9B27">
          <w:pPr>
            <w:pStyle w:val="36"/>
            <w:tabs>
              <w:tab w:val="right" w:leader="dot" w:pos="8441"/>
            </w:tabs>
          </w:pPr>
          <w:r>
            <w:fldChar w:fldCharType="begin"/>
          </w:r>
          <w:r>
            <w:instrText xml:space="preserve"> HYPERLINK \l _Toc6700_WPSOffice_Level2 </w:instrText>
          </w:r>
          <w:r>
            <w:fldChar w:fldCharType="separate"/>
          </w:r>
          <w:sdt>
            <w:sdtPr>
              <w:rPr>
                <w:rFonts w:ascii="仿宋_GB2312" w:hAnsi="Times New Roman" w:eastAsia="仿宋_GB2312" w:cs="Times New Roman"/>
                <w:kern w:val="0"/>
                <w:sz w:val="30"/>
                <w:szCs w:val="24"/>
                <w:lang w:val="en-US" w:eastAsia="zh-CN" w:bidi="ar-SA"/>
              </w:rPr>
              <w:id w:val="147474374"/>
              <w:placeholder>
                <w:docPart w:val="{d63172d7-c810-49a1-b3c5-376e0eb31d3e}"/>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heme="majorBidi"/>
                </w:rPr>
                <w:t>十、其他重要事项的情况说明</w:t>
              </w:r>
            </w:sdtContent>
          </w:sdt>
          <w:r>
            <w:tab/>
          </w:r>
          <w:bookmarkStart w:id="26" w:name="_Toc6700_WPSOffice_Level2Page"/>
          <w:r>
            <w:t>9</w:t>
          </w:r>
          <w:bookmarkEnd w:id="26"/>
          <w:r>
            <w:fldChar w:fldCharType="end"/>
          </w:r>
        </w:p>
        <w:p w14:paraId="41262FC8">
          <w:pPr>
            <w:pStyle w:val="37"/>
            <w:tabs>
              <w:tab w:val="right" w:leader="dot" w:pos="8441"/>
            </w:tabs>
          </w:pPr>
          <w:r>
            <w:fldChar w:fldCharType="begin"/>
          </w:r>
          <w:r>
            <w:instrText xml:space="preserve"> HYPERLINK \l _Toc23958_WPSOffice_Level3 </w:instrText>
          </w:r>
          <w:r>
            <w:fldChar w:fldCharType="separate"/>
          </w:r>
          <w:sdt>
            <w:sdtPr>
              <w:rPr>
                <w:rFonts w:ascii="仿宋_GB2312" w:hAnsi="Times New Roman" w:eastAsia="仿宋_GB2312" w:cs="Times New Roman"/>
                <w:kern w:val="0"/>
                <w:sz w:val="30"/>
                <w:szCs w:val="24"/>
                <w:lang w:val="en-US" w:eastAsia="zh-CN" w:bidi="ar-SA"/>
              </w:rPr>
              <w:id w:val="147456353"/>
              <w:placeholder>
                <w:docPart w:val="{0fb72337-5cec-45b5-acdd-fc2875d78e79}"/>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楷体_GB2312" w:cs="楷体_GB2312"/>
                </w:rPr>
                <w:t>（一）机关运行经费支出情况</w:t>
              </w:r>
            </w:sdtContent>
          </w:sdt>
          <w:r>
            <w:tab/>
          </w:r>
          <w:bookmarkStart w:id="27" w:name="_Toc23958_WPSOffice_Level3Page"/>
          <w:r>
            <w:t>9</w:t>
          </w:r>
          <w:bookmarkEnd w:id="27"/>
          <w:r>
            <w:fldChar w:fldCharType="end"/>
          </w:r>
        </w:p>
        <w:p w14:paraId="3ECF3341">
          <w:pPr>
            <w:pStyle w:val="37"/>
            <w:tabs>
              <w:tab w:val="right" w:leader="dot" w:pos="8441"/>
            </w:tabs>
          </w:pPr>
          <w:r>
            <w:fldChar w:fldCharType="begin"/>
          </w:r>
          <w:r>
            <w:instrText xml:space="preserve"> HYPERLINK \l _Toc6585_WPSOffice_Level3 </w:instrText>
          </w:r>
          <w:r>
            <w:fldChar w:fldCharType="separate"/>
          </w:r>
          <w:sdt>
            <w:sdtPr>
              <w:rPr>
                <w:rFonts w:ascii="仿宋_GB2312" w:hAnsi="Times New Roman" w:eastAsia="仿宋_GB2312" w:cs="Times New Roman"/>
                <w:kern w:val="0"/>
                <w:sz w:val="30"/>
                <w:szCs w:val="24"/>
                <w:lang w:val="en-US" w:eastAsia="zh-CN" w:bidi="ar-SA"/>
              </w:rPr>
              <w:id w:val="147470072"/>
              <w:placeholder>
                <w:docPart w:val="{22e10027-4f47-4503-a443-4bf594dc7499}"/>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楷体_GB2312" w:cs="楷体_GB2312"/>
                </w:rPr>
                <w:t>（二）政府采购支出情况</w:t>
              </w:r>
            </w:sdtContent>
          </w:sdt>
          <w:r>
            <w:tab/>
          </w:r>
          <w:bookmarkStart w:id="28" w:name="_Toc6585_WPSOffice_Level3Page"/>
          <w:r>
            <w:t>9</w:t>
          </w:r>
          <w:bookmarkEnd w:id="28"/>
          <w:r>
            <w:fldChar w:fldCharType="end"/>
          </w:r>
        </w:p>
        <w:p w14:paraId="0EA15110">
          <w:pPr>
            <w:pStyle w:val="37"/>
            <w:tabs>
              <w:tab w:val="right" w:leader="dot" w:pos="8441"/>
            </w:tabs>
          </w:pPr>
          <w:r>
            <w:fldChar w:fldCharType="begin"/>
          </w:r>
          <w:r>
            <w:instrText xml:space="preserve"> HYPERLINK \l _Toc10062_WPSOffice_Level3 </w:instrText>
          </w:r>
          <w:r>
            <w:fldChar w:fldCharType="separate"/>
          </w:r>
          <w:sdt>
            <w:sdtPr>
              <w:rPr>
                <w:rFonts w:ascii="仿宋_GB2312" w:hAnsi="Times New Roman" w:eastAsia="仿宋_GB2312" w:cs="Times New Roman"/>
                <w:kern w:val="0"/>
                <w:sz w:val="30"/>
                <w:szCs w:val="24"/>
                <w:lang w:val="en-US" w:eastAsia="zh-CN" w:bidi="ar-SA"/>
              </w:rPr>
              <w:id w:val="147469196"/>
              <w:placeholder>
                <w:docPart w:val="{a55db174-6b10-4719-846f-b8a04cbaafa4}"/>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楷体_GB2312" w:cs="楷体_GB2312"/>
                </w:rPr>
                <w:t>（三）国有资产占有使用情况</w:t>
              </w:r>
            </w:sdtContent>
          </w:sdt>
          <w:r>
            <w:tab/>
          </w:r>
          <w:bookmarkStart w:id="29" w:name="_Toc10062_WPSOffice_Level3Page"/>
          <w:r>
            <w:t>10</w:t>
          </w:r>
          <w:bookmarkEnd w:id="29"/>
          <w:r>
            <w:fldChar w:fldCharType="end"/>
          </w:r>
        </w:p>
        <w:p w14:paraId="0619056E">
          <w:pPr>
            <w:pStyle w:val="37"/>
            <w:tabs>
              <w:tab w:val="right" w:leader="dot" w:pos="8441"/>
            </w:tabs>
          </w:pPr>
          <w:r>
            <w:fldChar w:fldCharType="begin"/>
          </w:r>
          <w:r>
            <w:instrText xml:space="preserve"> HYPERLINK \l _Toc28483_WPSOffice_Level3 </w:instrText>
          </w:r>
          <w:r>
            <w:fldChar w:fldCharType="separate"/>
          </w:r>
          <w:sdt>
            <w:sdtPr>
              <w:rPr>
                <w:rFonts w:ascii="仿宋_GB2312" w:hAnsi="Times New Roman" w:eastAsia="仿宋_GB2312" w:cs="Times New Roman"/>
                <w:kern w:val="0"/>
                <w:sz w:val="30"/>
                <w:szCs w:val="24"/>
                <w:lang w:val="en-US" w:eastAsia="zh-CN" w:bidi="ar-SA"/>
              </w:rPr>
              <w:id w:val="147478551"/>
              <w:placeholder>
                <w:docPart w:val="{d9f87c92-916c-49a4-b199-31b3bea5f48a}"/>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楷体_GB2312" w:cs="楷体_GB2312"/>
                </w:rPr>
                <w:t>（四）预算绩效管理情况</w:t>
              </w:r>
            </w:sdtContent>
          </w:sdt>
          <w:r>
            <w:tab/>
          </w:r>
          <w:bookmarkStart w:id="30" w:name="_Toc28483_WPSOffice_Level3Page"/>
          <w:r>
            <w:t>10</w:t>
          </w:r>
          <w:bookmarkEnd w:id="30"/>
          <w:r>
            <w:fldChar w:fldCharType="end"/>
          </w:r>
        </w:p>
        <w:p w14:paraId="052DC823">
          <w:pPr>
            <w:pStyle w:val="35"/>
            <w:tabs>
              <w:tab w:val="right" w:leader="dot" w:pos="8441"/>
            </w:tabs>
          </w:pPr>
          <w:r>
            <w:fldChar w:fldCharType="begin"/>
          </w:r>
          <w:r>
            <w:instrText xml:space="preserve"> HYPERLINK \l _Toc8934_WPSOffice_Level1 </w:instrText>
          </w:r>
          <w:r>
            <w:fldChar w:fldCharType="separate"/>
          </w:r>
          <w:sdt>
            <w:sdtPr>
              <w:rPr>
                <w:rFonts w:ascii="仿宋_GB2312" w:hAnsi="Times New Roman" w:eastAsia="仿宋_GB2312" w:cs="Times New Roman"/>
                <w:kern w:val="0"/>
                <w:sz w:val="30"/>
                <w:szCs w:val="24"/>
                <w:lang w:val="en-US" w:eastAsia="zh-CN" w:bidi="ar-SA"/>
              </w:rPr>
              <w:id w:val="147457203"/>
              <w:placeholder>
                <w:docPart w:val="{fc8ed43e-018a-4768-b7f1-e0758d68ab3f}"/>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imes New Roman"/>
                </w:rPr>
                <w:t>第三部分  名词解释</w:t>
              </w:r>
            </w:sdtContent>
          </w:sdt>
          <w:r>
            <w:tab/>
          </w:r>
          <w:bookmarkStart w:id="31" w:name="_Toc8934_WPSOffice_Level1Page"/>
          <w:r>
            <w:t>10</w:t>
          </w:r>
          <w:bookmarkEnd w:id="31"/>
          <w:r>
            <w:fldChar w:fldCharType="end"/>
          </w:r>
        </w:p>
        <w:p w14:paraId="62ABE114">
          <w:pPr>
            <w:pStyle w:val="35"/>
            <w:tabs>
              <w:tab w:val="right" w:leader="dot" w:pos="8441"/>
            </w:tabs>
          </w:pPr>
          <w:r>
            <w:fldChar w:fldCharType="begin"/>
          </w:r>
          <w:r>
            <w:instrText xml:space="preserve"> HYPERLINK \l _Toc9985_WPSOffice_Level1 </w:instrText>
          </w:r>
          <w:r>
            <w:fldChar w:fldCharType="separate"/>
          </w:r>
          <w:sdt>
            <w:sdtPr>
              <w:rPr>
                <w:rFonts w:ascii="仿宋_GB2312" w:hAnsi="Times New Roman" w:eastAsia="仿宋_GB2312" w:cs="Times New Roman"/>
                <w:kern w:val="0"/>
                <w:sz w:val="30"/>
                <w:szCs w:val="24"/>
                <w:lang w:val="en-US" w:eastAsia="zh-CN" w:bidi="ar-SA"/>
              </w:rPr>
              <w:id w:val="147469566"/>
              <w:placeholder>
                <w:docPart w:val="{0c3b5537-2bed-4111-9663-eefda64efa31}"/>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imes New Roman"/>
                </w:rPr>
                <w:t>第四部分  附件</w:t>
              </w:r>
            </w:sdtContent>
          </w:sdt>
          <w:r>
            <w:tab/>
          </w:r>
          <w:bookmarkStart w:id="32" w:name="_Toc9985_WPSOffice_Level1Page"/>
          <w:r>
            <w:t>13</w:t>
          </w:r>
          <w:bookmarkEnd w:id="32"/>
          <w:r>
            <w:fldChar w:fldCharType="end"/>
          </w:r>
        </w:p>
        <w:p w14:paraId="7A4DB90D">
          <w:pPr>
            <w:pStyle w:val="35"/>
            <w:tabs>
              <w:tab w:val="right" w:leader="dot" w:pos="8441"/>
            </w:tabs>
          </w:pPr>
          <w:r>
            <w:fldChar w:fldCharType="begin"/>
          </w:r>
          <w:r>
            <w:instrText xml:space="preserve"> HYPERLINK \l _Toc31771_WPSOffice_Level1 </w:instrText>
          </w:r>
          <w:r>
            <w:fldChar w:fldCharType="separate"/>
          </w:r>
          <w:sdt>
            <w:sdtPr>
              <w:rPr>
                <w:rFonts w:ascii="仿宋_GB2312" w:hAnsi="Times New Roman" w:eastAsia="仿宋_GB2312" w:cs="Times New Roman"/>
                <w:kern w:val="0"/>
                <w:sz w:val="30"/>
                <w:szCs w:val="24"/>
                <w:lang w:val="en-US" w:eastAsia="zh-CN" w:bidi="ar-SA"/>
              </w:rPr>
              <w:id w:val="147469135"/>
              <w:placeholder>
                <w:docPart w:val="{1616d962-5f78-4447-a0cf-c22561641483}"/>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黑体" w:cs="Times New Roman"/>
                </w:rPr>
                <w:t>第五部分 附表</w:t>
              </w:r>
            </w:sdtContent>
          </w:sdt>
          <w:r>
            <w:tab/>
          </w:r>
          <w:bookmarkStart w:id="33" w:name="_Toc31771_WPSOffice_Level1Page"/>
          <w:r>
            <w:t>13</w:t>
          </w:r>
          <w:bookmarkEnd w:id="33"/>
          <w:r>
            <w:fldChar w:fldCharType="end"/>
          </w:r>
        </w:p>
        <w:p w14:paraId="7CFC1838">
          <w:pPr>
            <w:pStyle w:val="36"/>
            <w:tabs>
              <w:tab w:val="right" w:leader="dot" w:pos="8441"/>
            </w:tabs>
          </w:pPr>
          <w:r>
            <w:fldChar w:fldCharType="begin"/>
          </w:r>
          <w:r>
            <w:instrText xml:space="preserve"> HYPERLINK \l _Toc15959_WPSOffice_Level2 </w:instrText>
          </w:r>
          <w:r>
            <w:fldChar w:fldCharType="separate"/>
          </w:r>
          <w:sdt>
            <w:sdtPr>
              <w:rPr>
                <w:rFonts w:ascii="仿宋_GB2312" w:hAnsi="Times New Roman" w:eastAsia="仿宋_GB2312" w:cs="Times New Roman"/>
                <w:kern w:val="0"/>
                <w:sz w:val="30"/>
                <w:szCs w:val="24"/>
                <w:lang w:val="en-US" w:eastAsia="zh-CN" w:bidi="ar-SA"/>
              </w:rPr>
              <w:id w:val="147469842"/>
              <w:placeholder>
                <w:docPart w:val="{8fb002f0-5eb4-4357-a677-64275d251e1d}"/>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仿宋_GB2312" w:cs="仿宋_GB2312"/>
                </w:rPr>
                <w:t>一、收入支出决算总表</w:t>
              </w:r>
            </w:sdtContent>
          </w:sdt>
          <w:r>
            <w:tab/>
          </w:r>
          <w:bookmarkStart w:id="34" w:name="_Toc15959_WPSOffice_Level2Page"/>
          <w:r>
            <w:t>13</w:t>
          </w:r>
          <w:bookmarkEnd w:id="34"/>
          <w:r>
            <w:fldChar w:fldCharType="end"/>
          </w:r>
        </w:p>
        <w:p w14:paraId="6E097955">
          <w:pPr>
            <w:pStyle w:val="36"/>
            <w:tabs>
              <w:tab w:val="right" w:leader="dot" w:pos="8441"/>
            </w:tabs>
          </w:pPr>
          <w:r>
            <w:fldChar w:fldCharType="begin"/>
          </w:r>
          <w:r>
            <w:instrText xml:space="preserve"> HYPERLINK \l _Toc12864_WPSOffice_Level2 </w:instrText>
          </w:r>
          <w:r>
            <w:fldChar w:fldCharType="separate"/>
          </w:r>
          <w:sdt>
            <w:sdtPr>
              <w:rPr>
                <w:rFonts w:ascii="仿宋_GB2312" w:hAnsi="Times New Roman" w:eastAsia="仿宋_GB2312" w:cs="Times New Roman"/>
                <w:kern w:val="0"/>
                <w:sz w:val="30"/>
                <w:szCs w:val="24"/>
                <w:lang w:val="en-US" w:eastAsia="zh-CN" w:bidi="ar-SA"/>
              </w:rPr>
              <w:id w:val="147452594"/>
              <w:placeholder>
                <w:docPart w:val="{53b2ed6b-6af8-4852-9c2a-05ca47bf95c7}"/>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仿宋_GB2312" w:cs="仿宋_GB2312"/>
                </w:rPr>
                <w:t>二、收入决算表</w:t>
              </w:r>
            </w:sdtContent>
          </w:sdt>
          <w:r>
            <w:tab/>
          </w:r>
          <w:bookmarkStart w:id="35" w:name="_Toc12864_WPSOffice_Level2Page"/>
          <w:r>
            <w:t>13</w:t>
          </w:r>
          <w:bookmarkEnd w:id="35"/>
          <w:r>
            <w:fldChar w:fldCharType="end"/>
          </w:r>
        </w:p>
        <w:p w14:paraId="1570A5E2">
          <w:pPr>
            <w:pStyle w:val="36"/>
            <w:tabs>
              <w:tab w:val="right" w:leader="dot" w:pos="8441"/>
            </w:tabs>
          </w:pPr>
          <w:r>
            <w:fldChar w:fldCharType="begin"/>
          </w:r>
          <w:r>
            <w:instrText xml:space="preserve"> HYPERLINK \l _Toc3130_WPSOffice_Level2 </w:instrText>
          </w:r>
          <w:r>
            <w:fldChar w:fldCharType="separate"/>
          </w:r>
          <w:sdt>
            <w:sdtPr>
              <w:rPr>
                <w:rFonts w:ascii="仿宋_GB2312" w:hAnsi="Times New Roman" w:eastAsia="仿宋_GB2312" w:cs="Times New Roman"/>
                <w:kern w:val="0"/>
                <w:sz w:val="30"/>
                <w:szCs w:val="24"/>
                <w:lang w:val="en-US" w:eastAsia="zh-CN" w:bidi="ar-SA"/>
              </w:rPr>
              <w:id w:val="147452909"/>
              <w:placeholder>
                <w:docPart w:val="{8075e3d6-cebe-4443-92ee-6efdad233b77}"/>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仿宋_GB2312" w:cs="仿宋_GB2312"/>
                </w:rPr>
                <w:t>三、支出决算表</w:t>
              </w:r>
            </w:sdtContent>
          </w:sdt>
          <w:r>
            <w:tab/>
          </w:r>
          <w:bookmarkStart w:id="36" w:name="_Toc3130_WPSOffice_Level2Page"/>
          <w:r>
            <w:t>13</w:t>
          </w:r>
          <w:bookmarkEnd w:id="36"/>
          <w:r>
            <w:fldChar w:fldCharType="end"/>
          </w:r>
        </w:p>
        <w:p w14:paraId="3306225F">
          <w:pPr>
            <w:pStyle w:val="36"/>
            <w:tabs>
              <w:tab w:val="right" w:leader="dot" w:pos="8441"/>
            </w:tabs>
          </w:pPr>
          <w:r>
            <w:fldChar w:fldCharType="begin"/>
          </w:r>
          <w:r>
            <w:instrText xml:space="preserve"> HYPERLINK \l _Toc6236_WPSOffice_Level2 </w:instrText>
          </w:r>
          <w:r>
            <w:fldChar w:fldCharType="separate"/>
          </w:r>
          <w:sdt>
            <w:sdtPr>
              <w:rPr>
                <w:rFonts w:ascii="仿宋_GB2312" w:hAnsi="Times New Roman" w:eastAsia="仿宋_GB2312" w:cs="Times New Roman"/>
                <w:kern w:val="0"/>
                <w:sz w:val="30"/>
                <w:szCs w:val="24"/>
                <w:lang w:val="en-US" w:eastAsia="zh-CN" w:bidi="ar-SA"/>
              </w:rPr>
              <w:id w:val="147454331"/>
              <w:placeholder>
                <w:docPart w:val="{459a7980-b918-45fd-bafe-0750c49838ec}"/>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仿宋_GB2312" w:cs="仿宋_GB2312"/>
                </w:rPr>
                <w:t>四、财政拨款收入支出决算总表</w:t>
              </w:r>
            </w:sdtContent>
          </w:sdt>
          <w:r>
            <w:tab/>
          </w:r>
          <w:bookmarkStart w:id="37" w:name="_Toc6236_WPSOffice_Level2Page"/>
          <w:r>
            <w:t>13</w:t>
          </w:r>
          <w:bookmarkEnd w:id="37"/>
          <w:r>
            <w:fldChar w:fldCharType="end"/>
          </w:r>
        </w:p>
        <w:p w14:paraId="4F70F4AD">
          <w:pPr>
            <w:pStyle w:val="36"/>
            <w:tabs>
              <w:tab w:val="right" w:leader="dot" w:pos="8441"/>
            </w:tabs>
          </w:pPr>
          <w:r>
            <w:fldChar w:fldCharType="begin"/>
          </w:r>
          <w:r>
            <w:instrText xml:space="preserve"> HYPERLINK \l _Toc13363_WPSOffice_Level2 </w:instrText>
          </w:r>
          <w:r>
            <w:fldChar w:fldCharType="separate"/>
          </w:r>
          <w:sdt>
            <w:sdtPr>
              <w:rPr>
                <w:rFonts w:ascii="仿宋_GB2312" w:hAnsi="Times New Roman" w:eastAsia="仿宋_GB2312" w:cs="Times New Roman"/>
                <w:kern w:val="0"/>
                <w:sz w:val="30"/>
                <w:szCs w:val="24"/>
                <w:lang w:val="en-US" w:eastAsia="zh-CN" w:bidi="ar-SA"/>
              </w:rPr>
              <w:id w:val="147456350"/>
              <w:placeholder>
                <w:docPart w:val="{d5e7e943-d510-49e0-8051-1b8d17fba262}"/>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仿宋_GB2312" w:cs="仿宋_GB2312"/>
                </w:rPr>
                <w:t>五、财政拨款支出决算明细表</w:t>
              </w:r>
            </w:sdtContent>
          </w:sdt>
          <w:r>
            <w:tab/>
          </w:r>
          <w:bookmarkStart w:id="38" w:name="_Toc13363_WPSOffice_Level2Page"/>
          <w:r>
            <w:t>13</w:t>
          </w:r>
          <w:bookmarkEnd w:id="38"/>
          <w:r>
            <w:fldChar w:fldCharType="end"/>
          </w:r>
        </w:p>
        <w:p w14:paraId="072B3F28">
          <w:pPr>
            <w:pStyle w:val="36"/>
            <w:tabs>
              <w:tab w:val="right" w:leader="dot" w:pos="8441"/>
            </w:tabs>
          </w:pPr>
          <w:r>
            <w:fldChar w:fldCharType="begin"/>
          </w:r>
          <w:r>
            <w:instrText xml:space="preserve"> HYPERLINK \l _Toc13478_WPSOffice_Level2 </w:instrText>
          </w:r>
          <w:r>
            <w:fldChar w:fldCharType="separate"/>
          </w:r>
          <w:sdt>
            <w:sdtPr>
              <w:rPr>
                <w:rFonts w:ascii="仿宋_GB2312" w:hAnsi="Times New Roman" w:eastAsia="仿宋_GB2312" w:cs="Times New Roman"/>
                <w:kern w:val="0"/>
                <w:sz w:val="30"/>
                <w:szCs w:val="24"/>
                <w:lang w:val="en-US" w:eastAsia="zh-CN" w:bidi="ar-SA"/>
              </w:rPr>
              <w:id w:val="147473180"/>
              <w:placeholder>
                <w:docPart w:val="{6cecb5b9-468c-4124-945a-28dfb5c5154e}"/>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仿宋_GB2312" w:cs="仿宋_GB2312"/>
                </w:rPr>
                <w:t>六、一般公共预算财政拨款支出决算表</w:t>
              </w:r>
            </w:sdtContent>
          </w:sdt>
          <w:r>
            <w:tab/>
          </w:r>
          <w:bookmarkStart w:id="39" w:name="_Toc13478_WPSOffice_Level2Page"/>
          <w:r>
            <w:t>13</w:t>
          </w:r>
          <w:bookmarkEnd w:id="39"/>
          <w:r>
            <w:fldChar w:fldCharType="end"/>
          </w:r>
        </w:p>
        <w:p w14:paraId="507C01B7">
          <w:pPr>
            <w:pStyle w:val="36"/>
            <w:tabs>
              <w:tab w:val="right" w:leader="dot" w:pos="8441"/>
            </w:tabs>
          </w:pPr>
          <w:r>
            <w:fldChar w:fldCharType="begin"/>
          </w:r>
          <w:r>
            <w:instrText xml:space="preserve"> HYPERLINK \l _Toc14677_WPSOffice_Level2 </w:instrText>
          </w:r>
          <w:r>
            <w:fldChar w:fldCharType="separate"/>
          </w:r>
          <w:sdt>
            <w:sdtPr>
              <w:rPr>
                <w:rFonts w:ascii="仿宋_GB2312" w:hAnsi="Times New Roman" w:eastAsia="仿宋_GB2312" w:cs="Times New Roman"/>
                <w:kern w:val="0"/>
                <w:sz w:val="30"/>
                <w:szCs w:val="24"/>
                <w:lang w:val="en-US" w:eastAsia="zh-CN" w:bidi="ar-SA"/>
              </w:rPr>
              <w:id w:val="147474556"/>
              <w:placeholder>
                <w:docPart w:val="{9091a57e-0cc9-4a1c-b3e8-cdfc64525c9e}"/>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仿宋_GB2312" w:cs="仿宋_GB2312"/>
                </w:rPr>
                <w:t>七、一般公共预算财政拨款支出决算明细表</w:t>
              </w:r>
            </w:sdtContent>
          </w:sdt>
          <w:r>
            <w:tab/>
          </w:r>
          <w:bookmarkStart w:id="40" w:name="_Toc14677_WPSOffice_Level2Page"/>
          <w:r>
            <w:t>13</w:t>
          </w:r>
          <w:bookmarkEnd w:id="40"/>
          <w:r>
            <w:fldChar w:fldCharType="end"/>
          </w:r>
        </w:p>
        <w:p w14:paraId="6B9CD160">
          <w:pPr>
            <w:pStyle w:val="36"/>
            <w:tabs>
              <w:tab w:val="right" w:leader="dot" w:pos="8441"/>
            </w:tabs>
          </w:pPr>
          <w:r>
            <w:fldChar w:fldCharType="begin"/>
          </w:r>
          <w:r>
            <w:instrText xml:space="preserve"> HYPERLINK \l _Toc21343_WPSOffice_Level2 </w:instrText>
          </w:r>
          <w:r>
            <w:fldChar w:fldCharType="separate"/>
          </w:r>
          <w:sdt>
            <w:sdtPr>
              <w:rPr>
                <w:rFonts w:ascii="仿宋_GB2312" w:hAnsi="Times New Roman" w:eastAsia="仿宋_GB2312" w:cs="Times New Roman"/>
                <w:kern w:val="0"/>
                <w:sz w:val="30"/>
                <w:szCs w:val="24"/>
                <w:lang w:val="en-US" w:eastAsia="zh-CN" w:bidi="ar-SA"/>
              </w:rPr>
              <w:id w:val="147461152"/>
              <w:placeholder>
                <w:docPart w:val="{e022ceec-d0e7-474e-877e-18ee87d9e1e5}"/>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仿宋_GB2312" w:cs="仿宋_GB2312"/>
                </w:rPr>
                <w:t>八、一般公共预算财政拨款基本支出决算表</w:t>
              </w:r>
            </w:sdtContent>
          </w:sdt>
          <w:r>
            <w:tab/>
          </w:r>
          <w:bookmarkStart w:id="41" w:name="_Toc21343_WPSOffice_Level2Page"/>
          <w:r>
            <w:t>13</w:t>
          </w:r>
          <w:bookmarkEnd w:id="41"/>
          <w:r>
            <w:fldChar w:fldCharType="end"/>
          </w:r>
        </w:p>
        <w:p w14:paraId="14F39BDE">
          <w:pPr>
            <w:pStyle w:val="36"/>
            <w:tabs>
              <w:tab w:val="right" w:leader="dot" w:pos="8441"/>
            </w:tabs>
          </w:pPr>
          <w:r>
            <w:fldChar w:fldCharType="begin"/>
          </w:r>
          <w:r>
            <w:instrText xml:space="preserve"> HYPERLINK \l _Toc7792_WPSOffice_Level2 </w:instrText>
          </w:r>
          <w:r>
            <w:fldChar w:fldCharType="separate"/>
          </w:r>
          <w:sdt>
            <w:sdtPr>
              <w:rPr>
                <w:rFonts w:ascii="仿宋_GB2312" w:hAnsi="Times New Roman" w:eastAsia="仿宋_GB2312" w:cs="Times New Roman"/>
                <w:kern w:val="0"/>
                <w:sz w:val="30"/>
                <w:szCs w:val="24"/>
                <w:lang w:val="en-US" w:eastAsia="zh-CN" w:bidi="ar-SA"/>
              </w:rPr>
              <w:id w:val="147467068"/>
              <w:placeholder>
                <w:docPart w:val="{a3de514a-fe3d-4223-8e46-3800b1d6a1df}"/>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仿宋_GB2312" w:cs="仿宋_GB2312"/>
                </w:rPr>
                <w:t>九、一般公共预算财政拨款项目支出决算表</w:t>
              </w:r>
            </w:sdtContent>
          </w:sdt>
          <w:r>
            <w:tab/>
          </w:r>
          <w:bookmarkStart w:id="42" w:name="_Toc7792_WPSOffice_Level2Page"/>
          <w:r>
            <w:t>13</w:t>
          </w:r>
          <w:bookmarkEnd w:id="42"/>
          <w:r>
            <w:fldChar w:fldCharType="end"/>
          </w:r>
        </w:p>
        <w:p w14:paraId="4416BD96">
          <w:pPr>
            <w:pStyle w:val="36"/>
            <w:tabs>
              <w:tab w:val="right" w:leader="dot" w:pos="8441"/>
            </w:tabs>
          </w:pPr>
          <w:r>
            <w:fldChar w:fldCharType="begin"/>
          </w:r>
          <w:r>
            <w:instrText xml:space="preserve"> HYPERLINK \l _Toc32097_WPSOffice_Level2 </w:instrText>
          </w:r>
          <w:r>
            <w:fldChar w:fldCharType="separate"/>
          </w:r>
          <w:sdt>
            <w:sdtPr>
              <w:rPr>
                <w:rFonts w:ascii="仿宋_GB2312" w:hAnsi="Times New Roman" w:eastAsia="仿宋_GB2312" w:cs="Times New Roman"/>
                <w:kern w:val="0"/>
                <w:sz w:val="30"/>
                <w:szCs w:val="24"/>
                <w:lang w:val="en-US" w:eastAsia="zh-CN" w:bidi="ar-SA"/>
              </w:rPr>
              <w:id w:val="147460068"/>
              <w:placeholder>
                <w:docPart w:val="{6ecd50b8-228f-4895-bf8e-1813004da10d}"/>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仿宋_GB2312" w:cs="仿宋_GB2312"/>
                </w:rPr>
                <w:t>十、政府性基金预算财政拨款收入支出决算表</w:t>
              </w:r>
            </w:sdtContent>
          </w:sdt>
          <w:r>
            <w:tab/>
          </w:r>
          <w:bookmarkStart w:id="43" w:name="_Toc32097_WPSOffice_Level2Page"/>
          <w:r>
            <w:t>13</w:t>
          </w:r>
          <w:bookmarkEnd w:id="43"/>
          <w:r>
            <w:fldChar w:fldCharType="end"/>
          </w:r>
        </w:p>
        <w:p w14:paraId="34280443">
          <w:pPr>
            <w:pStyle w:val="36"/>
            <w:tabs>
              <w:tab w:val="right" w:leader="dot" w:pos="8441"/>
            </w:tabs>
          </w:pPr>
          <w:r>
            <w:fldChar w:fldCharType="begin"/>
          </w:r>
          <w:r>
            <w:instrText xml:space="preserve"> HYPERLINK \l _Toc15637_WPSOffice_Level2 </w:instrText>
          </w:r>
          <w:r>
            <w:fldChar w:fldCharType="separate"/>
          </w:r>
          <w:sdt>
            <w:sdtPr>
              <w:rPr>
                <w:rFonts w:ascii="仿宋_GB2312" w:hAnsi="Times New Roman" w:eastAsia="仿宋_GB2312" w:cs="Times New Roman"/>
                <w:kern w:val="0"/>
                <w:sz w:val="30"/>
                <w:szCs w:val="24"/>
                <w:lang w:val="en-US" w:eastAsia="zh-CN" w:bidi="ar-SA"/>
              </w:rPr>
              <w:id w:val="147479496"/>
              <w:placeholder>
                <w:docPart w:val="{5b238bba-dd3e-44da-a260-29cdb9356deb}"/>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仿宋_GB2312" w:cs="仿宋_GB2312"/>
                </w:rPr>
                <w:t>十一、国有资本经营预算财政拨款收入支出决算表</w:t>
              </w:r>
            </w:sdtContent>
          </w:sdt>
          <w:r>
            <w:tab/>
          </w:r>
          <w:bookmarkStart w:id="44" w:name="_Toc15637_WPSOffice_Level2Page"/>
          <w:r>
            <w:t>13</w:t>
          </w:r>
          <w:bookmarkEnd w:id="44"/>
          <w:r>
            <w:fldChar w:fldCharType="end"/>
          </w:r>
        </w:p>
        <w:p w14:paraId="34E114B7">
          <w:pPr>
            <w:pStyle w:val="36"/>
            <w:tabs>
              <w:tab w:val="right" w:leader="dot" w:pos="8441"/>
            </w:tabs>
          </w:pPr>
          <w:r>
            <w:fldChar w:fldCharType="begin"/>
          </w:r>
          <w:r>
            <w:instrText xml:space="preserve"> HYPERLINK \l _Toc20880_WPSOffice_Level2 </w:instrText>
          </w:r>
          <w:r>
            <w:fldChar w:fldCharType="separate"/>
          </w:r>
          <w:sdt>
            <w:sdtPr>
              <w:rPr>
                <w:rFonts w:ascii="仿宋_GB2312" w:hAnsi="Times New Roman" w:eastAsia="仿宋_GB2312" w:cs="Times New Roman"/>
                <w:kern w:val="0"/>
                <w:sz w:val="30"/>
                <w:szCs w:val="24"/>
                <w:lang w:val="en-US" w:eastAsia="zh-CN" w:bidi="ar-SA"/>
              </w:rPr>
              <w:id w:val="147481366"/>
              <w:placeholder>
                <w:docPart w:val="{b3b8123c-9c76-4912-996d-5329f9625ae8}"/>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仿宋_GB2312" w:cs="仿宋_GB2312"/>
                </w:rPr>
                <w:t>十二、国有资本经营预算财政拨款支出决算表</w:t>
              </w:r>
            </w:sdtContent>
          </w:sdt>
          <w:r>
            <w:tab/>
          </w:r>
          <w:bookmarkStart w:id="45" w:name="_Toc20880_WPSOffice_Level2Page"/>
          <w:r>
            <w:t>13</w:t>
          </w:r>
          <w:bookmarkEnd w:id="45"/>
          <w:r>
            <w:fldChar w:fldCharType="end"/>
          </w:r>
        </w:p>
        <w:p w14:paraId="7ED6190D">
          <w:pPr>
            <w:pStyle w:val="36"/>
            <w:tabs>
              <w:tab w:val="right" w:leader="dot" w:pos="8441"/>
            </w:tabs>
          </w:pPr>
          <w:r>
            <w:fldChar w:fldCharType="begin"/>
          </w:r>
          <w:r>
            <w:instrText xml:space="preserve"> HYPERLINK \l _Toc7628_WPSOffice_Level2 </w:instrText>
          </w:r>
          <w:r>
            <w:fldChar w:fldCharType="separate"/>
          </w:r>
          <w:sdt>
            <w:sdtPr>
              <w:rPr>
                <w:rFonts w:ascii="仿宋_GB2312" w:hAnsi="Times New Roman" w:eastAsia="仿宋_GB2312" w:cs="Times New Roman"/>
                <w:kern w:val="0"/>
                <w:sz w:val="30"/>
                <w:szCs w:val="24"/>
                <w:lang w:val="en-US" w:eastAsia="zh-CN" w:bidi="ar-SA"/>
              </w:rPr>
              <w:id w:val="147473039"/>
              <w:placeholder>
                <w:docPart w:val="{518216ea-2423-4ef5-8ebd-f96b8a1ce8e3}"/>
              </w:placeholder>
              <w15:color w:val="509DF3"/>
            </w:sdtPr>
            <w:sdtEndPr>
              <w:rPr>
                <w:rFonts w:ascii="仿宋_GB2312" w:hAnsi="Times New Roman" w:eastAsia="仿宋_GB2312" w:cs="Times New Roman"/>
                <w:kern w:val="0"/>
                <w:sz w:val="30"/>
                <w:szCs w:val="24"/>
                <w:lang w:val="en-US" w:eastAsia="zh-CN" w:bidi="ar-SA"/>
              </w:rPr>
            </w:sdtEndPr>
            <w:sdtContent>
              <w:r>
                <w:rPr>
                  <w:rFonts w:hint="eastAsia" w:ascii="Times New Roman" w:hAnsi="Times New Roman" w:eastAsia="仿宋_GB2312" w:cs="仿宋_GB2312"/>
                </w:rPr>
                <w:t>十三、财政拨款“三公”经费支出决算表</w:t>
              </w:r>
            </w:sdtContent>
          </w:sdt>
          <w:r>
            <w:tab/>
          </w:r>
          <w:bookmarkStart w:id="46" w:name="_Toc7628_WPSOffice_Level2Page"/>
          <w:r>
            <w:t>13</w:t>
          </w:r>
          <w:bookmarkEnd w:id="46"/>
          <w:r>
            <w:fldChar w:fldCharType="end"/>
          </w:r>
          <w:bookmarkEnd w:id="6"/>
        </w:p>
      </w:sdtContent>
    </w:sdt>
    <w:p w14:paraId="41449862">
      <w:pPr>
        <w:pStyle w:val="2"/>
        <w:rPr>
          <w:rFonts w:hint="eastAsia" w:ascii="Times New Roman" w:hAnsi="Times New Roman" w:eastAsia="仿宋_GB2312" w:cs="仿宋_GB2312"/>
          <w:color w:val="auto"/>
          <w:sz w:val="32"/>
          <w:szCs w:val="32"/>
          <w:highlight w:val="none"/>
        </w:rPr>
      </w:pPr>
    </w:p>
    <w:p w14:paraId="11F68209">
      <w:pPr>
        <w:pStyle w:val="2"/>
        <w:rPr>
          <w:rFonts w:hint="eastAsia" w:ascii="Times New Roman" w:hAnsi="Times New Roman" w:eastAsia="仿宋_GB2312" w:cs="仿宋_GB2312"/>
          <w:color w:val="auto"/>
          <w:sz w:val="32"/>
          <w:szCs w:val="32"/>
          <w:highlight w:val="none"/>
        </w:rPr>
      </w:pPr>
    </w:p>
    <w:p w14:paraId="25861AC7">
      <w:pPr>
        <w:pStyle w:val="2"/>
        <w:rPr>
          <w:rFonts w:hint="eastAsia" w:ascii="Times New Roman" w:hAnsi="Times New Roman" w:eastAsia="仿宋_GB2312" w:cs="仿宋_GB2312"/>
          <w:color w:val="auto"/>
          <w:sz w:val="32"/>
          <w:szCs w:val="32"/>
          <w:highlight w:val="none"/>
        </w:rPr>
      </w:pPr>
    </w:p>
    <w:p w14:paraId="18F0F0DF">
      <w:pPr>
        <w:pStyle w:val="2"/>
        <w:rPr>
          <w:rFonts w:hint="eastAsia" w:ascii="Times New Roman" w:hAnsi="Times New Roman" w:eastAsia="仿宋_GB2312" w:cs="仿宋_GB2312"/>
          <w:color w:val="auto"/>
          <w:sz w:val="32"/>
          <w:szCs w:val="32"/>
          <w:highlight w:val="none"/>
        </w:rPr>
      </w:pPr>
    </w:p>
    <w:p w14:paraId="70D574CC">
      <w:pPr>
        <w:pStyle w:val="2"/>
        <w:rPr>
          <w:rFonts w:hint="eastAsia" w:ascii="Times New Roman" w:hAnsi="Times New Roman" w:eastAsia="仿宋_GB2312" w:cs="仿宋_GB2312"/>
          <w:color w:val="auto"/>
          <w:sz w:val="32"/>
          <w:szCs w:val="32"/>
          <w:highlight w:val="none"/>
        </w:rPr>
      </w:pPr>
    </w:p>
    <w:p w14:paraId="4D18B298">
      <w:pPr>
        <w:pStyle w:val="2"/>
        <w:rPr>
          <w:rFonts w:hint="eastAsia" w:ascii="Times New Roman" w:hAnsi="Times New Roman" w:eastAsia="仿宋_GB2312" w:cs="仿宋_GB2312"/>
          <w:color w:val="auto"/>
          <w:sz w:val="32"/>
          <w:szCs w:val="32"/>
          <w:highlight w:val="none"/>
        </w:rPr>
      </w:pPr>
    </w:p>
    <w:p w14:paraId="4B52FDB3">
      <w:pPr>
        <w:pStyle w:val="2"/>
        <w:rPr>
          <w:rFonts w:hint="eastAsia" w:ascii="Times New Roman" w:hAnsi="Times New Roman" w:eastAsia="仿宋_GB2312" w:cs="仿宋_GB2312"/>
          <w:color w:val="auto"/>
          <w:sz w:val="32"/>
          <w:szCs w:val="32"/>
          <w:highlight w:val="none"/>
        </w:rPr>
      </w:pPr>
    </w:p>
    <w:p w14:paraId="0DB6D5DA">
      <w:pPr>
        <w:pStyle w:val="2"/>
        <w:rPr>
          <w:rFonts w:hint="eastAsia" w:ascii="Times New Roman" w:hAnsi="Times New Roman" w:eastAsia="仿宋_GB2312" w:cs="仿宋_GB2312"/>
          <w:color w:val="auto"/>
          <w:sz w:val="32"/>
          <w:szCs w:val="32"/>
          <w:highlight w:val="none"/>
        </w:rPr>
      </w:pPr>
    </w:p>
    <w:p w14:paraId="488E0CC9">
      <w:pPr>
        <w:pStyle w:val="2"/>
        <w:rPr>
          <w:rFonts w:hint="eastAsia" w:ascii="Times New Roman" w:hAnsi="Times New Roman" w:eastAsia="仿宋_GB2312" w:cs="仿宋_GB2312"/>
          <w:color w:val="auto"/>
          <w:sz w:val="32"/>
          <w:szCs w:val="32"/>
          <w:highlight w:val="none"/>
        </w:rPr>
      </w:pPr>
    </w:p>
    <w:p w14:paraId="00A1EAE4">
      <w:pPr>
        <w:pStyle w:val="2"/>
        <w:rPr>
          <w:rFonts w:hint="eastAsia" w:ascii="Times New Roman" w:hAnsi="Times New Roman" w:eastAsia="仿宋_GB2312" w:cs="仿宋_GB2312"/>
          <w:color w:val="auto"/>
          <w:sz w:val="32"/>
          <w:szCs w:val="32"/>
          <w:highlight w:val="none"/>
        </w:rPr>
      </w:pPr>
    </w:p>
    <w:p w14:paraId="3028A185">
      <w:pPr>
        <w:pStyle w:val="2"/>
        <w:rPr>
          <w:rFonts w:hint="eastAsia" w:ascii="Times New Roman" w:hAnsi="Times New Roman" w:eastAsia="仿宋_GB2312" w:cs="仿宋_GB2312"/>
          <w:color w:val="auto"/>
          <w:sz w:val="32"/>
          <w:szCs w:val="32"/>
          <w:highlight w:val="none"/>
        </w:rPr>
      </w:pPr>
    </w:p>
    <w:p w14:paraId="558E7C2B">
      <w:pPr>
        <w:pStyle w:val="2"/>
        <w:rPr>
          <w:rFonts w:hint="eastAsia" w:ascii="Times New Roman" w:hAnsi="Times New Roman" w:eastAsia="仿宋_GB2312" w:cs="仿宋_GB2312"/>
          <w:color w:val="auto"/>
          <w:sz w:val="32"/>
          <w:szCs w:val="32"/>
          <w:highlight w:val="none"/>
        </w:rPr>
      </w:pPr>
    </w:p>
    <w:p w14:paraId="0BC9B033">
      <w:pPr>
        <w:pStyle w:val="2"/>
        <w:rPr>
          <w:rFonts w:hint="eastAsia" w:ascii="Times New Roman" w:hAnsi="Times New Roman" w:eastAsia="仿宋_GB2312" w:cs="仿宋_GB2312"/>
          <w:color w:val="auto"/>
          <w:sz w:val="32"/>
          <w:szCs w:val="32"/>
          <w:highlight w:val="none"/>
        </w:rPr>
      </w:pPr>
    </w:p>
    <w:p w14:paraId="4902226F">
      <w:pPr>
        <w:pStyle w:val="2"/>
        <w:rPr>
          <w:rFonts w:hint="eastAsia" w:ascii="Times New Roman" w:hAnsi="Times New Roman" w:eastAsia="仿宋_GB2312" w:cs="仿宋_GB2312"/>
          <w:color w:val="auto"/>
          <w:sz w:val="32"/>
          <w:szCs w:val="32"/>
          <w:highlight w:val="none"/>
        </w:rPr>
      </w:pPr>
    </w:p>
    <w:p w14:paraId="53CB25A0">
      <w:pPr>
        <w:pStyle w:val="2"/>
        <w:rPr>
          <w:rFonts w:hint="eastAsia" w:ascii="Times New Roman" w:hAnsi="Times New Roman" w:eastAsia="仿宋_GB2312" w:cs="仿宋_GB2312"/>
          <w:color w:val="auto"/>
          <w:sz w:val="32"/>
          <w:szCs w:val="32"/>
          <w:highlight w:val="none"/>
        </w:rPr>
      </w:pPr>
    </w:p>
    <w:p w14:paraId="76FD3357">
      <w:pPr>
        <w:pStyle w:val="2"/>
        <w:rPr>
          <w:rFonts w:hint="eastAsia" w:ascii="Times New Roman" w:hAnsi="Times New Roman" w:eastAsia="仿宋_GB2312" w:cs="仿宋_GB2312"/>
          <w:color w:val="auto"/>
          <w:sz w:val="32"/>
          <w:szCs w:val="32"/>
          <w:highlight w:val="none"/>
        </w:rPr>
      </w:pPr>
    </w:p>
    <w:p w14:paraId="1915C4DE">
      <w:pPr>
        <w:pStyle w:val="2"/>
        <w:rPr>
          <w:rFonts w:hint="eastAsia" w:ascii="Times New Roman" w:hAnsi="Times New Roman" w:eastAsia="仿宋_GB2312" w:cs="仿宋_GB2312"/>
          <w:color w:val="auto"/>
          <w:sz w:val="32"/>
          <w:szCs w:val="32"/>
          <w:highlight w:val="none"/>
        </w:rPr>
      </w:pPr>
    </w:p>
    <w:p w14:paraId="2D71AC0D">
      <w:pPr>
        <w:pStyle w:val="2"/>
        <w:rPr>
          <w:rFonts w:hint="eastAsia" w:ascii="Times New Roman" w:hAnsi="Times New Roman" w:eastAsia="仿宋_GB2312" w:cs="仿宋_GB2312"/>
          <w:color w:val="auto"/>
          <w:sz w:val="32"/>
          <w:szCs w:val="32"/>
          <w:highlight w:val="none"/>
        </w:rPr>
      </w:pPr>
    </w:p>
    <w:p w14:paraId="794D7151">
      <w:pPr>
        <w:pStyle w:val="2"/>
        <w:rPr>
          <w:rFonts w:hint="eastAsia" w:ascii="Times New Roman" w:hAnsi="Times New Roman" w:eastAsia="仿宋_GB2312" w:cs="仿宋_GB2312"/>
          <w:color w:val="auto"/>
          <w:sz w:val="32"/>
          <w:szCs w:val="32"/>
          <w:highlight w:val="none"/>
        </w:rPr>
      </w:pPr>
    </w:p>
    <w:p w14:paraId="047B08BF">
      <w:pPr>
        <w:pStyle w:val="2"/>
        <w:rPr>
          <w:rFonts w:hint="eastAsia" w:ascii="Times New Roman" w:hAnsi="Times New Roman" w:eastAsia="仿宋_GB2312" w:cs="仿宋_GB2312"/>
          <w:color w:val="auto"/>
          <w:sz w:val="32"/>
          <w:szCs w:val="32"/>
          <w:highlight w:val="none"/>
        </w:rPr>
      </w:pPr>
    </w:p>
    <w:p w14:paraId="0712424F">
      <w:pPr>
        <w:pStyle w:val="2"/>
        <w:rPr>
          <w:rFonts w:hint="eastAsia" w:ascii="Times New Roman" w:hAnsi="Times New Roman" w:eastAsia="仿宋_GB2312" w:cs="仿宋_GB2312"/>
          <w:color w:val="auto"/>
          <w:sz w:val="32"/>
          <w:szCs w:val="32"/>
          <w:highlight w:val="none"/>
        </w:rPr>
      </w:pPr>
    </w:p>
    <w:p w14:paraId="6BDF23ED">
      <w:pPr>
        <w:rPr>
          <w:rFonts w:ascii="Times New Roman" w:hAnsi="Times New Roman"/>
          <w:color w:val="auto"/>
          <w:highlight w:val="none"/>
        </w:rPr>
      </w:pPr>
    </w:p>
    <w:p w14:paraId="5F8B2C6A">
      <w:pPr>
        <w:pStyle w:val="3"/>
        <w:jc w:val="center"/>
        <w:rPr>
          <w:rFonts w:hint="eastAsia" w:ascii="Times New Roman" w:hAnsi="Times New Roman" w:eastAsia="方正小标宋简体" w:cs="方正小标宋简体"/>
          <w:b w:val="0"/>
          <w:color w:val="auto"/>
          <w:highlight w:val="none"/>
        </w:rPr>
        <w:sectPr>
          <w:footerReference r:id="rId5" w:type="default"/>
          <w:pgSz w:w="11907" w:h="16839"/>
          <w:pgMar w:top="1431" w:right="1681" w:bottom="1395" w:left="1785" w:header="0" w:footer="1166" w:gutter="0"/>
          <w:pgNumType w:fmt="decimal"/>
          <w:cols w:space="720" w:num="1"/>
        </w:sectPr>
      </w:pPr>
      <w:bookmarkStart w:id="47" w:name="_Toc15396599"/>
      <w:bookmarkStart w:id="48" w:name="_Toc15377196"/>
    </w:p>
    <w:p w14:paraId="2C70966F">
      <w:pPr>
        <w:pStyle w:val="3"/>
        <w:jc w:val="center"/>
        <w:rPr>
          <w:rStyle w:val="28"/>
          <w:rFonts w:hint="eastAsia" w:ascii="Times New Roman" w:hAnsi="Times New Roman" w:eastAsia="方正小标宋简体" w:cs="方正小标宋简体"/>
          <w:b/>
          <w:bCs w:val="0"/>
          <w:color w:val="auto"/>
          <w:highlight w:val="none"/>
        </w:rPr>
      </w:pPr>
      <w:bookmarkStart w:id="49" w:name="_Toc3592_WPSOffice_Level1"/>
      <w:r>
        <w:rPr>
          <w:rFonts w:hint="eastAsia" w:ascii="Times New Roman" w:hAnsi="Times New Roman" w:eastAsia="方正小标宋简体" w:cs="方正小标宋简体"/>
          <w:b w:val="0"/>
          <w:color w:val="auto"/>
          <w:highlight w:val="none"/>
        </w:rPr>
        <w:t>第一部分</w:t>
      </w:r>
      <w:r>
        <w:rPr>
          <w:rFonts w:hint="eastAsia" w:ascii="Times New Roman" w:hAnsi="Times New Roman" w:eastAsia="方正小标宋简体" w:cs="方正小标宋简体"/>
          <w:b w:val="0"/>
          <w:color w:val="auto"/>
          <w:highlight w:val="none"/>
          <w:lang w:val="en-US" w:eastAsia="zh-CN"/>
        </w:rPr>
        <w:t xml:space="preserve"> </w:t>
      </w:r>
      <w:r>
        <w:rPr>
          <w:rFonts w:hint="eastAsia" w:ascii="Times New Roman" w:hAnsi="Times New Roman" w:eastAsia="方正小标宋简体" w:cs="方正小标宋简体"/>
          <w:b w:val="0"/>
          <w:color w:val="auto"/>
          <w:highlight w:val="none"/>
        </w:rPr>
        <w:t xml:space="preserve"> </w:t>
      </w:r>
      <w:r>
        <w:rPr>
          <w:rStyle w:val="28"/>
          <w:rFonts w:hint="eastAsia" w:ascii="Times New Roman" w:hAnsi="Times New Roman" w:eastAsia="方正小标宋简体" w:cs="方正小标宋简体"/>
          <w:b w:val="0"/>
          <w:bCs w:val="0"/>
          <w:color w:val="auto"/>
          <w:highlight w:val="none"/>
        </w:rPr>
        <w:t>部门概况</w:t>
      </w:r>
      <w:bookmarkEnd w:id="47"/>
      <w:bookmarkEnd w:id="48"/>
      <w:bookmarkEnd w:id="49"/>
    </w:p>
    <w:p w14:paraId="7612119F">
      <w:pPr>
        <w:widowControl/>
        <w:jc w:val="left"/>
        <w:rPr>
          <w:rFonts w:ascii="Times New Roman" w:hAnsi="Times New Roman" w:eastAsia="黑体"/>
          <w:color w:val="auto"/>
          <w:sz w:val="32"/>
          <w:szCs w:val="32"/>
          <w:highlight w:val="none"/>
        </w:rPr>
      </w:pPr>
    </w:p>
    <w:p w14:paraId="0DFFE984">
      <w:pPr>
        <w:pStyle w:val="4"/>
        <w:numPr>
          <w:ilvl w:val="0"/>
          <w:numId w:val="1"/>
        </w:numPr>
        <w:rPr>
          <w:rFonts w:hint="eastAsia" w:ascii="Times New Roman" w:hAnsi="Times New Roman" w:eastAsia="黑体"/>
          <w:b w:val="0"/>
          <w:color w:val="auto"/>
          <w:highlight w:val="none"/>
          <w:lang w:eastAsia="zh-CN"/>
        </w:rPr>
      </w:pPr>
      <w:bookmarkStart w:id="50" w:name="_Toc2094_WPSOffice_Level2"/>
      <w:r>
        <w:rPr>
          <w:rFonts w:hint="eastAsia" w:ascii="Times New Roman" w:hAnsi="Times New Roman" w:eastAsia="黑体"/>
          <w:b w:val="0"/>
          <w:color w:val="auto"/>
          <w:highlight w:val="none"/>
          <w:lang w:eastAsia="zh-CN"/>
        </w:rPr>
        <w:t>部门职责</w:t>
      </w:r>
      <w:bookmarkEnd w:id="50"/>
    </w:p>
    <w:p w14:paraId="683A2F6B">
      <w:pPr>
        <w:pStyle w:val="2"/>
        <w:spacing w:before="101" w:line="334" w:lineRule="auto"/>
        <w:ind w:left="35" w:firstLine="1"/>
        <w:rPr>
          <w:rFonts w:hint="eastAsia"/>
          <w:lang w:eastAsia="zh-CN"/>
        </w:rPr>
      </w:pPr>
      <w:r>
        <w:rPr>
          <w:spacing w:val="12"/>
          <w:sz w:val="31"/>
          <w:szCs w:val="31"/>
        </w:rPr>
        <w:t>主要负责辖区内已建水利工程的正常运行，</w:t>
      </w:r>
      <w:r>
        <w:rPr>
          <w:spacing w:val="8"/>
          <w:sz w:val="31"/>
          <w:szCs w:val="31"/>
        </w:rPr>
        <w:t>开展日常维护、安全监测。维护辖区内水域干净整洁，承担</w:t>
      </w:r>
      <w:r>
        <w:rPr>
          <w:spacing w:val="21"/>
          <w:sz w:val="31"/>
          <w:szCs w:val="31"/>
        </w:rPr>
        <w:t>辖区内防汛抗旱工作及辖区内农业及工业的供水保障工作</w:t>
      </w:r>
      <w:r>
        <w:rPr>
          <w:spacing w:val="5"/>
          <w:sz w:val="31"/>
          <w:szCs w:val="31"/>
        </w:rPr>
        <w:t>及上级临时安排的其他工作。</w:t>
      </w:r>
    </w:p>
    <w:p w14:paraId="27593CC7">
      <w:pPr>
        <w:pStyle w:val="4"/>
        <w:rPr>
          <w:rStyle w:val="29"/>
          <w:rFonts w:ascii="Times New Roman" w:hAnsi="Times New Roman"/>
          <w:b w:val="0"/>
          <w:bCs w:val="0"/>
          <w:color w:val="auto"/>
          <w:highlight w:val="none"/>
        </w:rPr>
      </w:pPr>
      <w:bookmarkStart w:id="51" w:name="_Toc15377200"/>
      <w:bookmarkStart w:id="52" w:name="_Toc15396601"/>
      <w:bookmarkStart w:id="53" w:name="_Toc8934_WPSOffice_Level2"/>
      <w:r>
        <w:rPr>
          <w:rFonts w:hint="eastAsia" w:ascii="Times New Roman" w:hAnsi="Times New Roman" w:eastAsia="黑体"/>
          <w:b w:val="0"/>
          <w:color w:val="auto"/>
          <w:highlight w:val="none"/>
        </w:rPr>
        <w:t>二、机</w:t>
      </w:r>
      <w:r>
        <w:rPr>
          <w:rStyle w:val="29"/>
          <w:rFonts w:hint="eastAsia" w:ascii="Times New Roman" w:hAnsi="Times New Roman" w:eastAsia="黑体"/>
          <w:b w:val="0"/>
          <w:bCs w:val="0"/>
          <w:color w:val="auto"/>
          <w:highlight w:val="none"/>
        </w:rPr>
        <w:t>构设置</w:t>
      </w:r>
      <w:bookmarkEnd w:id="51"/>
      <w:bookmarkEnd w:id="52"/>
      <w:bookmarkEnd w:id="53"/>
    </w:p>
    <w:p w14:paraId="5A655F56">
      <w:pPr>
        <w:pStyle w:val="2"/>
        <w:numPr>
          <w:ilvl w:val="0"/>
          <w:numId w:val="2"/>
        </w:numPr>
        <w:adjustRightInd w:val="0"/>
        <w:snapToGrid w:val="0"/>
        <w:spacing w:before="93" w:line="600" w:lineRule="exact"/>
        <w:outlineLvl w:val="2"/>
        <w:rPr>
          <w:rFonts w:hint="eastAsia" w:ascii="Times New Roman" w:hAnsi="Times New Roman" w:eastAsia="仿宋_GB2312" w:cs="仿宋_GB2312"/>
          <w:color w:val="auto"/>
          <w:sz w:val="32"/>
          <w:szCs w:val="32"/>
          <w:highlight w:val="none"/>
        </w:rPr>
      </w:pPr>
      <w:bookmarkStart w:id="54" w:name="_Toc2094_WPSOffice_Level3"/>
      <w:bookmarkStart w:id="55" w:name="_Toc1969_WPSOffice_Level3"/>
      <w:r>
        <w:rPr>
          <w:rFonts w:hint="eastAsia" w:ascii="仿宋_GB2312" w:hAnsi="仿宋_GB2312" w:eastAsia="仿宋_GB2312" w:cs="仿宋_GB2312"/>
          <w:color w:val="auto"/>
          <w:sz w:val="32"/>
          <w:szCs w:val="32"/>
          <w:highlight w:val="none"/>
        </w:rPr>
        <w:t>乐山市涌斯江水利工程保护服务中心</w:t>
      </w:r>
      <w:r>
        <w:rPr>
          <w:rFonts w:hint="eastAsia" w:ascii="仿宋_GB2312" w:hAnsi="仿宋_GB2312" w:eastAsia="仿宋_GB2312" w:cs="仿宋_GB2312"/>
          <w:color w:val="auto"/>
          <w:sz w:val="32"/>
          <w:szCs w:val="32"/>
          <w:highlight w:val="none"/>
          <w:lang w:val="en-US" w:eastAsia="zh-CN"/>
        </w:rPr>
        <w:t>无</w:t>
      </w:r>
      <w:r>
        <w:rPr>
          <w:rFonts w:hint="eastAsia" w:ascii="Times New Roman" w:hAnsi="Times New Roman" w:eastAsia="仿宋_GB2312" w:cs="仿宋_GB2312"/>
          <w:color w:val="auto"/>
          <w:sz w:val="32"/>
          <w:szCs w:val="32"/>
          <w:highlight w:val="none"/>
        </w:rPr>
        <w:t>下属二级</w:t>
      </w:r>
      <w:r>
        <w:rPr>
          <w:rFonts w:hint="eastAsia" w:ascii="Times New Roman" w:hAnsi="Times New Roman" w:eastAsia="仿宋_GB2312" w:cs="仿宋_GB2312"/>
          <w:color w:val="auto"/>
          <w:sz w:val="32"/>
          <w:szCs w:val="32"/>
          <w:highlight w:val="none"/>
          <w:lang w:eastAsia="zh-CN"/>
        </w:rPr>
        <w:t>预算</w:t>
      </w:r>
      <w:r>
        <w:rPr>
          <w:rFonts w:hint="eastAsia" w:ascii="Times New Roman" w:hAnsi="Times New Roman" w:eastAsia="仿宋_GB2312" w:cs="仿宋_GB2312"/>
          <w:color w:val="auto"/>
          <w:sz w:val="32"/>
          <w:szCs w:val="32"/>
          <w:highlight w:val="none"/>
        </w:rPr>
        <w:t>单位</w:t>
      </w:r>
      <w:r>
        <w:rPr>
          <w:rFonts w:hint="eastAsia" w:ascii="Times New Roman" w:cs="仿宋_GB2312"/>
          <w:color w:val="auto"/>
          <w:sz w:val="32"/>
          <w:szCs w:val="32"/>
          <w:highlight w:val="none"/>
          <w:lang w:eastAsia="zh-CN"/>
        </w:rPr>
        <w:t>。</w:t>
      </w:r>
      <w:bookmarkEnd w:id="54"/>
      <w:bookmarkEnd w:id="55"/>
    </w:p>
    <w:p w14:paraId="52D61870">
      <w:pPr>
        <w:pStyle w:val="3"/>
        <w:jc w:val="center"/>
        <w:rPr>
          <w:rFonts w:hint="eastAsia" w:ascii="Times New Roman" w:hAnsi="Times New Roman" w:eastAsia="方正小标宋简体" w:cs="方正小标宋简体"/>
          <w:b w:val="0"/>
          <w:color w:val="auto"/>
          <w:highlight w:val="none"/>
        </w:rPr>
      </w:pPr>
      <w:bookmarkStart w:id="56" w:name="_Toc15396602"/>
      <w:bookmarkStart w:id="57" w:name="_Toc15377204"/>
      <w:bookmarkStart w:id="58" w:name="_Toc2094_WPSOffice_Level1"/>
      <w:r>
        <w:rPr>
          <w:rFonts w:hint="eastAsia" w:ascii="Times New Roman" w:hAnsi="Times New Roman" w:eastAsia="方正小标宋简体" w:cs="方正小标宋简体"/>
          <w:b w:val="0"/>
          <w:color w:val="auto"/>
          <w:highlight w:val="none"/>
        </w:rPr>
        <w:t>第二部分</w:t>
      </w:r>
      <w:r>
        <w:rPr>
          <w:rFonts w:hint="eastAsia" w:ascii="Times New Roman" w:hAnsi="Times New Roman" w:eastAsia="方正小标宋简体" w:cs="方正小标宋简体"/>
          <w:b w:val="0"/>
          <w:color w:val="auto"/>
          <w:highlight w:val="none"/>
          <w:lang w:val="en-US" w:eastAsia="zh-CN"/>
        </w:rPr>
        <w:t xml:space="preserve"> </w:t>
      </w:r>
      <w:r>
        <w:rPr>
          <w:rFonts w:hint="eastAsia" w:ascii="Times New Roman" w:hAnsi="Times New Roman" w:eastAsia="方正小标宋简体" w:cs="方正小标宋简体"/>
          <w:b w:val="0"/>
          <w:color w:val="auto"/>
          <w:highlight w:val="none"/>
        </w:rPr>
        <w:t xml:space="preserve"> </w:t>
      </w:r>
      <w:r>
        <w:rPr>
          <w:rFonts w:hint="eastAsia" w:ascii="Times New Roman" w:hAnsi="Times New Roman" w:eastAsia="方正小标宋简体" w:cs="方正小标宋简体"/>
          <w:b w:val="0"/>
          <w:color w:val="auto"/>
          <w:highlight w:val="none"/>
          <w:lang w:val="en-US" w:eastAsia="zh-CN"/>
        </w:rPr>
        <w:t>2024年度</w:t>
      </w:r>
      <w:r>
        <w:rPr>
          <w:rFonts w:hint="eastAsia" w:ascii="Times New Roman" w:hAnsi="Times New Roman" w:eastAsia="方正小标宋简体" w:cs="方正小标宋简体"/>
          <w:b w:val="0"/>
          <w:color w:val="auto"/>
          <w:highlight w:val="none"/>
        </w:rPr>
        <w:t>部门决算情况说明</w:t>
      </w:r>
      <w:bookmarkEnd w:id="56"/>
      <w:bookmarkEnd w:id="57"/>
      <w:bookmarkEnd w:id="58"/>
    </w:p>
    <w:p w14:paraId="6CCDDF86">
      <w:pPr>
        <w:rPr>
          <w:rFonts w:ascii="Times New Roman" w:hAnsi="Times New Roman"/>
          <w:color w:val="auto"/>
          <w:highlight w:val="none"/>
        </w:rPr>
      </w:pPr>
    </w:p>
    <w:p w14:paraId="62AF9875">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29"/>
          <w:rFonts w:hint="eastAsia" w:ascii="Times New Roman" w:hAnsi="Times New Roman" w:eastAsia="黑体"/>
          <w:b w:val="0"/>
          <w:color w:val="auto"/>
          <w:highlight w:val="none"/>
        </w:rPr>
      </w:pPr>
      <w:bookmarkStart w:id="59" w:name="_Toc9985_WPSOffice_Level2"/>
      <w:bookmarkStart w:id="60" w:name="_Toc15377205"/>
      <w:bookmarkStart w:id="61" w:name="_Toc15396603"/>
      <w:r>
        <w:rPr>
          <w:rFonts w:hint="eastAsia" w:ascii="Times New Roman" w:hAnsi="Times New Roman" w:eastAsia="黑体"/>
          <w:color w:val="auto"/>
          <w:sz w:val="32"/>
          <w:szCs w:val="32"/>
          <w:highlight w:val="none"/>
          <w:lang w:eastAsia="zh-CN"/>
        </w:rPr>
        <w:t>一、</w:t>
      </w:r>
      <w:r>
        <w:rPr>
          <w:rFonts w:hint="eastAsia" w:ascii="Times New Roman" w:hAnsi="Times New Roman" w:eastAsia="黑体"/>
          <w:color w:val="auto"/>
          <w:sz w:val="32"/>
          <w:szCs w:val="32"/>
          <w:highlight w:val="none"/>
        </w:rPr>
        <w:t>收</w:t>
      </w:r>
      <w:r>
        <w:rPr>
          <w:rStyle w:val="29"/>
          <w:rFonts w:hint="eastAsia" w:ascii="Times New Roman" w:hAnsi="Times New Roman" w:eastAsia="黑体"/>
          <w:b w:val="0"/>
          <w:color w:val="auto"/>
          <w:highlight w:val="none"/>
        </w:rPr>
        <w:t>入支出决算总体情况说明</w:t>
      </w:r>
      <w:bookmarkEnd w:id="59"/>
      <w:bookmarkEnd w:id="60"/>
      <w:bookmarkEnd w:id="61"/>
    </w:p>
    <w:p w14:paraId="3BEF6EBF">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2024年度收入</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支出</w:t>
      </w:r>
      <w:r>
        <w:rPr>
          <w:rFonts w:hint="eastAsia" w:ascii="Times New Roman" w:hAnsi="Times New Roman" w:eastAsia="仿宋_GB2312" w:cs="仿宋_GB2312"/>
          <w:color w:val="auto"/>
          <w:sz w:val="32"/>
          <w:szCs w:val="32"/>
          <w:highlight w:val="none"/>
        </w:rPr>
        <w:t>总计</w:t>
      </w:r>
      <w:r>
        <w:rPr>
          <w:rFonts w:hint="eastAsia" w:ascii="Times New Roman" w:hAnsi="Times New Roman" w:eastAsia="仿宋_GB2312" w:cs="仿宋_GB2312"/>
          <w:color w:val="auto"/>
          <w:sz w:val="32"/>
          <w:szCs w:val="32"/>
          <w:highlight w:val="none"/>
          <w:lang w:eastAsia="zh-CN"/>
        </w:rPr>
        <w:t>均为</w:t>
      </w:r>
      <w:r>
        <w:rPr>
          <w:rFonts w:hint="eastAsia" w:ascii="仿宋_GB2312" w:hAnsi="仿宋_GB2312" w:eastAsia="仿宋_GB2312" w:cs="仿宋_GB2312"/>
          <w:sz w:val="32"/>
          <w:szCs w:val="32"/>
        </w:rPr>
        <w:t>589.29</w:t>
      </w:r>
      <w:r>
        <w:rPr>
          <w:rFonts w:hint="eastAsia" w:ascii="Times New Roman" w:hAnsi="Times New Roman" w:eastAsia="仿宋_GB2312" w:cs="仿宋_GB2312"/>
          <w:color w:val="auto"/>
          <w:sz w:val="32"/>
          <w:szCs w:val="32"/>
          <w:highlight w:val="none"/>
        </w:rPr>
        <w:t>万元。与</w:t>
      </w:r>
      <w:r>
        <w:rPr>
          <w:rFonts w:hint="eastAsia" w:ascii="Times New Roman" w:hAnsi="Times New Roman" w:eastAsia="仿宋_GB2312" w:cs="仿宋_GB2312"/>
          <w:color w:val="auto"/>
          <w:sz w:val="32"/>
          <w:szCs w:val="32"/>
          <w:highlight w:val="none"/>
          <w:lang w:eastAsia="zh-CN"/>
        </w:rPr>
        <w:t>202</w:t>
      </w:r>
      <w:r>
        <w:rPr>
          <w:rFonts w:hint="eastAsia" w:ascii="Times New Roman" w:hAnsi="Times New Roman" w:eastAsia="仿宋_GB2312" w:cs="仿宋_GB2312"/>
          <w:color w:val="auto"/>
          <w:sz w:val="32"/>
          <w:szCs w:val="32"/>
          <w:highlight w:val="none"/>
          <w:lang w:val="en-US" w:eastAsia="zh-CN"/>
        </w:rPr>
        <w:t>3</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eastAsia="zh-CN"/>
        </w:rPr>
        <w:t>度</w:t>
      </w:r>
      <w:r>
        <w:rPr>
          <w:rFonts w:hint="eastAsia" w:eastAsia="仿宋_GB2312" w:cs="仿宋_GB2312"/>
          <w:color w:val="auto"/>
          <w:sz w:val="32"/>
          <w:szCs w:val="32"/>
          <w:highlight w:val="none"/>
          <w:lang w:val="en-US" w:eastAsia="zh-CN"/>
        </w:rPr>
        <w:t>530.36万元</w:t>
      </w:r>
      <w:r>
        <w:rPr>
          <w:rFonts w:hint="eastAsia" w:ascii="Times New Roman" w:hAnsi="Times New Roman" w:eastAsia="仿宋_GB2312" w:cs="仿宋_GB2312"/>
          <w:color w:val="auto"/>
          <w:sz w:val="32"/>
          <w:szCs w:val="32"/>
          <w:highlight w:val="none"/>
        </w:rPr>
        <w:t>相比，</w:t>
      </w:r>
      <w:r>
        <w:rPr>
          <w:rFonts w:hint="eastAsia" w:ascii="Times New Roman" w:hAnsi="Times New Roman" w:eastAsia="仿宋_GB2312" w:cs="仿宋_GB2312"/>
          <w:color w:val="auto"/>
          <w:sz w:val="32"/>
          <w:szCs w:val="32"/>
          <w:highlight w:val="none"/>
          <w:lang w:eastAsia="zh-CN"/>
        </w:rPr>
        <w:t>收入</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支出</w:t>
      </w:r>
      <w:r>
        <w:rPr>
          <w:rFonts w:hint="eastAsia" w:ascii="Times New Roman" w:hAnsi="Times New Roman" w:eastAsia="仿宋_GB2312" w:cs="仿宋_GB2312"/>
          <w:color w:val="auto"/>
          <w:sz w:val="32"/>
          <w:szCs w:val="32"/>
          <w:highlight w:val="none"/>
        </w:rPr>
        <w:t>总计各增加</w:t>
      </w:r>
      <w:r>
        <w:rPr>
          <w:rFonts w:hint="eastAsia" w:eastAsia="仿宋_GB2312" w:cs="仿宋_GB2312"/>
          <w:color w:val="auto"/>
          <w:sz w:val="32"/>
          <w:szCs w:val="32"/>
          <w:highlight w:val="none"/>
          <w:lang w:val="en-US" w:eastAsia="zh-CN"/>
        </w:rPr>
        <w:t>58.93</w:t>
      </w:r>
      <w:r>
        <w:rPr>
          <w:rFonts w:hint="eastAsia" w:ascii="Times New Roman" w:hAnsi="Times New Roman" w:eastAsia="仿宋_GB2312" w:cs="仿宋_GB2312"/>
          <w:color w:val="auto"/>
          <w:sz w:val="32"/>
          <w:szCs w:val="32"/>
          <w:highlight w:val="none"/>
        </w:rPr>
        <w:t>万元，增长</w:t>
      </w:r>
      <w:r>
        <w:rPr>
          <w:rFonts w:hint="eastAsia" w:eastAsia="仿宋_GB2312" w:cs="仿宋_GB2312"/>
          <w:color w:val="auto"/>
          <w:sz w:val="32"/>
          <w:szCs w:val="32"/>
          <w:highlight w:val="none"/>
          <w:lang w:val="en-US" w:eastAsia="zh-CN"/>
        </w:rPr>
        <w:t>11.11</w:t>
      </w:r>
      <w:r>
        <w:rPr>
          <w:rFonts w:hint="eastAsia" w:ascii="Times New Roman" w:hAnsi="Times New Roman" w:eastAsia="仿宋_GB2312" w:cs="仿宋_GB2312"/>
          <w:color w:val="auto"/>
          <w:sz w:val="32"/>
          <w:szCs w:val="32"/>
          <w:highlight w:val="none"/>
        </w:rPr>
        <w:t>%。主要变动原因是</w:t>
      </w:r>
      <w:r>
        <w:rPr>
          <w:rFonts w:hint="eastAsia" w:eastAsia="仿宋_GB2312" w:cs="仿宋_GB2312"/>
          <w:color w:val="auto"/>
          <w:sz w:val="32"/>
          <w:szCs w:val="32"/>
          <w:highlight w:val="none"/>
          <w:lang w:val="en-US" w:eastAsia="zh-CN"/>
        </w:rPr>
        <w:t>收入支出总计里包含了年初结转结余金额</w:t>
      </w:r>
      <w:r>
        <w:rPr>
          <w:rFonts w:hint="eastAsia" w:ascii="Times New Roman" w:hAnsi="Times New Roman" w:eastAsia="仿宋_GB2312" w:cs="仿宋_GB2312"/>
          <w:color w:val="auto"/>
          <w:sz w:val="32"/>
          <w:szCs w:val="32"/>
          <w:highlight w:val="none"/>
          <w:lang w:val="en-US" w:eastAsia="zh-CN"/>
        </w:rPr>
        <w:t>，</w:t>
      </w:r>
      <w:r>
        <w:rPr>
          <w:rFonts w:hint="eastAsia" w:eastAsia="仿宋_GB2312" w:cs="仿宋_GB2312"/>
          <w:color w:val="auto"/>
          <w:sz w:val="32"/>
          <w:szCs w:val="32"/>
          <w:highlight w:val="none"/>
          <w:lang w:val="en-US" w:eastAsia="zh-CN"/>
        </w:rPr>
        <w:t>上年度</w:t>
      </w:r>
      <w:r>
        <w:rPr>
          <w:rFonts w:hint="eastAsia" w:ascii="Times New Roman" w:hAnsi="Times New Roman" w:eastAsia="仿宋_GB2312" w:cs="仿宋_GB2312"/>
          <w:color w:val="auto"/>
          <w:sz w:val="32"/>
          <w:szCs w:val="32"/>
          <w:highlight w:val="none"/>
        </w:rPr>
        <w:t>工业水费收支相抵后结余增加</w:t>
      </w:r>
      <w:r>
        <w:rPr>
          <w:rFonts w:hint="eastAsia" w:eastAsia="仿宋_GB2312" w:cs="仿宋_GB2312"/>
          <w:color w:val="auto"/>
          <w:sz w:val="32"/>
          <w:szCs w:val="32"/>
          <w:highlight w:val="none"/>
          <w:lang w:eastAsia="zh-CN"/>
        </w:rPr>
        <w:t>，</w:t>
      </w:r>
      <w:r>
        <w:rPr>
          <w:rFonts w:hint="eastAsia" w:eastAsia="仿宋_GB2312" w:cs="仿宋_GB2312"/>
          <w:color w:val="auto"/>
          <w:sz w:val="32"/>
          <w:szCs w:val="32"/>
          <w:highlight w:val="none"/>
          <w:lang w:val="en-US" w:eastAsia="zh-CN"/>
        </w:rPr>
        <w:t>实际扣除年初结转结余之后本年度收入为498.05万元，较上年实际收入521.89万元，减少了23.84万元，主要是本年度工业水费收入减少。</w:t>
      </w:r>
    </w:p>
    <w:p w14:paraId="00B36CC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（图1：</w:t>
      </w:r>
      <w:r>
        <w:rPr>
          <w:rFonts w:hint="eastAsia" w:ascii="Times New Roman" w:hAnsi="Times New Roman" w:eastAsia="仿宋_GB2312" w:cs="仿宋_GB2312"/>
          <w:color w:val="auto"/>
          <w:sz w:val="32"/>
          <w:szCs w:val="32"/>
          <w:highlight w:val="none"/>
          <w:lang w:eastAsia="zh-CN"/>
        </w:rPr>
        <w:t>收入</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支出</w:t>
      </w:r>
      <w:r>
        <w:rPr>
          <w:rFonts w:hint="eastAsia" w:ascii="Times New Roman" w:hAnsi="Times New Roman" w:eastAsia="仿宋_GB2312" w:cs="仿宋_GB2312"/>
          <w:color w:val="auto"/>
          <w:sz w:val="32"/>
          <w:szCs w:val="32"/>
          <w:highlight w:val="none"/>
        </w:rPr>
        <w:t>决算总计变动情况图）（柱状图）</w:t>
      </w:r>
    </w:p>
    <w:p w14:paraId="7C5D76BA">
      <w:pPr>
        <w:pStyle w:val="7"/>
        <w:rPr>
          <w:rFonts w:hint="eastAsia" w:ascii="Times New Roman" w:hAnsi="Times New Roman" w:eastAsia="仿宋_GB2312" w:cs="仿宋_GB2312"/>
          <w:color w:val="auto"/>
          <w:sz w:val="32"/>
          <w:szCs w:val="32"/>
          <w:highlight w:val="none"/>
        </w:rPr>
      </w:pPr>
      <w:r>
        <w:rPr>
          <w:rFonts w:hint="eastAsia" w:eastAsia="仿宋_GB2312"/>
          <w:lang w:eastAsia="zh-CN"/>
        </w:rPr>
        <w:drawing>
          <wp:inline distT="0" distB="0" distL="114300" distR="114300">
            <wp:extent cx="5080000" cy="3810000"/>
            <wp:effectExtent l="4445" t="4445" r="20955" b="146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F05238F">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olor w:val="auto"/>
          <w:sz w:val="32"/>
          <w:szCs w:val="32"/>
          <w:highlight w:val="none"/>
          <w:lang w:eastAsia="zh-CN"/>
        </w:rPr>
      </w:pPr>
      <w:bookmarkStart w:id="62" w:name="_Toc15377206"/>
      <w:bookmarkStart w:id="63" w:name="_Toc31771_WPSOffice_Level2"/>
      <w:bookmarkStart w:id="64" w:name="_Toc15396604"/>
      <w:r>
        <w:rPr>
          <w:rFonts w:hint="eastAsia" w:ascii="Times New Roman" w:hAnsi="Times New Roman" w:eastAsia="黑体"/>
          <w:color w:val="auto"/>
          <w:sz w:val="32"/>
          <w:szCs w:val="32"/>
          <w:highlight w:val="none"/>
          <w:lang w:eastAsia="zh-CN"/>
        </w:rPr>
        <w:t>二、收入决算情况说明</w:t>
      </w:r>
      <w:bookmarkEnd w:id="62"/>
      <w:bookmarkEnd w:id="63"/>
      <w:bookmarkEnd w:id="64"/>
    </w:p>
    <w:p w14:paraId="2A3AEA88">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Times New Roman" w:hAnsi="Times New Roman" w:eastAsia="仿宋_GB2312" w:cs="仿宋_GB2312"/>
          <w:b/>
          <w:bCs/>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2024年度本年收入合计</w:t>
      </w:r>
      <w:r>
        <w:rPr>
          <w:rFonts w:hint="eastAsia" w:ascii="仿宋_GB2312" w:hAnsi="仿宋_GB2312" w:eastAsia="仿宋_GB2312" w:cs="仿宋_GB2312"/>
          <w:sz w:val="32"/>
          <w:szCs w:val="32"/>
        </w:rPr>
        <w:t>498.05万元，其中：一般公共预算财政拨款收入443.02</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88.94</w:t>
      </w:r>
      <w:r>
        <w:rPr>
          <w:rFonts w:hint="eastAsia" w:ascii="仿宋_GB2312" w:hAnsi="仿宋_GB2312" w:eastAsia="仿宋_GB2312" w:cs="仿宋_GB2312"/>
          <w:color w:val="auto"/>
          <w:sz w:val="32"/>
          <w:szCs w:val="32"/>
          <w:highlight w:val="none"/>
          <w:lang w:eastAsia="zh-CN"/>
        </w:rPr>
        <w:t>%；政府性基金预算财政拨款收入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%；国有资本经营预算财政拨款收入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%；上级补助收入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%；事业收入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%；经营收入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%；附属单位上缴收入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%；其他收入</w:t>
      </w:r>
      <w:r>
        <w:rPr>
          <w:rFonts w:hint="eastAsia" w:ascii="仿宋_GB2312" w:hAnsi="仿宋_GB2312" w:eastAsia="仿宋_GB2312" w:cs="仿宋_GB2312"/>
          <w:sz w:val="32"/>
          <w:szCs w:val="32"/>
        </w:rPr>
        <w:t>55.04</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11.05</w:t>
      </w:r>
      <w:r>
        <w:rPr>
          <w:rFonts w:hint="eastAsia" w:ascii="仿宋_GB2312" w:hAnsi="仿宋_GB2312" w:eastAsia="仿宋_GB2312" w:cs="仿宋_GB2312"/>
          <w:color w:val="auto"/>
          <w:sz w:val="32"/>
          <w:szCs w:val="32"/>
          <w:highlight w:val="none"/>
          <w:lang w:eastAsia="zh-CN"/>
        </w:rPr>
        <w:t>%。</w:t>
      </w:r>
    </w:p>
    <w:p w14:paraId="691A614F">
      <w:pPr>
        <w:ind w:firstLine="800" w:firstLineChars="250"/>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（图2：收入决算结构图）（饼状图）</w:t>
      </w:r>
    </w:p>
    <w:p w14:paraId="3808704A">
      <w:pPr>
        <w:ind w:firstLine="800" w:firstLineChars="250"/>
        <w:rPr>
          <w:rFonts w:hint="eastAsia" w:ascii="Times New Roman" w:hAnsi="Times New Roman" w:eastAsia="仿宋_GB2312" w:cs="仿宋_GB2312"/>
          <w:color w:val="auto"/>
          <w:sz w:val="32"/>
          <w:szCs w:val="32"/>
          <w:highlight w:val="none"/>
          <w:lang w:eastAsia="zh-CN"/>
        </w:rPr>
      </w:pPr>
    </w:p>
    <w:p w14:paraId="64F62267">
      <w:pPr>
        <w:pStyle w:val="13"/>
        <w:rPr>
          <w:rFonts w:hint="eastAsia" w:ascii="Times New Roman" w:hAnsi="Times New Roman" w:eastAsia="仿宋_GB2312" w:cs="仿宋_GB2312"/>
          <w:color w:val="auto"/>
          <w:sz w:val="32"/>
          <w:szCs w:val="32"/>
          <w:highlight w:val="none"/>
          <w:lang w:eastAsia="zh-CN"/>
        </w:rPr>
      </w:pPr>
    </w:p>
    <w:p w14:paraId="7EE278B2">
      <w:pPr>
        <w:pStyle w:val="7"/>
        <w:rPr>
          <w:rFonts w:hint="eastAsia" w:ascii="Times New Roman" w:hAnsi="Times New Roman" w:eastAsia="仿宋_GB2312" w:cs="仿宋_GB2312"/>
          <w:color w:val="auto"/>
          <w:sz w:val="32"/>
          <w:szCs w:val="32"/>
          <w:highlight w:val="none"/>
          <w:lang w:eastAsia="zh-CN"/>
        </w:rPr>
      </w:pPr>
      <w:r>
        <w:rPr>
          <w:rFonts w:hint="eastAsia" w:ascii="仿宋" w:hAnsi="仿宋" w:eastAsia="仿宋"/>
          <w:sz w:val="32"/>
          <w:szCs w:val="32"/>
          <w:lang w:eastAsia="zh-CN"/>
        </w:rPr>
        <w:drawing>
          <wp:inline distT="0" distB="0" distL="114300" distR="114300">
            <wp:extent cx="5080000" cy="3810000"/>
            <wp:effectExtent l="4445" t="4445" r="20955" b="1460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64D47B1">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29"/>
          <w:rFonts w:hint="eastAsia" w:ascii="Times New Roman" w:hAnsi="Times New Roman" w:eastAsia="黑体"/>
          <w:b w:val="0"/>
          <w:color w:val="auto"/>
          <w:highlight w:val="none"/>
        </w:rPr>
      </w:pPr>
      <w:bookmarkStart w:id="65" w:name="_Toc15396605"/>
      <w:bookmarkStart w:id="66" w:name="_Toc32252_WPSOffice_Level2"/>
      <w:bookmarkStart w:id="67" w:name="_Toc15377207"/>
      <w:r>
        <w:rPr>
          <w:rFonts w:hint="eastAsia" w:ascii="Times New Roman" w:hAnsi="Times New Roman" w:eastAsia="黑体"/>
          <w:color w:val="auto"/>
          <w:sz w:val="32"/>
          <w:szCs w:val="32"/>
          <w:highlight w:val="none"/>
          <w:lang w:eastAsia="zh-CN"/>
        </w:rPr>
        <w:t>三、</w:t>
      </w:r>
      <w:r>
        <w:rPr>
          <w:rFonts w:hint="eastAsia" w:ascii="Times New Roman" w:hAnsi="Times New Roman" w:eastAsia="黑体"/>
          <w:color w:val="auto"/>
          <w:sz w:val="32"/>
          <w:szCs w:val="32"/>
          <w:highlight w:val="none"/>
        </w:rPr>
        <w:t>支</w:t>
      </w:r>
      <w:r>
        <w:rPr>
          <w:rStyle w:val="29"/>
          <w:rFonts w:hint="eastAsia" w:ascii="Times New Roman" w:hAnsi="Times New Roman" w:eastAsia="黑体"/>
          <w:b w:val="0"/>
          <w:color w:val="auto"/>
          <w:highlight w:val="none"/>
        </w:rPr>
        <w:t>出决算情况说明</w:t>
      </w:r>
      <w:bookmarkEnd w:id="65"/>
      <w:bookmarkEnd w:id="66"/>
      <w:bookmarkEnd w:id="67"/>
    </w:p>
    <w:p w14:paraId="3D9C0946">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Times New Roman" w:hAnsi="Times New Roman"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2024年度本年支出合计</w:t>
      </w:r>
      <w:r>
        <w:rPr>
          <w:rFonts w:hint="eastAsia" w:ascii="仿宋_GB2312" w:hAnsi="仿宋_GB2312" w:eastAsia="仿宋_GB2312" w:cs="仿宋_GB2312"/>
          <w:sz w:val="32"/>
          <w:szCs w:val="32"/>
        </w:rPr>
        <w:t>454.56</w:t>
      </w:r>
      <w:r>
        <w:rPr>
          <w:rFonts w:hint="eastAsia" w:ascii="仿宋_GB2312" w:hAnsi="仿宋_GB2312" w:eastAsia="仿宋_GB2312" w:cs="仿宋_GB2312"/>
          <w:color w:val="auto"/>
          <w:sz w:val="32"/>
          <w:szCs w:val="32"/>
          <w:highlight w:val="none"/>
          <w:lang w:eastAsia="zh-CN"/>
        </w:rPr>
        <w:t>万元，其中：基本支出</w:t>
      </w:r>
      <w:r>
        <w:rPr>
          <w:rFonts w:hint="eastAsia" w:ascii="仿宋_GB2312" w:hAnsi="仿宋_GB2312" w:eastAsia="仿宋_GB2312" w:cs="仿宋_GB2312"/>
          <w:sz w:val="32"/>
          <w:szCs w:val="32"/>
        </w:rPr>
        <w:t>454.56</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100</w:t>
      </w:r>
      <w:r>
        <w:rPr>
          <w:rFonts w:hint="eastAsia" w:ascii="仿宋_GB2312" w:hAnsi="仿宋_GB2312" w:eastAsia="仿宋_GB2312" w:cs="仿宋_GB2312"/>
          <w:color w:val="auto"/>
          <w:sz w:val="32"/>
          <w:szCs w:val="32"/>
          <w:highlight w:val="none"/>
          <w:lang w:eastAsia="zh-CN"/>
        </w:rPr>
        <w:t>%；项目支出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%；上缴上级支出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%；经营支出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%；对附属单位补助支出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w:t>
      </w:r>
    </w:p>
    <w:p w14:paraId="006A5016">
      <w:pPr>
        <w:ind w:firstLine="800" w:firstLineChars="250"/>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（图3：支出决算结构图）（饼状图）</w:t>
      </w:r>
    </w:p>
    <w:p w14:paraId="1BD9A3BC">
      <w:pPr>
        <w:pStyle w:val="7"/>
        <w:rPr>
          <w:rFonts w:hint="eastAsia" w:ascii="Times New Roman" w:hAnsi="Times New Roman" w:eastAsia="仿宋_GB2312" w:cs="仿宋_GB2312"/>
          <w:color w:val="auto"/>
          <w:sz w:val="32"/>
          <w:szCs w:val="32"/>
          <w:highlight w:val="none"/>
          <w:lang w:eastAsia="zh-CN"/>
        </w:rPr>
      </w:pPr>
      <w:r>
        <w:rPr>
          <w:rFonts w:hint="eastAsia" w:ascii="仿宋" w:hAnsi="仿宋" w:eastAsia="仿宋"/>
          <w:sz w:val="32"/>
          <w:szCs w:val="32"/>
          <w:shd w:val="pct10" w:color="auto" w:fill="FFFFFF"/>
          <w:lang w:eastAsia="zh-CN"/>
        </w:rPr>
        <w:drawing>
          <wp:inline distT="0" distB="0" distL="114300" distR="114300">
            <wp:extent cx="5080000" cy="3144520"/>
            <wp:effectExtent l="4445" t="4445" r="20955" b="1333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E0E855F">
      <w:pPr>
        <w:spacing w:line="600" w:lineRule="exact"/>
        <w:ind w:firstLine="640" w:firstLineChars="200"/>
        <w:outlineLvl w:val="1"/>
        <w:rPr>
          <w:rStyle w:val="29"/>
          <w:rFonts w:ascii="Times New Roman" w:hAnsi="Times New Roman" w:eastAsia="黑体"/>
          <w:b w:val="0"/>
          <w:color w:val="auto"/>
          <w:highlight w:val="none"/>
        </w:rPr>
      </w:pPr>
      <w:bookmarkStart w:id="68" w:name="_Toc15377208"/>
      <w:bookmarkStart w:id="69" w:name="_Toc17528_WPSOffice_Level2"/>
      <w:bookmarkStart w:id="70" w:name="_Toc15396606"/>
      <w:r>
        <w:rPr>
          <w:rFonts w:hint="eastAsia" w:ascii="Times New Roman" w:hAnsi="Times New Roman" w:eastAsia="黑体"/>
          <w:color w:val="auto"/>
          <w:sz w:val="32"/>
          <w:szCs w:val="32"/>
          <w:highlight w:val="none"/>
        </w:rPr>
        <w:t>四、财</w:t>
      </w:r>
      <w:r>
        <w:rPr>
          <w:rStyle w:val="29"/>
          <w:rFonts w:hint="eastAsia" w:ascii="Times New Roman" w:hAnsi="Times New Roman" w:eastAsia="黑体"/>
          <w:b w:val="0"/>
          <w:color w:val="auto"/>
          <w:highlight w:val="none"/>
        </w:rPr>
        <w:t>政拨款收入支出决算总体情况说明</w:t>
      </w:r>
      <w:bookmarkEnd w:id="68"/>
      <w:bookmarkEnd w:id="69"/>
      <w:bookmarkEnd w:id="70"/>
    </w:p>
    <w:p w14:paraId="5456A469">
      <w:pPr>
        <w:spacing w:line="600" w:lineRule="exact"/>
        <w:ind w:firstLine="640"/>
        <w:rPr>
          <w:rFonts w:hint="default"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2024年度财政拨款收入、支出总计均为</w:t>
      </w:r>
      <w:r>
        <w:rPr>
          <w:rFonts w:hint="eastAsia" w:ascii="仿宋_GB2312" w:hAnsi="仿宋_GB2312" w:eastAsia="仿宋_GB2312" w:cs="仿宋_GB2312"/>
          <w:sz w:val="32"/>
          <w:szCs w:val="32"/>
        </w:rPr>
        <w:t>443.02</w:t>
      </w:r>
      <w:r>
        <w:rPr>
          <w:rFonts w:hint="eastAsia" w:ascii="Times New Roman" w:hAnsi="Times New Roman" w:eastAsia="仿宋_GB2312" w:cs="仿宋_GB2312"/>
          <w:color w:val="auto"/>
          <w:kern w:val="2"/>
          <w:sz w:val="32"/>
          <w:szCs w:val="32"/>
          <w:highlight w:val="none"/>
          <w:lang w:val="en-US" w:eastAsia="zh-CN" w:bidi="ar-SA"/>
        </w:rPr>
        <w:t>万元。与2023年度</w:t>
      </w:r>
      <w:r>
        <w:rPr>
          <w:rFonts w:hint="eastAsia" w:eastAsia="仿宋_GB2312" w:cs="仿宋_GB2312"/>
          <w:color w:val="auto"/>
          <w:kern w:val="2"/>
          <w:sz w:val="32"/>
          <w:szCs w:val="32"/>
          <w:highlight w:val="none"/>
          <w:lang w:val="en-US" w:eastAsia="zh-CN" w:bidi="ar-SA"/>
        </w:rPr>
        <w:t>413.11万元</w:t>
      </w:r>
      <w:r>
        <w:rPr>
          <w:rFonts w:hint="eastAsia" w:ascii="Times New Roman" w:hAnsi="Times New Roman" w:eastAsia="仿宋_GB2312" w:cs="仿宋_GB2312"/>
          <w:color w:val="auto"/>
          <w:kern w:val="2"/>
          <w:sz w:val="32"/>
          <w:szCs w:val="32"/>
          <w:highlight w:val="none"/>
          <w:lang w:val="en-US" w:eastAsia="zh-CN" w:bidi="ar-SA"/>
        </w:rPr>
        <w:t>相比，财政拨款收入总计、支出总计各增加</w:t>
      </w:r>
      <w:r>
        <w:rPr>
          <w:rFonts w:hint="eastAsia" w:eastAsia="仿宋_GB2312" w:cs="仿宋_GB2312"/>
          <w:color w:val="auto"/>
          <w:kern w:val="2"/>
          <w:sz w:val="32"/>
          <w:szCs w:val="32"/>
          <w:highlight w:val="none"/>
          <w:lang w:val="en-US" w:eastAsia="zh-CN" w:bidi="ar-SA"/>
        </w:rPr>
        <w:t>29.91</w:t>
      </w:r>
      <w:r>
        <w:rPr>
          <w:rFonts w:hint="eastAsia" w:ascii="Times New Roman" w:hAnsi="Times New Roman" w:eastAsia="仿宋_GB2312" w:cs="仿宋_GB2312"/>
          <w:color w:val="auto"/>
          <w:kern w:val="2"/>
          <w:sz w:val="32"/>
          <w:szCs w:val="32"/>
          <w:highlight w:val="none"/>
          <w:lang w:val="en-US" w:eastAsia="zh-CN" w:bidi="ar-SA"/>
        </w:rPr>
        <w:t>万元，增长</w:t>
      </w:r>
      <w:r>
        <w:rPr>
          <w:rFonts w:hint="eastAsia" w:eastAsia="仿宋_GB2312" w:cs="仿宋_GB2312"/>
          <w:color w:val="auto"/>
          <w:kern w:val="2"/>
          <w:sz w:val="32"/>
          <w:szCs w:val="32"/>
          <w:highlight w:val="none"/>
          <w:lang w:val="en-US" w:eastAsia="zh-CN" w:bidi="ar-SA"/>
        </w:rPr>
        <w:t>7.24</w:t>
      </w:r>
      <w:r>
        <w:rPr>
          <w:rFonts w:hint="eastAsia" w:ascii="Times New Roman" w:hAnsi="Times New Roman" w:eastAsia="仿宋_GB2312" w:cs="仿宋_GB2312"/>
          <w:color w:val="auto"/>
          <w:kern w:val="2"/>
          <w:sz w:val="32"/>
          <w:szCs w:val="32"/>
          <w:highlight w:val="none"/>
          <w:lang w:val="en-US" w:eastAsia="zh-CN" w:bidi="ar-SA"/>
        </w:rPr>
        <w:t>%。主要变动原因是</w:t>
      </w:r>
      <w:r>
        <w:rPr>
          <w:rFonts w:hint="eastAsia" w:eastAsia="仿宋_GB2312" w:cs="仿宋_GB2312"/>
          <w:color w:val="auto"/>
          <w:kern w:val="2"/>
          <w:sz w:val="32"/>
          <w:szCs w:val="32"/>
          <w:highlight w:val="none"/>
          <w:lang w:val="en-US" w:eastAsia="zh-CN" w:bidi="ar-SA"/>
        </w:rPr>
        <w:t>事业人员工资调资和公用经费的增加，导致财政拨款增加。</w:t>
      </w:r>
    </w:p>
    <w:p w14:paraId="4BC656F5">
      <w:pPr>
        <w:spacing w:line="600" w:lineRule="exact"/>
        <w:ind w:firstLine="640" w:firstLineChars="20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（图4：财政拨款收、支决算总计变动情况）（柱状图）</w:t>
      </w:r>
    </w:p>
    <w:p w14:paraId="6393A172">
      <w:pPr>
        <w:pStyle w:val="7"/>
        <w:rPr>
          <w:rFonts w:hint="eastAsia" w:ascii="Times New Roman" w:hAnsi="Times New Roman" w:eastAsia="仿宋_GB2312" w:cs="仿宋_GB2312"/>
          <w:color w:val="auto"/>
          <w:kern w:val="2"/>
          <w:sz w:val="32"/>
          <w:szCs w:val="32"/>
          <w:highlight w:val="none"/>
          <w:lang w:val="en-US" w:eastAsia="zh-CN" w:bidi="ar-SA"/>
        </w:rPr>
      </w:pPr>
      <w:r>
        <w:rPr>
          <w:rFonts w:hint="eastAsia" w:ascii="仿宋" w:hAnsi="仿宋" w:eastAsia="仿宋"/>
          <w:sz w:val="32"/>
          <w:szCs w:val="32"/>
          <w:lang w:eastAsia="zh-CN"/>
        </w:rPr>
        <w:drawing>
          <wp:inline distT="0" distB="0" distL="114300" distR="114300">
            <wp:extent cx="5080000" cy="2993390"/>
            <wp:effectExtent l="4445" t="4445" r="20955" b="1206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743A46D">
      <w:pPr>
        <w:spacing w:line="600" w:lineRule="exact"/>
        <w:ind w:firstLine="640" w:firstLineChars="200"/>
        <w:outlineLvl w:val="1"/>
        <w:rPr>
          <w:rStyle w:val="29"/>
          <w:rFonts w:ascii="Times New Roman" w:hAnsi="Times New Roman" w:eastAsia="黑体"/>
          <w:b w:val="0"/>
          <w:color w:val="auto"/>
          <w:highlight w:val="none"/>
        </w:rPr>
      </w:pPr>
      <w:bookmarkStart w:id="71" w:name="_Toc15377209"/>
      <w:bookmarkStart w:id="72" w:name="_Toc15396607"/>
      <w:bookmarkStart w:id="73" w:name="_Toc23958_WPSOffice_Level2"/>
      <w:r>
        <w:rPr>
          <w:rFonts w:hint="eastAsia" w:ascii="Times New Roman" w:hAnsi="Times New Roman" w:eastAsia="黑体"/>
          <w:color w:val="auto"/>
          <w:sz w:val="32"/>
          <w:szCs w:val="32"/>
          <w:highlight w:val="none"/>
        </w:rPr>
        <w:t>五、</w:t>
      </w:r>
      <w:r>
        <w:rPr>
          <w:rFonts w:hint="eastAsia" w:ascii="Times New Roman" w:hAnsi="Times New Roman" w:eastAsia="黑体"/>
          <w:b/>
          <w:color w:val="auto"/>
          <w:sz w:val="32"/>
          <w:szCs w:val="32"/>
          <w:highlight w:val="none"/>
        </w:rPr>
        <w:t>一</w:t>
      </w:r>
      <w:r>
        <w:rPr>
          <w:rStyle w:val="29"/>
          <w:rFonts w:hint="eastAsia" w:ascii="Times New Roman" w:hAnsi="Times New Roman" w:eastAsia="黑体"/>
          <w:b w:val="0"/>
          <w:color w:val="auto"/>
          <w:highlight w:val="none"/>
        </w:rPr>
        <w:t>般公共预算财政拨款支出决算情况说明</w:t>
      </w:r>
      <w:bookmarkEnd w:id="71"/>
      <w:bookmarkEnd w:id="72"/>
      <w:bookmarkEnd w:id="73"/>
    </w:p>
    <w:p w14:paraId="36E35980">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74" w:name="_Toc15377210"/>
      <w:bookmarkStart w:id="75" w:name="_Toc8934_WPSOffice_Level3"/>
      <w:r>
        <w:rPr>
          <w:rFonts w:hint="eastAsia" w:ascii="Times New Roman" w:hAnsi="Times New Roman" w:eastAsia="楷体_GB2312" w:cs="楷体_GB2312"/>
          <w:b/>
          <w:color w:val="auto"/>
          <w:sz w:val="32"/>
          <w:szCs w:val="32"/>
          <w:highlight w:val="none"/>
        </w:rPr>
        <w:t>（一）一般公共预算财政拨款支出决算总体情况</w:t>
      </w:r>
      <w:bookmarkEnd w:id="74"/>
      <w:bookmarkEnd w:id="75"/>
    </w:p>
    <w:p w14:paraId="73765E0E">
      <w:pPr>
        <w:spacing w:line="600" w:lineRule="exact"/>
        <w:ind w:firstLine="640"/>
        <w:rPr>
          <w:rFonts w:hint="default"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2024年度一般公共预算财政拨款支出</w:t>
      </w:r>
      <w:r>
        <w:rPr>
          <w:rFonts w:hint="eastAsia" w:ascii="仿宋_GB2312" w:hAnsi="仿宋_GB2312" w:eastAsia="仿宋_GB2312" w:cs="仿宋_GB2312"/>
          <w:sz w:val="32"/>
          <w:szCs w:val="32"/>
        </w:rPr>
        <w:t>443.02</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97.45</w:t>
      </w:r>
      <w:r>
        <w:rPr>
          <w:rFonts w:hint="eastAsia" w:ascii="仿宋_GB2312" w:hAnsi="仿宋_GB2312" w:eastAsia="仿宋_GB2312" w:cs="仿宋_GB2312"/>
          <w:color w:val="auto"/>
          <w:kern w:val="2"/>
          <w:sz w:val="32"/>
          <w:szCs w:val="32"/>
          <w:highlight w:val="none"/>
          <w:lang w:val="en-US" w:eastAsia="zh-CN" w:bidi="ar-SA"/>
        </w:rPr>
        <w:t>%。与2023年度413.11万元相比，一般公共预算财政拨款支出增加29.91万元，增长7.24%。</w:t>
      </w:r>
      <w:r>
        <w:rPr>
          <w:rFonts w:hint="eastAsia" w:ascii="Times New Roman" w:hAnsi="Times New Roman" w:eastAsia="仿宋_GB2312" w:cs="仿宋_GB2312"/>
          <w:color w:val="auto"/>
          <w:kern w:val="2"/>
          <w:sz w:val="32"/>
          <w:szCs w:val="32"/>
          <w:highlight w:val="none"/>
          <w:lang w:val="en-US" w:eastAsia="zh-CN" w:bidi="ar-SA"/>
        </w:rPr>
        <w:t>主要变动原因是</w:t>
      </w:r>
      <w:r>
        <w:rPr>
          <w:rFonts w:hint="eastAsia" w:eastAsia="仿宋_GB2312" w:cs="仿宋_GB2312"/>
          <w:color w:val="auto"/>
          <w:kern w:val="2"/>
          <w:sz w:val="32"/>
          <w:szCs w:val="32"/>
          <w:highlight w:val="none"/>
          <w:lang w:val="en-US" w:eastAsia="zh-CN" w:bidi="ar-SA"/>
        </w:rPr>
        <w:t>事业人员工资调资和公用经费的增加，导致一般公共预算财政拨款支出增加。</w:t>
      </w:r>
    </w:p>
    <w:p w14:paraId="5D74B3B9">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（图5：一般公共预算财政拨款支出决算变动情况）（柱状图）</w:t>
      </w:r>
    </w:p>
    <w:p w14:paraId="111280FE">
      <w:pPr>
        <w:pStyle w:val="7"/>
        <w:rPr>
          <w:rFonts w:hint="eastAsia" w:ascii="Times New Roman" w:hAnsi="Times New Roman" w:eastAsia="仿宋_GB2312" w:cs="仿宋_GB2312"/>
          <w:color w:val="auto"/>
          <w:kern w:val="2"/>
          <w:sz w:val="32"/>
          <w:szCs w:val="32"/>
          <w:highlight w:val="none"/>
          <w:lang w:val="en-US" w:eastAsia="zh-CN" w:bidi="ar-SA"/>
        </w:rPr>
      </w:pPr>
      <w:r>
        <w:rPr>
          <w:rFonts w:hint="eastAsia" w:ascii="仿宋" w:hAnsi="仿宋" w:eastAsia="仿宋"/>
          <w:sz w:val="32"/>
          <w:szCs w:val="32"/>
          <w:lang w:eastAsia="zh-CN"/>
        </w:rPr>
        <w:drawing>
          <wp:inline distT="0" distB="0" distL="114300" distR="114300">
            <wp:extent cx="5080000" cy="3810000"/>
            <wp:effectExtent l="4445" t="4445" r="20955" b="1460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AF2B02A">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76" w:name="_Toc15377211"/>
      <w:bookmarkStart w:id="77" w:name="_Toc9985_WPSOffice_Level3"/>
      <w:r>
        <w:rPr>
          <w:rFonts w:hint="eastAsia" w:ascii="Times New Roman" w:hAnsi="Times New Roman" w:eastAsia="楷体_GB2312" w:cs="楷体_GB2312"/>
          <w:b/>
          <w:color w:val="auto"/>
          <w:sz w:val="32"/>
          <w:szCs w:val="32"/>
          <w:highlight w:val="none"/>
        </w:rPr>
        <w:t>（二）一般公共预算财政拨款支出决算结构情况</w:t>
      </w:r>
      <w:bookmarkEnd w:id="76"/>
      <w:bookmarkEnd w:id="77"/>
    </w:p>
    <w:p w14:paraId="5C6E0B88">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2024年度一般公共预算财政拨款支出</w:t>
      </w:r>
      <w:r>
        <w:rPr>
          <w:rFonts w:hint="eastAsia" w:ascii="仿宋_GB2312" w:hAnsi="仿宋_GB2312" w:eastAsia="仿宋_GB2312" w:cs="仿宋_GB2312"/>
          <w:sz w:val="32"/>
          <w:szCs w:val="32"/>
        </w:rPr>
        <w:t>443.02</w:t>
      </w:r>
      <w:r>
        <w:rPr>
          <w:rFonts w:hint="eastAsia" w:ascii="仿宋_GB2312" w:hAnsi="仿宋_GB2312" w:eastAsia="仿宋_GB2312" w:cs="仿宋_GB2312"/>
          <w:color w:val="auto"/>
          <w:kern w:val="2"/>
          <w:sz w:val="32"/>
          <w:szCs w:val="32"/>
          <w:highlight w:val="none"/>
          <w:lang w:val="en-US" w:eastAsia="zh-CN" w:bidi="ar-SA"/>
        </w:rPr>
        <w:t>万元</w:t>
      </w:r>
      <w:r>
        <w:rPr>
          <w:rFonts w:hint="eastAsia" w:ascii="Times New Roman" w:hAnsi="Times New Roman" w:eastAsia="仿宋_GB2312" w:cs="仿宋_GB2312"/>
          <w:color w:val="auto"/>
          <w:kern w:val="2"/>
          <w:sz w:val="32"/>
          <w:szCs w:val="32"/>
          <w:highlight w:val="none"/>
          <w:lang w:val="en-US" w:eastAsia="zh-CN" w:bidi="ar-SA"/>
        </w:rPr>
        <w:t>，主要用于以下方面</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社会保障和就业支出</w:t>
      </w:r>
      <w:r>
        <w:rPr>
          <w:rFonts w:hint="eastAsia" w:eastAsia="仿宋_GB2312" w:cs="仿宋_GB2312"/>
          <w:color w:val="auto"/>
          <w:kern w:val="2"/>
          <w:sz w:val="32"/>
          <w:szCs w:val="32"/>
          <w:highlight w:val="none"/>
          <w:lang w:val="en-US" w:eastAsia="zh-CN" w:bidi="ar-SA"/>
        </w:rPr>
        <w:t>143.2</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32.32</w:t>
      </w:r>
      <w:r>
        <w:rPr>
          <w:rFonts w:hint="eastAsia" w:ascii="Times New Roman" w:hAnsi="Times New Roman" w:eastAsia="仿宋_GB2312" w:cs="仿宋_GB2312"/>
          <w:color w:val="auto"/>
          <w:kern w:val="2"/>
          <w:sz w:val="32"/>
          <w:szCs w:val="32"/>
          <w:highlight w:val="none"/>
          <w:lang w:val="en-US" w:eastAsia="zh-CN" w:bidi="ar-SA"/>
        </w:rPr>
        <w:t>%；卫生健康支出</w:t>
      </w:r>
      <w:r>
        <w:rPr>
          <w:rFonts w:hint="eastAsia" w:eastAsia="仿宋_GB2312" w:cs="仿宋_GB2312"/>
          <w:color w:val="auto"/>
          <w:kern w:val="2"/>
          <w:sz w:val="32"/>
          <w:szCs w:val="32"/>
          <w:highlight w:val="none"/>
          <w:lang w:val="en-US" w:eastAsia="zh-CN" w:bidi="ar-SA"/>
        </w:rPr>
        <w:t>19.7</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4.45</w:t>
      </w:r>
      <w:r>
        <w:rPr>
          <w:rFonts w:hint="eastAsia" w:ascii="Times New Roman" w:hAnsi="Times New Roman" w:eastAsia="仿宋_GB2312" w:cs="仿宋_GB2312"/>
          <w:color w:val="auto"/>
          <w:kern w:val="2"/>
          <w:sz w:val="32"/>
          <w:szCs w:val="32"/>
          <w:highlight w:val="none"/>
          <w:lang w:val="en-US" w:eastAsia="zh-CN" w:bidi="ar-SA"/>
        </w:rPr>
        <w:t>%；</w:t>
      </w:r>
      <w:r>
        <w:rPr>
          <w:rFonts w:hint="eastAsia" w:eastAsia="仿宋_GB2312" w:cs="仿宋_GB2312"/>
          <w:color w:val="auto"/>
          <w:kern w:val="2"/>
          <w:sz w:val="32"/>
          <w:szCs w:val="32"/>
          <w:highlight w:val="none"/>
          <w:lang w:val="en-US" w:eastAsia="zh-CN" w:bidi="ar-SA"/>
        </w:rPr>
        <w:t>农林水利支出255.75万元占57.73%，</w:t>
      </w:r>
      <w:r>
        <w:rPr>
          <w:rFonts w:hint="eastAsia" w:ascii="Times New Roman" w:hAnsi="Times New Roman" w:eastAsia="仿宋_GB2312" w:cs="仿宋_GB2312"/>
          <w:color w:val="auto"/>
          <w:kern w:val="2"/>
          <w:sz w:val="32"/>
          <w:szCs w:val="32"/>
          <w:highlight w:val="none"/>
          <w:lang w:val="en-US" w:eastAsia="zh-CN" w:bidi="ar-SA"/>
        </w:rPr>
        <w:t>住房保障支出</w:t>
      </w:r>
      <w:r>
        <w:rPr>
          <w:rFonts w:hint="eastAsia" w:eastAsia="仿宋_GB2312" w:cs="仿宋_GB2312"/>
          <w:color w:val="auto"/>
          <w:kern w:val="2"/>
          <w:sz w:val="32"/>
          <w:szCs w:val="32"/>
          <w:highlight w:val="none"/>
          <w:lang w:val="en-US" w:eastAsia="zh-CN" w:bidi="ar-SA"/>
        </w:rPr>
        <w:t>24.36</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5.5</w:t>
      </w:r>
      <w:r>
        <w:rPr>
          <w:rFonts w:hint="eastAsia" w:ascii="Times New Roman" w:hAnsi="Times New Roman" w:eastAsia="仿宋_GB2312" w:cs="仿宋_GB2312"/>
          <w:color w:val="auto"/>
          <w:kern w:val="2"/>
          <w:sz w:val="32"/>
          <w:szCs w:val="32"/>
          <w:highlight w:val="none"/>
          <w:lang w:val="en-US" w:eastAsia="zh-CN" w:bidi="ar-SA"/>
        </w:rPr>
        <w:t>%；</w:t>
      </w:r>
    </w:p>
    <w:p w14:paraId="436A3B5D">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（图6：一般公共预算财政拨款支出决算结构）（饼状图）</w:t>
      </w:r>
    </w:p>
    <w:p w14:paraId="3DB80FED">
      <w:pPr>
        <w:pStyle w:val="13"/>
        <w:rPr>
          <w:rFonts w:hint="eastAsia" w:ascii="Times New Roman" w:hAnsi="Times New Roman" w:eastAsia="仿宋_GB2312" w:cs="仿宋_GB2312"/>
          <w:color w:val="auto"/>
          <w:kern w:val="2"/>
          <w:sz w:val="32"/>
          <w:szCs w:val="32"/>
          <w:highlight w:val="none"/>
          <w:lang w:val="en-US" w:eastAsia="zh-CN" w:bidi="ar-SA"/>
        </w:rPr>
      </w:pPr>
      <w:r>
        <w:rPr>
          <w:rFonts w:hint="eastAsia" w:ascii="仿宋" w:hAnsi="仿宋" w:eastAsia="仿宋"/>
          <w:sz w:val="32"/>
          <w:szCs w:val="32"/>
          <w:lang w:eastAsia="zh-CN"/>
        </w:rPr>
        <w:drawing>
          <wp:inline distT="0" distB="0" distL="114300" distR="114300">
            <wp:extent cx="5080000" cy="3810000"/>
            <wp:effectExtent l="4445" t="4445" r="20955" b="1460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0E3EFCF">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78" w:name="_Toc31771_WPSOffice_Level3"/>
      <w:bookmarkStart w:id="79" w:name="_Toc15377212"/>
      <w:r>
        <w:rPr>
          <w:rFonts w:hint="eastAsia" w:ascii="Times New Roman" w:hAnsi="Times New Roman" w:eastAsia="楷体_GB2312" w:cs="楷体_GB2312"/>
          <w:b/>
          <w:color w:val="auto"/>
          <w:sz w:val="32"/>
          <w:szCs w:val="32"/>
          <w:highlight w:val="none"/>
        </w:rPr>
        <w:t>（三）一般公共预算财政拨款支出决算具体情况</w:t>
      </w:r>
      <w:bookmarkEnd w:id="78"/>
      <w:bookmarkEnd w:id="79"/>
    </w:p>
    <w:p w14:paraId="76D3BBDA">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bookmarkStart w:id="80" w:name="_Toc15378460"/>
      <w:bookmarkStart w:id="81" w:name="_Toc15377444"/>
      <w:bookmarkStart w:id="82" w:name="_Toc15377213"/>
      <w:r>
        <w:rPr>
          <w:rFonts w:hint="eastAsia" w:ascii="Times New Roman" w:hAnsi="Times New Roman" w:eastAsia="仿宋_GB2312" w:cs="仿宋_GB2312"/>
          <w:color w:val="auto"/>
          <w:kern w:val="2"/>
          <w:sz w:val="32"/>
          <w:szCs w:val="32"/>
          <w:highlight w:val="none"/>
          <w:lang w:val="en-US" w:eastAsia="zh-CN" w:bidi="ar-SA"/>
        </w:rPr>
        <w:t>2024年度一般公共预算财政拨款支出决算数为</w:t>
      </w:r>
      <w:r>
        <w:rPr>
          <w:rFonts w:hint="eastAsia" w:ascii="仿宋_GB2312" w:hAnsi="仿宋_GB2312" w:eastAsia="仿宋_GB2312" w:cs="仿宋_GB2312"/>
          <w:sz w:val="32"/>
          <w:szCs w:val="32"/>
        </w:rPr>
        <w:t>443.02</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%。其中：</w:t>
      </w:r>
      <w:bookmarkEnd w:id="80"/>
      <w:bookmarkEnd w:id="81"/>
      <w:bookmarkEnd w:id="82"/>
    </w:p>
    <w:p w14:paraId="43F51E97">
      <w:pPr>
        <w:spacing w:line="600" w:lineRule="exact"/>
        <w:ind w:firstLine="643" w:firstLineChars="200"/>
        <w:rPr>
          <w:rStyle w:val="17"/>
          <w:rFonts w:hint="eastAsia" w:ascii="仿宋" w:hAnsi="仿宋" w:eastAsia="仿宋"/>
          <w:b w:val="0"/>
          <w:bCs/>
          <w:color w:val="000000"/>
          <w:sz w:val="32"/>
          <w:szCs w:val="32"/>
        </w:rPr>
      </w:pPr>
      <w:r>
        <w:rPr>
          <w:rStyle w:val="17"/>
          <w:rFonts w:hint="eastAsia" w:ascii="仿宋" w:hAnsi="仿宋" w:eastAsia="仿宋"/>
          <w:bCs/>
          <w:color w:val="000000"/>
          <w:sz w:val="32"/>
          <w:szCs w:val="32"/>
        </w:rPr>
        <w:t>1</w:t>
      </w:r>
      <w:r>
        <w:rPr>
          <w:rStyle w:val="17"/>
          <w:rFonts w:ascii="仿宋" w:hAnsi="仿宋" w:eastAsia="仿宋"/>
          <w:bCs/>
          <w:color w:val="000000"/>
          <w:sz w:val="32"/>
          <w:szCs w:val="32"/>
        </w:rPr>
        <w:t>.</w:t>
      </w:r>
      <w:r>
        <w:rPr>
          <w:rStyle w:val="17"/>
          <w:rFonts w:hint="eastAsia" w:ascii="仿宋" w:hAnsi="仿宋" w:eastAsia="仿宋"/>
          <w:bCs/>
          <w:color w:val="000000"/>
          <w:sz w:val="32"/>
          <w:szCs w:val="32"/>
        </w:rPr>
        <w:t>社会保障和就业支出（类）行政事业单位养老支出（款）机关事业单位基本养老保险缴费支出（项）</w:t>
      </w:r>
      <w:r>
        <w:rPr>
          <w:rStyle w:val="17"/>
          <w:rFonts w:ascii="仿宋" w:hAnsi="仿宋" w:eastAsia="仿宋"/>
          <w:bCs/>
          <w:color w:val="000000"/>
          <w:sz w:val="32"/>
          <w:szCs w:val="32"/>
        </w:rPr>
        <w:t>:</w:t>
      </w:r>
      <w:r>
        <w:rPr>
          <w:rStyle w:val="17"/>
          <w:rFonts w:ascii="仿宋" w:hAnsi="仿宋" w:eastAsia="仿宋"/>
          <w:b w:val="0"/>
          <w:bCs/>
          <w:color w:val="000000"/>
          <w:sz w:val="32"/>
          <w:szCs w:val="32"/>
        </w:rPr>
        <w:t xml:space="preserve"> </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30.42</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5D4BBBC7">
      <w:pPr>
        <w:spacing w:line="600" w:lineRule="exact"/>
        <w:ind w:firstLine="643" w:firstLineChars="200"/>
        <w:rPr>
          <w:rFonts w:ascii="仿宋" w:hAnsi="仿宋" w:eastAsia="仿宋"/>
          <w:b/>
          <w:color w:val="000000"/>
          <w:sz w:val="32"/>
          <w:szCs w:val="32"/>
        </w:rPr>
      </w:pPr>
      <w:r>
        <w:rPr>
          <w:rStyle w:val="17"/>
          <w:rFonts w:hint="eastAsia" w:ascii="仿宋" w:hAnsi="仿宋" w:eastAsia="仿宋"/>
          <w:bCs/>
          <w:color w:val="000000"/>
          <w:sz w:val="32"/>
          <w:szCs w:val="32"/>
        </w:rPr>
        <w:t>2</w:t>
      </w:r>
      <w:r>
        <w:rPr>
          <w:rStyle w:val="17"/>
          <w:rFonts w:ascii="仿宋" w:hAnsi="仿宋" w:eastAsia="仿宋"/>
          <w:bCs/>
          <w:color w:val="000000"/>
          <w:sz w:val="32"/>
          <w:szCs w:val="32"/>
        </w:rPr>
        <w:t>.</w:t>
      </w:r>
      <w:r>
        <w:rPr>
          <w:rStyle w:val="17"/>
          <w:rFonts w:hint="eastAsia" w:ascii="仿宋" w:hAnsi="仿宋" w:eastAsia="仿宋"/>
          <w:bCs/>
          <w:color w:val="000000"/>
          <w:sz w:val="32"/>
          <w:szCs w:val="32"/>
        </w:rPr>
        <w:t>社会保障和就业支出（类）行政事业单位养老支出（款）机关事业单位职业年金缴费支出（项）</w:t>
      </w:r>
      <w:r>
        <w:rPr>
          <w:rStyle w:val="17"/>
          <w:rFonts w:ascii="仿宋" w:hAnsi="仿宋" w:eastAsia="仿宋"/>
          <w:bCs/>
          <w:color w:val="000000"/>
          <w:sz w:val="32"/>
          <w:szCs w:val="32"/>
        </w:rPr>
        <w:t>:</w:t>
      </w:r>
      <w:r>
        <w:rPr>
          <w:rStyle w:val="17"/>
          <w:rFonts w:ascii="仿宋" w:hAnsi="仿宋" w:eastAsia="仿宋"/>
          <w:b w:val="0"/>
          <w:bCs/>
          <w:color w:val="000000"/>
          <w:sz w:val="32"/>
          <w:szCs w:val="32"/>
        </w:rPr>
        <w:t xml:space="preserve"> </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18.33</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6D7A6EB7">
      <w:pPr>
        <w:spacing w:line="600" w:lineRule="exact"/>
        <w:ind w:firstLine="643" w:firstLineChars="200"/>
        <w:rPr>
          <w:rStyle w:val="17"/>
          <w:rFonts w:hint="eastAsia" w:ascii="仿宋" w:hAnsi="仿宋" w:eastAsia="仿宋"/>
          <w:b w:val="0"/>
          <w:bCs/>
          <w:color w:val="000000"/>
          <w:sz w:val="32"/>
          <w:szCs w:val="32"/>
        </w:rPr>
      </w:pPr>
      <w:r>
        <w:rPr>
          <w:rStyle w:val="17"/>
          <w:rFonts w:hint="eastAsia" w:ascii="仿宋" w:hAnsi="仿宋" w:eastAsia="仿宋"/>
          <w:bCs/>
          <w:color w:val="000000"/>
          <w:sz w:val="32"/>
          <w:szCs w:val="32"/>
        </w:rPr>
        <w:t>3</w:t>
      </w:r>
      <w:r>
        <w:rPr>
          <w:rStyle w:val="17"/>
          <w:rFonts w:ascii="仿宋" w:hAnsi="仿宋" w:eastAsia="仿宋"/>
          <w:bCs/>
          <w:color w:val="000000"/>
          <w:sz w:val="32"/>
          <w:szCs w:val="32"/>
        </w:rPr>
        <w:t>.</w:t>
      </w:r>
      <w:r>
        <w:rPr>
          <w:rStyle w:val="17"/>
          <w:rFonts w:hint="eastAsia" w:ascii="仿宋" w:hAnsi="仿宋" w:eastAsia="仿宋"/>
          <w:bCs/>
          <w:color w:val="000000"/>
          <w:sz w:val="32"/>
          <w:szCs w:val="32"/>
        </w:rPr>
        <w:t>社会保障和就业支出（类）行政事业单位养老支出（款）其他行政事业单位养老支出（项）</w:t>
      </w:r>
      <w:r>
        <w:rPr>
          <w:rStyle w:val="17"/>
          <w:rFonts w:ascii="仿宋" w:hAnsi="仿宋" w:eastAsia="仿宋"/>
          <w:bCs/>
          <w:color w:val="000000"/>
          <w:sz w:val="32"/>
          <w:szCs w:val="32"/>
        </w:rPr>
        <w:t>:</w:t>
      </w:r>
      <w:r>
        <w:rPr>
          <w:rStyle w:val="17"/>
          <w:rFonts w:ascii="仿宋" w:hAnsi="仿宋" w:eastAsia="仿宋"/>
          <w:b w:val="0"/>
          <w:bCs/>
          <w:color w:val="000000"/>
          <w:sz w:val="32"/>
          <w:szCs w:val="32"/>
        </w:rPr>
        <w:t xml:space="preserve"> </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92.66</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21BCD6C8">
      <w:pPr>
        <w:pStyle w:val="2"/>
        <w:ind w:firstLine="640" w:firstLineChars="200"/>
        <w:rPr>
          <w:rFonts w:hint="default" w:eastAsia="仿宋"/>
          <w:lang w:val="en-US" w:eastAsia="zh-CN"/>
        </w:rPr>
      </w:pPr>
      <w:r>
        <w:rPr>
          <w:rFonts w:hint="eastAsia" w:ascii="Times New Roman" w:hAnsi="Times New Roman" w:eastAsia="仿宋_GB2312" w:cs="仿宋_GB2312"/>
          <w:color w:val="auto"/>
          <w:kern w:val="2"/>
          <w:sz w:val="32"/>
          <w:szCs w:val="32"/>
          <w:highlight w:val="none"/>
          <w:lang w:val="en-US" w:eastAsia="zh-CN" w:bidi="ar-SA"/>
        </w:rPr>
        <w:t>4.</w:t>
      </w:r>
      <w:r>
        <w:rPr>
          <w:rStyle w:val="17"/>
          <w:rFonts w:hint="eastAsia" w:ascii="仿宋" w:hAnsi="仿宋" w:eastAsia="仿宋"/>
          <w:bCs/>
          <w:color w:val="000000"/>
          <w:sz w:val="32"/>
          <w:szCs w:val="32"/>
        </w:rPr>
        <w:t>社会保障和就业支出（类）</w:t>
      </w:r>
      <w:r>
        <w:rPr>
          <w:rStyle w:val="17"/>
          <w:rFonts w:hint="eastAsia" w:ascii="仿宋" w:hAnsi="仿宋" w:eastAsia="仿宋"/>
          <w:bCs/>
          <w:color w:val="000000"/>
          <w:sz w:val="32"/>
          <w:szCs w:val="32"/>
          <w:lang w:val="en-US" w:eastAsia="zh-CN"/>
        </w:rPr>
        <w:t>其他社会保障和就业支出</w:t>
      </w:r>
      <w:r>
        <w:rPr>
          <w:rStyle w:val="17"/>
          <w:rFonts w:hint="eastAsia" w:ascii="仿宋" w:hAnsi="仿宋" w:eastAsia="仿宋"/>
          <w:bCs/>
          <w:color w:val="000000"/>
          <w:sz w:val="32"/>
          <w:szCs w:val="32"/>
        </w:rPr>
        <w:t>（款）</w:t>
      </w:r>
      <w:r>
        <w:rPr>
          <w:rStyle w:val="17"/>
          <w:rFonts w:hint="eastAsia" w:ascii="仿宋" w:hAnsi="仿宋" w:eastAsia="仿宋"/>
          <w:bCs/>
          <w:color w:val="000000"/>
          <w:sz w:val="32"/>
          <w:szCs w:val="32"/>
          <w:lang w:val="en-US" w:eastAsia="zh-CN"/>
        </w:rPr>
        <w:t>其他社会保障和就业支出</w:t>
      </w:r>
      <w:r>
        <w:rPr>
          <w:rStyle w:val="17"/>
          <w:rFonts w:hint="eastAsia" w:ascii="仿宋" w:hAnsi="仿宋" w:eastAsia="仿宋"/>
          <w:bCs/>
          <w:color w:val="000000"/>
          <w:sz w:val="32"/>
          <w:szCs w:val="32"/>
        </w:rPr>
        <w:t>（项）</w:t>
      </w:r>
      <w:r>
        <w:rPr>
          <w:rStyle w:val="17"/>
          <w:rFonts w:ascii="仿宋" w:hAnsi="仿宋" w:eastAsia="仿宋"/>
          <w:bCs/>
          <w:color w:val="000000"/>
          <w:sz w:val="32"/>
          <w:szCs w:val="32"/>
        </w:rPr>
        <w:t>:</w:t>
      </w:r>
      <w:r>
        <w:rPr>
          <w:rStyle w:val="17"/>
          <w:rFonts w:ascii="仿宋" w:hAnsi="仿宋" w:eastAsia="仿宋"/>
          <w:b w:val="0"/>
          <w:bCs/>
          <w:color w:val="000000"/>
          <w:sz w:val="32"/>
          <w:szCs w:val="32"/>
        </w:rPr>
        <w:t xml:space="preserve"> </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1.79</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53B7B454">
      <w:pPr>
        <w:spacing w:line="600" w:lineRule="exact"/>
        <w:ind w:firstLine="643" w:firstLineChars="200"/>
        <w:rPr>
          <w:rFonts w:ascii="仿宋" w:hAnsi="仿宋" w:eastAsia="仿宋"/>
          <w:b/>
          <w:color w:val="000000"/>
          <w:sz w:val="32"/>
          <w:szCs w:val="32"/>
        </w:rPr>
      </w:pPr>
      <w:r>
        <w:rPr>
          <w:rFonts w:hint="eastAsia" w:ascii="仿宋" w:hAnsi="仿宋" w:eastAsia="仿宋"/>
          <w:b/>
          <w:bCs/>
          <w:color w:val="000000"/>
          <w:sz w:val="32"/>
          <w:szCs w:val="32"/>
          <w:lang w:val="en-US" w:eastAsia="zh-CN"/>
        </w:rPr>
        <w:t>6.</w:t>
      </w:r>
      <w:r>
        <w:rPr>
          <w:rFonts w:hint="eastAsia" w:ascii="仿宋" w:hAnsi="仿宋" w:eastAsia="仿宋"/>
          <w:b/>
          <w:bCs/>
          <w:color w:val="000000"/>
          <w:sz w:val="32"/>
          <w:szCs w:val="32"/>
        </w:rPr>
        <w:t>卫生健康支出</w:t>
      </w:r>
      <w:r>
        <w:rPr>
          <w:rStyle w:val="17"/>
          <w:rFonts w:hint="eastAsia" w:ascii="仿宋" w:hAnsi="仿宋" w:eastAsia="仿宋"/>
          <w:bCs/>
          <w:color w:val="000000"/>
          <w:sz w:val="32"/>
          <w:szCs w:val="32"/>
        </w:rPr>
        <w:t>（类）行政事业单位医疗（款）事业单位医疗（项）</w:t>
      </w:r>
      <w:r>
        <w:rPr>
          <w:rStyle w:val="17"/>
          <w:rFonts w:ascii="仿宋" w:hAnsi="仿宋" w:eastAsia="仿宋"/>
          <w:bCs/>
          <w:color w:val="000000"/>
          <w:sz w:val="32"/>
          <w:szCs w:val="32"/>
        </w:rPr>
        <w:t>:</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19.7</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0FFFBB33">
      <w:pPr>
        <w:spacing w:line="600" w:lineRule="exact"/>
        <w:ind w:firstLine="643" w:firstLineChars="200"/>
        <w:rPr>
          <w:rFonts w:ascii="仿宋" w:hAnsi="仿宋" w:eastAsia="仿宋"/>
          <w:b/>
          <w:color w:val="000000"/>
          <w:sz w:val="32"/>
          <w:szCs w:val="32"/>
        </w:rPr>
      </w:pPr>
      <w:r>
        <w:rPr>
          <w:rStyle w:val="17"/>
          <w:rFonts w:hint="eastAsia" w:ascii="仿宋" w:hAnsi="仿宋" w:eastAsia="仿宋"/>
          <w:bCs/>
          <w:color w:val="000000"/>
          <w:sz w:val="32"/>
          <w:szCs w:val="32"/>
          <w:lang w:val="en-US" w:eastAsia="zh-CN"/>
        </w:rPr>
        <w:t>7</w:t>
      </w:r>
      <w:r>
        <w:rPr>
          <w:rStyle w:val="17"/>
          <w:rFonts w:ascii="仿宋" w:hAnsi="仿宋" w:eastAsia="仿宋"/>
          <w:bCs/>
          <w:color w:val="000000"/>
          <w:sz w:val="32"/>
          <w:szCs w:val="32"/>
        </w:rPr>
        <w:t>.</w:t>
      </w:r>
      <w:r>
        <w:rPr>
          <w:rFonts w:hint="eastAsia" w:ascii="仿宋" w:hAnsi="仿宋" w:eastAsia="仿宋"/>
          <w:b/>
          <w:bCs/>
          <w:color w:val="000000"/>
          <w:sz w:val="32"/>
          <w:szCs w:val="32"/>
        </w:rPr>
        <w:t>卫生健康支出</w:t>
      </w:r>
      <w:r>
        <w:rPr>
          <w:rStyle w:val="17"/>
          <w:rFonts w:hint="eastAsia" w:ascii="仿宋" w:hAnsi="仿宋" w:eastAsia="仿宋"/>
          <w:bCs/>
          <w:color w:val="000000"/>
          <w:sz w:val="32"/>
          <w:szCs w:val="32"/>
        </w:rPr>
        <w:t>（类）行政事业单位医疗（款）</w:t>
      </w:r>
      <w:r>
        <w:rPr>
          <w:rStyle w:val="17"/>
          <w:rFonts w:hint="eastAsia" w:ascii="仿宋" w:hAnsi="仿宋" w:eastAsia="仿宋"/>
          <w:bCs/>
          <w:color w:val="000000"/>
          <w:sz w:val="32"/>
          <w:szCs w:val="32"/>
          <w:lang w:val="en-US" w:eastAsia="zh-CN"/>
        </w:rPr>
        <w:t>公务员医疗补助</w:t>
      </w:r>
      <w:r>
        <w:rPr>
          <w:rStyle w:val="17"/>
          <w:rFonts w:hint="eastAsia" w:ascii="仿宋" w:hAnsi="仿宋" w:eastAsia="仿宋"/>
          <w:bCs/>
          <w:color w:val="000000"/>
          <w:sz w:val="32"/>
          <w:szCs w:val="32"/>
        </w:rPr>
        <w:t>（项）</w:t>
      </w:r>
      <w:r>
        <w:rPr>
          <w:rStyle w:val="17"/>
          <w:rFonts w:ascii="仿宋" w:hAnsi="仿宋" w:eastAsia="仿宋"/>
          <w:bCs/>
          <w:color w:val="000000"/>
          <w:sz w:val="32"/>
          <w:szCs w:val="32"/>
        </w:rPr>
        <w:t>:</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8.1</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33DDC2AD">
      <w:pPr>
        <w:spacing w:line="600" w:lineRule="exact"/>
        <w:ind w:firstLine="643" w:firstLineChars="200"/>
        <w:rPr>
          <w:rFonts w:hint="eastAsia" w:ascii="Times New Roman" w:hAnsi="Times New Roman" w:eastAsia="仿宋_GB2312" w:cs="仿宋_GB2312"/>
          <w:color w:val="auto"/>
          <w:kern w:val="2"/>
          <w:sz w:val="32"/>
          <w:szCs w:val="32"/>
          <w:highlight w:val="none"/>
          <w:lang w:val="en-US" w:eastAsia="zh-CN" w:bidi="ar-SA"/>
        </w:rPr>
      </w:pPr>
      <w:r>
        <w:rPr>
          <w:rStyle w:val="17"/>
          <w:rFonts w:hint="eastAsia" w:ascii="仿宋" w:hAnsi="仿宋" w:eastAsia="仿宋"/>
          <w:bCs/>
          <w:color w:val="000000"/>
          <w:sz w:val="32"/>
          <w:szCs w:val="32"/>
          <w:lang w:val="en-US" w:eastAsia="zh-CN"/>
        </w:rPr>
        <w:t>8</w:t>
      </w:r>
      <w:r>
        <w:rPr>
          <w:rStyle w:val="17"/>
          <w:rFonts w:ascii="仿宋" w:hAnsi="仿宋" w:eastAsia="仿宋"/>
          <w:bCs/>
          <w:color w:val="000000"/>
          <w:sz w:val="32"/>
          <w:szCs w:val="32"/>
        </w:rPr>
        <w:t>.</w:t>
      </w:r>
      <w:r>
        <w:rPr>
          <w:rStyle w:val="17"/>
          <w:rFonts w:hint="eastAsia" w:ascii="仿宋" w:hAnsi="仿宋" w:eastAsia="仿宋"/>
          <w:bCs/>
          <w:color w:val="000000"/>
          <w:sz w:val="32"/>
          <w:szCs w:val="32"/>
        </w:rPr>
        <w:t>农林水支出（类）</w:t>
      </w:r>
      <w:r>
        <w:rPr>
          <w:rStyle w:val="17"/>
          <w:rFonts w:hint="eastAsia" w:ascii="仿宋" w:hAnsi="仿宋" w:eastAsia="仿宋"/>
          <w:bCs/>
          <w:color w:val="000000"/>
          <w:sz w:val="32"/>
          <w:szCs w:val="32"/>
          <w:lang w:val="en-US" w:eastAsia="zh-CN"/>
        </w:rPr>
        <w:t>水利</w:t>
      </w:r>
      <w:r>
        <w:rPr>
          <w:rStyle w:val="17"/>
          <w:rFonts w:hint="eastAsia" w:ascii="仿宋" w:hAnsi="仿宋" w:eastAsia="仿宋"/>
          <w:bCs/>
          <w:color w:val="000000"/>
          <w:sz w:val="32"/>
          <w:szCs w:val="32"/>
        </w:rPr>
        <w:t>（款）</w:t>
      </w:r>
      <w:r>
        <w:rPr>
          <w:rStyle w:val="17"/>
          <w:rFonts w:hint="eastAsia" w:ascii="仿宋" w:hAnsi="仿宋" w:eastAsia="仿宋"/>
          <w:bCs/>
          <w:color w:val="000000"/>
          <w:sz w:val="32"/>
          <w:szCs w:val="32"/>
          <w:lang w:val="en-US" w:eastAsia="zh-CN"/>
        </w:rPr>
        <w:t>水资源节约管理与保护</w:t>
      </w:r>
      <w:r>
        <w:rPr>
          <w:rStyle w:val="17"/>
          <w:rFonts w:hint="eastAsia" w:ascii="仿宋" w:hAnsi="仿宋" w:eastAsia="仿宋"/>
          <w:bCs/>
          <w:color w:val="000000"/>
          <w:sz w:val="32"/>
          <w:szCs w:val="32"/>
        </w:rPr>
        <w:t>（项）</w:t>
      </w:r>
      <w:r>
        <w:rPr>
          <w:rStyle w:val="17"/>
          <w:rFonts w:hint="eastAsia" w:ascii="仿宋" w:hAnsi="仿宋" w:eastAsia="仿宋"/>
          <w:bCs/>
          <w:color w:val="000000"/>
          <w:sz w:val="32"/>
          <w:szCs w:val="32"/>
          <w:lang w:eastAsia="zh-CN"/>
        </w:rPr>
        <w:t>：</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255.75</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42740481">
      <w:pPr>
        <w:tabs>
          <w:tab w:val="right" w:pos="8306"/>
        </w:tabs>
        <w:spacing w:line="600" w:lineRule="exact"/>
        <w:ind w:firstLine="640"/>
        <w:outlineLvl w:val="1"/>
        <w:rPr>
          <w:rStyle w:val="29"/>
          <w:rFonts w:ascii="Times New Roman" w:hAnsi="Times New Roman"/>
          <w:color w:val="auto"/>
          <w:highlight w:val="none"/>
        </w:rPr>
      </w:pPr>
      <w:bookmarkStart w:id="83" w:name="_Toc15377214"/>
      <w:bookmarkStart w:id="84" w:name="_Toc6585_WPSOffice_Level2"/>
      <w:bookmarkStart w:id="85" w:name="_Toc15396608"/>
      <w:r>
        <w:rPr>
          <w:rFonts w:hint="eastAsia" w:ascii="Times New Roman" w:hAnsi="Times New Roman" w:eastAsia="黑体"/>
          <w:color w:val="auto"/>
          <w:sz w:val="32"/>
          <w:szCs w:val="32"/>
          <w:highlight w:val="none"/>
        </w:rPr>
        <w:t>六</w:t>
      </w:r>
      <w:r>
        <w:rPr>
          <w:rFonts w:hint="eastAsia" w:ascii="Times New Roman" w:hAnsi="Times New Roman" w:eastAsia="黑体"/>
          <w:b/>
          <w:color w:val="auto"/>
          <w:sz w:val="32"/>
          <w:szCs w:val="32"/>
          <w:highlight w:val="none"/>
        </w:rPr>
        <w:t>、一</w:t>
      </w:r>
      <w:r>
        <w:rPr>
          <w:rStyle w:val="29"/>
          <w:rFonts w:hint="eastAsia" w:ascii="Times New Roman" w:hAnsi="Times New Roman" w:eastAsia="黑体"/>
          <w:b w:val="0"/>
          <w:color w:val="auto"/>
          <w:highlight w:val="none"/>
        </w:rPr>
        <w:t>般公共预算财政拨款基本支出决算情况说明</w:t>
      </w:r>
      <w:bookmarkEnd w:id="83"/>
      <w:bookmarkEnd w:id="84"/>
      <w:bookmarkEnd w:id="85"/>
      <w:r>
        <w:rPr>
          <w:rStyle w:val="29"/>
          <w:rFonts w:ascii="Times New Roman" w:hAnsi="Times New Roman" w:eastAsia="黑体"/>
          <w:b w:val="0"/>
          <w:color w:val="auto"/>
          <w:highlight w:val="none"/>
        </w:rPr>
        <w:tab/>
      </w:r>
    </w:p>
    <w:p w14:paraId="7C742128">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2024年度一般公共预算财政拨款基本支出</w:t>
      </w:r>
      <w:r>
        <w:rPr>
          <w:rFonts w:hint="eastAsia" w:ascii="仿宋_GB2312" w:hAnsi="仿宋_GB2312" w:eastAsia="仿宋_GB2312" w:cs="仿宋_GB2312"/>
          <w:sz w:val="32"/>
          <w:szCs w:val="32"/>
        </w:rPr>
        <w:t>443.02</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元，其中：</w:t>
      </w:r>
    </w:p>
    <w:p w14:paraId="168762CB">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人员经费</w:t>
      </w:r>
      <w:r>
        <w:rPr>
          <w:rFonts w:hint="eastAsia" w:ascii="仿宋_GB2312" w:hAnsi="仿宋_GB2312" w:eastAsia="仿宋_GB2312" w:cs="仿宋_GB2312"/>
          <w:sz w:val="32"/>
          <w:szCs w:val="32"/>
        </w:rPr>
        <w:t>420.68</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hint="eastAsia" w:ascii="Times New Roman" w:hAnsi="Times New Roman" w:eastAsia="仿宋_GB2312" w:cs="仿宋_GB2312"/>
          <w:color w:val="auto"/>
          <w:kern w:val="2"/>
          <w:sz w:val="32"/>
          <w:szCs w:val="32"/>
          <w:highlight w:val="none"/>
          <w:lang w:val="en-US" w:eastAsia="zh-CN" w:bidi="ar-SA"/>
        </w:rPr>
        <w:br w:type="textWrapping"/>
      </w:r>
      <w:r>
        <w:rPr>
          <w:rFonts w:hint="eastAsia" w:ascii="Times New Roman" w:hAnsi="Times New Roman" w:eastAsia="仿宋_GB2312" w:cs="仿宋_GB2312"/>
          <w:color w:val="auto"/>
          <w:kern w:val="2"/>
          <w:sz w:val="32"/>
          <w:szCs w:val="32"/>
          <w:highlight w:val="none"/>
          <w:lang w:val="en-US" w:eastAsia="zh-CN" w:bidi="ar-SA"/>
        </w:rPr>
        <w:t>　　公用经费</w:t>
      </w:r>
      <w:r>
        <w:rPr>
          <w:rFonts w:hint="eastAsia" w:ascii="仿宋_GB2312" w:hAnsi="仿宋_GB2312" w:eastAsia="仿宋_GB2312" w:cs="仿宋_GB2312"/>
          <w:sz w:val="32"/>
          <w:szCs w:val="32"/>
        </w:rPr>
        <w:t>22.33</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14:paraId="37B36ACF">
      <w:pPr>
        <w:spacing w:line="600" w:lineRule="exact"/>
        <w:ind w:firstLine="640"/>
        <w:outlineLvl w:val="1"/>
        <w:rPr>
          <w:rStyle w:val="29"/>
          <w:rFonts w:ascii="Times New Roman" w:hAnsi="Times New Roman" w:eastAsia="黑体"/>
          <w:b w:val="0"/>
          <w:color w:val="auto"/>
          <w:highlight w:val="none"/>
        </w:rPr>
      </w:pPr>
      <w:bookmarkStart w:id="86" w:name="_Toc10062_WPSOffice_Level2"/>
      <w:bookmarkStart w:id="87" w:name="_Toc15396609"/>
      <w:bookmarkStart w:id="88" w:name="_Toc15377215"/>
      <w:r>
        <w:rPr>
          <w:rFonts w:hint="eastAsia" w:ascii="Times New Roman" w:hAnsi="Times New Roman" w:eastAsia="黑体"/>
          <w:color w:val="auto"/>
          <w:sz w:val="32"/>
          <w:szCs w:val="32"/>
          <w:highlight w:val="none"/>
        </w:rPr>
        <w:t>七、</w:t>
      </w:r>
      <w:r>
        <w:rPr>
          <w:rStyle w:val="29"/>
          <w:rFonts w:hint="eastAsia" w:ascii="Times New Roman" w:hAnsi="Times New Roman" w:eastAsia="黑体"/>
          <w:b w:val="0"/>
          <w:color w:val="auto"/>
          <w:highlight w:val="none"/>
        </w:rPr>
        <w:t>财政拨款</w:t>
      </w:r>
      <w:r>
        <w:rPr>
          <w:rStyle w:val="29"/>
          <w:rFonts w:hint="eastAsia" w:ascii="Times New Roman" w:hAnsi="Times New Roman" w:eastAsia="黑体"/>
          <w:color w:val="auto"/>
          <w:highlight w:val="none"/>
        </w:rPr>
        <w:t>“</w:t>
      </w:r>
      <w:r>
        <w:rPr>
          <w:rStyle w:val="29"/>
          <w:rFonts w:hint="eastAsia" w:ascii="Times New Roman" w:hAnsi="Times New Roman" w:eastAsia="黑体"/>
          <w:b w:val="0"/>
          <w:color w:val="auto"/>
          <w:highlight w:val="none"/>
        </w:rPr>
        <w:t>三公”经费支出决算情况说明</w:t>
      </w:r>
      <w:bookmarkEnd w:id="86"/>
      <w:bookmarkEnd w:id="87"/>
      <w:bookmarkEnd w:id="88"/>
    </w:p>
    <w:p w14:paraId="4659B87E">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89" w:name="_Toc15377216"/>
      <w:bookmarkStart w:id="90" w:name="_Toc32252_WPSOffice_Level3"/>
      <w:r>
        <w:rPr>
          <w:rFonts w:hint="eastAsia" w:ascii="Times New Roman" w:hAnsi="Times New Roman" w:eastAsia="楷体_GB2312" w:cs="楷体_GB2312"/>
          <w:b/>
          <w:color w:val="auto"/>
          <w:sz w:val="32"/>
          <w:szCs w:val="32"/>
          <w:highlight w:val="none"/>
        </w:rPr>
        <w:t>（一）“三公”经费财政拨款支出决算总体情况说明</w:t>
      </w:r>
      <w:bookmarkEnd w:id="89"/>
      <w:bookmarkEnd w:id="90"/>
    </w:p>
    <w:p w14:paraId="50C970DC">
      <w:pPr>
        <w:spacing w:line="600" w:lineRule="exact"/>
        <w:ind w:firstLine="640"/>
        <w:rPr>
          <w:rFonts w:hint="default" w:ascii="Times New Roman" w:hAnsi="Times New Roman" w:eastAsia="仿宋_GB2312" w:cs="仿宋_GB2312"/>
          <w:b/>
          <w:bCs/>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2024年度“三公”经费财政拨款支出决算为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万元，完成预算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较上年度</w:t>
      </w:r>
      <w:r>
        <w:rPr>
          <w:rFonts w:hint="eastAsia" w:eastAsia="仿宋_GB2312" w:cs="仿宋_GB2312"/>
          <w:color w:val="auto"/>
          <w:kern w:val="2"/>
          <w:sz w:val="32"/>
          <w:szCs w:val="32"/>
          <w:highlight w:val="none"/>
          <w:lang w:val="en-US" w:eastAsia="zh-CN" w:bidi="ar-SA"/>
        </w:rPr>
        <w:t>无增减变动。</w:t>
      </w:r>
    </w:p>
    <w:p w14:paraId="6C041A9A">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91" w:name="_Toc17528_WPSOffice_Level3"/>
      <w:bookmarkStart w:id="92" w:name="_Toc15377217"/>
      <w:r>
        <w:rPr>
          <w:rFonts w:hint="eastAsia" w:ascii="Times New Roman" w:hAnsi="Times New Roman" w:eastAsia="楷体_GB2312" w:cs="楷体_GB2312"/>
          <w:b/>
          <w:color w:val="auto"/>
          <w:sz w:val="32"/>
          <w:szCs w:val="32"/>
          <w:highlight w:val="none"/>
        </w:rPr>
        <w:t>（二）“三公”经费财政拨款支出决算具体情况说明</w:t>
      </w:r>
      <w:bookmarkEnd w:id="91"/>
      <w:bookmarkEnd w:id="92"/>
    </w:p>
    <w:p w14:paraId="23EA7BF5">
      <w:pPr>
        <w:pStyle w:val="2"/>
        <w:spacing w:before="228" w:line="357" w:lineRule="auto"/>
        <w:ind w:left="28" w:right="116" w:firstLine="641"/>
        <w:jc w:val="both"/>
        <w:rPr>
          <w:rFonts w:hint="eastAsia" w:ascii="仿宋_GB2312" w:hAnsi="仿宋_GB2312" w:eastAsia="仿宋_GB2312" w:cs="仿宋_GB2312"/>
          <w:color w:val="auto"/>
          <w:kern w:val="2"/>
          <w:sz w:val="32"/>
          <w:szCs w:val="32"/>
          <w:highlight w:val="none"/>
          <w:lang w:val="en-US" w:eastAsia="zh-CN" w:bidi="ar-SA"/>
        </w:rPr>
      </w:pPr>
      <w:bookmarkStart w:id="93" w:name="_Toc15377218"/>
      <w:bookmarkStart w:id="94" w:name="_Toc15396610"/>
      <w:r>
        <w:rPr>
          <w:rFonts w:hint="eastAsia" w:ascii="仿宋_GB2312" w:hAnsi="仿宋_GB2312" w:eastAsia="仿宋_GB2312" w:cs="仿宋_GB2312"/>
          <w:color w:val="auto"/>
          <w:kern w:val="2"/>
          <w:sz w:val="32"/>
          <w:szCs w:val="32"/>
          <w:highlight w:val="none"/>
          <w:lang w:val="en-US" w:eastAsia="zh-CN" w:bidi="ar-SA"/>
        </w:rPr>
        <w:t>202</w:t>
      </w:r>
      <w:r>
        <w:rPr>
          <w:rFonts w:hint="eastAsia" w:hAnsi="仿宋_GB2312" w:cs="仿宋_GB2312"/>
          <w:color w:val="auto"/>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en-US" w:eastAsia="zh-CN" w:bidi="ar-SA"/>
        </w:rPr>
        <w:t xml:space="preserve"> 年度“三公”经费财政拨款支出决算中，因公出国（境） 费支出决算 0 万元，占 0%；公务用车购置及运行维护费支出决算 0 万元，占 0%；公务接待费支出决算 0 万元，占0%。</w:t>
      </w:r>
    </w:p>
    <w:p w14:paraId="1D7CFBF6">
      <w:pPr>
        <w:pStyle w:val="2"/>
        <w:spacing w:before="228" w:line="357" w:lineRule="auto"/>
        <w:ind w:left="28" w:right="116" w:firstLine="641"/>
        <w:jc w:val="both"/>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1.因公出国（境）经费支出 0 万元，完成预算 0%。全年安排因公出国（境）团组 0 次，出国（境）0 人。因公出国（境）支出决算与 202</w:t>
      </w:r>
      <w:r>
        <w:rPr>
          <w:rFonts w:hint="eastAsia" w:hAnsi="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CN" w:bidi="ar-SA"/>
        </w:rPr>
        <w:t xml:space="preserve"> 年持平。</w:t>
      </w:r>
    </w:p>
    <w:p w14:paraId="4C729EB8">
      <w:pPr>
        <w:pStyle w:val="2"/>
        <w:spacing w:before="228" w:line="357" w:lineRule="auto"/>
        <w:ind w:left="28" w:right="116" w:firstLine="641"/>
        <w:jc w:val="both"/>
        <w:rPr>
          <w:rFonts w:hint="eastAsia" w:hAnsi="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2.公务用车购置及运行维护费支出0 万元,完成预算0%。公务用车购置及运行维护费支出决算</w:t>
      </w:r>
      <w:r>
        <w:rPr>
          <w:rFonts w:hint="eastAsia" w:hAnsi="仿宋_GB2312" w:cs="仿宋_GB2312"/>
          <w:color w:val="auto"/>
          <w:kern w:val="2"/>
          <w:sz w:val="32"/>
          <w:szCs w:val="32"/>
          <w:highlight w:val="none"/>
          <w:lang w:val="en-US" w:eastAsia="zh-CN" w:bidi="ar-SA"/>
        </w:rPr>
        <w:t>与上年度无增减变动。</w:t>
      </w:r>
    </w:p>
    <w:p w14:paraId="7828A04A">
      <w:pPr>
        <w:pStyle w:val="2"/>
        <w:spacing w:before="228" w:line="357" w:lineRule="auto"/>
        <w:ind w:left="28" w:right="116" w:firstLine="641"/>
        <w:jc w:val="both"/>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其中：公务用车购置支出 0 万元。全年按规定更新购置公务用车 0 辆，其中：轿车 0 辆、金额 0 万元，越野车 0 辆、</w:t>
      </w:r>
    </w:p>
    <w:p w14:paraId="0A450A1F">
      <w:pPr>
        <w:pStyle w:val="2"/>
        <w:spacing w:before="228" w:line="357" w:lineRule="auto"/>
        <w:ind w:left="28" w:right="116" w:firstLine="641"/>
        <w:jc w:val="both"/>
        <w:rPr>
          <w:rFonts w:hint="eastAsia" w:ascii="仿宋_GB2312" w:hAnsi="仿宋_GB2312" w:eastAsia="仿宋_GB2312" w:cs="仿宋_GB2312"/>
          <w:color w:val="auto"/>
          <w:kern w:val="2"/>
          <w:sz w:val="32"/>
          <w:szCs w:val="32"/>
          <w:highlight w:val="none"/>
          <w:lang w:val="en-US" w:eastAsia="zh-CN" w:bidi="ar-SA"/>
        </w:rPr>
        <w:sectPr>
          <w:footerReference r:id="rId6" w:type="default"/>
          <w:pgSz w:w="11907" w:h="16839"/>
          <w:pgMar w:top="1431" w:right="1681" w:bottom="1395" w:left="1785" w:header="0" w:footer="1166" w:gutter="0"/>
          <w:pgNumType w:fmt="decimal" w:start="1"/>
          <w:cols w:space="720" w:num="1"/>
        </w:sectPr>
      </w:pPr>
    </w:p>
    <w:p w14:paraId="6C9D74ED">
      <w:pPr>
        <w:pStyle w:val="2"/>
        <w:spacing w:before="228" w:line="357" w:lineRule="auto"/>
        <w:ind w:left="28" w:right="116" w:firstLine="641"/>
        <w:jc w:val="both"/>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金额 0 万元，载客汽车 0 辆、金额 0 万元。截至 202</w:t>
      </w:r>
      <w:r>
        <w:rPr>
          <w:rFonts w:hint="eastAsia" w:hAnsi="仿宋_GB2312" w:cs="仿宋_GB2312"/>
          <w:color w:val="auto"/>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en-US" w:eastAsia="zh-CN" w:bidi="ar-SA"/>
        </w:rPr>
        <w:t xml:space="preserve"> 年 12月 31 日，单位共有公务用车 0 辆，其中：轿车 0 辆、越野车 0 辆、载客汽车 0 辆。</w:t>
      </w:r>
    </w:p>
    <w:p w14:paraId="4F3AAC4F">
      <w:pPr>
        <w:pStyle w:val="2"/>
        <w:spacing w:before="228" w:line="357" w:lineRule="auto"/>
        <w:ind w:left="28" w:right="116" w:firstLine="641"/>
        <w:jc w:val="both"/>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公务用车运行维护费支出 0 万元。</w:t>
      </w:r>
    </w:p>
    <w:p w14:paraId="526CEB9F">
      <w:pPr>
        <w:pStyle w:val="2"/>
        <w:spacing w:before="228" w:line="357" w:lineRule="auto"/>
        <w:ind w:left="28" w:right="116" w:firstLine="641"/>
        <w:jc w:val="both"/>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3.公务接待费支出 0 万元</w:t>
      </w:r>
    </w:p>
    <w:p w14:paraId="3F7B2CE6">
      <w:pPr>
        <w:spacing w:line="600" w:lineRule="exact"/>
        <w:ind w:firstLine="640"/>
        <w:outlineLvl w:val="1"/>
        <w:rPr>
          <w:rStyle w:val="29"/>
          <w:rFonts w:ascii="Times New Roman" w:hAnsi="Times New Roman" w:eastAsia="黑体"/>
          <w:color w:val="auto"/>
          <w:highlight w:val="none"/>
        </w:rPr>
      </w:pPr>
      <w:bookmarkStart w:id="95" w:name="_Toc28483_WPSOffice_Level2"/>
      <w:r>
        <w:rPr>
          <w:rFonts w:hint="eastAsia" w:ascii="Times New Roman" w:hAnsi="Times New Roman" w:eastAsia="黑体"/>
          <w:color w:val="auto"/>
          <w:sz w:val="32"/>
          <w:szCs w:val="32"/>
          <w:highlight w:val="none"/>
        </w:rPr>
        <w:t>八、</w:t>
      </w:r>
      <w:r>
        <w:rPr>
          <w:rStyle w:val="29"/>
          <w:rFonts w:hint="eastAsia" w:ascii="Times New Roman" w:hAnsi="Times New Roman" w:eastAsia="黑体"/>
          <w:b w:val="0"/>
          <w:color w:val="auto"/>
          <w:highlight w:val="none"/>
        </w:rPr>
        <w:t>政府性基金预算支出决算情况说明</w:t>
      </w:r>
      <w:bookmarkEnd w:id="93"/>
      <w:bookmarkEnd w:id="94"/>
      <w:bookmarkEnd w:id="95"/>
    </w:p>
    <w:p w14:paraId="25854728">
      <w:pPr>
        <w:numPr>
          <w:ilvl w:val="0"/>
          <w:numId w:val="0"/>
        </w:numPr>
        <w:spacing w:line="600" w:lineRule="exact"/>
        <w:ind w:left="630" w:leftChars="0"/>
        <w:outlineLvl w:val="1"/>
        <w:rPr>
          <w:rFonts w:hint="eastAsia"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2024年度政府性基金预算财政拨款支出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。与2023年度相比，政府性基金预算财政拨款支出</w:t>
      </w:r>
      <w:bookmarkStart w:id="96" w:name="_Toc15396611"/>
      <w:bookmarkStart w:id="97" w:name="_Toc15377219"/>
      <w:r>
        <w:rPr>
          <w:rFonts w:hint="eastAsia" w:eastAsia="仿宋_GB2312" w:cs="仿宋_GB2312"/>
          <w:color w:val="auto"/>
          <w:kern w:val="2"/>
          <w:sz w:val="32"/>
          <w:szCs w:val="32"/>
          <w:highlight w:val="none"/>
          <w:lang w:val="en-US" w:eastAsia="zh-CN" w:bidi="ar-SA"/>
        </w:rPr>
        <w:t>无增减变动。</w:t>
      </w:r>
    </w:p>
    <w:p w14:paraId="343281A6">
      <w:pPr>
        <w:numPr>
          <w:ilvl w:val="0"/>
          <w:numId w:val="0"/>
        </w:numPr>
        <w:spacing w:line="600" w:lineRule="exact"/>
        <w:ind w:left="630" w:leftChars="0"/>
        <w:outlineLvl w:val="1"/>
        <w:rPr>
          <w:rStyle w:val="29"/>
          <w:rFonts w:ascii="Times New Roman" w:hAnsi="Times New Roman" w:eastAsia="黑体"/>
          <w:b w:val="0"/>
          <w:color w:val="auto"/>
          <w:highlight w:val="none"/>
        </w:rPr>
      </w:pPr>
      <w:bookmarkStart w:id="98" w:name="_Toc24883_WPSOffice_Level2"/>
      <w:r>
        <w:rPr>
          <w:rStyle w:val="29"/>
          <w:rFonts w:hint="eastAsia" w:ascii="Times New Roman" w:hAnsi="Times New Roman" w:eastAsia="黑体"/>
          <w:b w:val="0"/>
          <w:color w:val="auto"/>
          <w:highlight w:val="none"/>
          <w:lang w:eastAsia="zh-CN"/>
        </w:rPr>
        <w:t>九、</w:t>
      </w:r>
      <w:r>
        <w:rPr>
          <w:rStyle w:val="29"/>
          <w:rFonts w:hint="eastAsia" w:ascii="Times New Roman" w:hAnsi="Times New Roman" w:eastAsia="黑体"/>
          <w:b w:val="0"/>
          <w:color w:val="auto"/>
          <w:highlight w:val="none"/>
        </w:rPr>
        <w:t>国有资本经营预算支出决算情况说明</w:t>
      </w:r>
      <w:bookmarkEnd w:id="96"/>
      <w:bookmarkEnd w:id="97"/>
      <w:bookmarkEnd w:id="98"/>
    </w:p>
    <w:p w14:paraId="034334CA">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2024年度国有资本经营预算财政拨款支出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w:t>
      </w:r>
    </w:p>
    <w:p w14:paraId="29DFDA92">
      <w:pPr>
        <w:numPr>
          <w:ilvl w:val="0"/>
          <w:numId w:val="0"/>
        </w:numPr>
        <w:spacing w:line="600" w:lineRule="exact"/>
        <w:ind w:left="630" w:leftChars="0"/>
        <w:outlineLvl w:val="1"/>
        <w:rPr>
          <w:rStyle w:val="29"/>
          <w:rFonts w:hint="eastAsia" w:ascii="Times New Roman" w:hAnsi="Times New Roman" w:eastAsia="黑体"/>
          <w:b w:val="0"/>
          <w:color w:val="auto"/>
          <w:highlight w:val="none"/>
        </w:rPr>
      </w:pPr>
      <w:bookmarkStart w:id="99" w:name="_Toc15396612"/>
      <w:bookmarkStart w:id="100" w:name="_Toc6700_WPSOffice_Level2"/>
      <w:bookmarkStart w:id="101" w:name="_Toc15377221"/>
      <w:r>
        <w:rPr>
          <w:rStyle w:val="29"/>
          <w:rFonts w:hint="eastAsia" w:ascii="Times New Roman" w:hAnsi="Times New Roman" w:eastAsia="黑体"/>
          <w:b w:val="0"/>
          <w:color w:val="auto"/>
          <w:highlight w:val="none"/>
          <w:lang w:eastAsia="zh-CN"/>
        </w:rPr>
        <w:t>十、</w:t>
      </w:r>
      <w:r>
        <w:rPr>
          <w:rStyle w:val="29"/>
          <w:rFonts w:hint="eastAsia" w:ascii="Times New Roman" w:hAnsi="Times New Roman" w:eastAsia="黑体"/>
          <w:b w:val="0"/>
          <w:color w:val="auto"/>
          <w:highlight w:val="none"/>
        </w:rPr>
        <w:t>其他重要事项的情况说明</w:t>
      </w:r>
      <w:bookmarkEnd w:id="99"/>
      <w:bookmarkEnd w:id="100"/>
      <w:bookmarkEnd w:id="101"/>
    </w:p>
    <w:p w14:paraId="53BBF90F">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102" w:name="_Toc23958_WPSOffice_Level3"/>
      <w:bookmarkStart w:id="103" w:name="_Toc15377222"/>
      <w:r>
        <w:rPr>
          <w:rFonts w:hint="eastAsia" w:ascii="Times New Roman" w:hAnsi="Times New Roman" w:eastAsia="楷体_GB2312" w:cs="楷体_GB2312"/>
          <w:b/>
          <w:color w:val="auto"/>
          <w:sz w:val="32"/>
          <w:szCs w:val="32"/>
          <w:highlight w:val="none"/>
        </w:rPr>
        <w:t>（一）机关运行经费支出情况</w:t>
      </w:r>
      <w:bookmarkEnd w:id="102"/>
      <w:bookmarkEnd w:id="103"/>
    </w:p>
    <w:p w14:paraId="0BEE6F35">
      <w:pPr>
        <w:spacing w:line="600" w:lineRule="exact"/>
        <w:ind w:firstLine="640"/>
        <w:rPr>
          <w:rFonts w:hint="default"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sz w:val="32"/>
          <w:szCs w:val="32"/>
        </w:rPr>
        <w:t>乐山市涌斯江水利工程保护服务中心</w:t>
      </w:r>
      <w:r>
        <w:rPr>
          <w:rFonts w:hint="eastAsia" w:ascii="仿宋_GB2312" w:hAnsi="仿宋_GB2312" w:eastAsia="仿宋_GB2312" w:cs="仿宋_GB2312"/>
          <w:color w:val="auto"/>
          <w:kern w:val="2"/>
          <w:sz w:val="32"/>
          <w:szCs w:val="32"/>
          <w:highlight w:val="none"/>
          <w:lang w:val="en-US" w:eastAsia="zh-CN" w:bidi="ar-SA"/>
        </w:rPr>
        <w:t>机关运行经费支出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元，比2023年度</w:t>
      </w:r>
      <w:r>
        <w:rPr>
          <w:rFonts w:hint="eastAsia" w:eastAsia="仿宋_GB2312" w:cs="仿宋_GB2312"/>
          <w:color w:val="auto"/>
          <w:kern w:val="2"/>
          <w:sz w:val="32"/>
          <w:szCs w:val="32"/>
          <w:highlight w:val="none"/>
          <w:lang w:val="en-US" w:eastAsia="zh-CN" w:bidi="ar-SA"/>
        </w:rPr>
        <w:t>无增减变动。</w:t>
      </w:r>
    </w:p>
    <w:p w14:paraId="24D4A780">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104" w:name="_Toc15377223"/>
      <w:bookmarkStart w:id="105" w:name="_Toc6585_WPSOffice_Level3"/>
      <w:r>
        <w:rPr>
          <w:rFonts w:hint="eastAsia" w:ascii="Times New Roman" w:hAnsi="Times New Roman" w:eastAsia="楷体_GB2312" w:cs="楷体_GB2312"/>
          <w:b/>
          <w:color w:val="auto"/>
          <w:sz w:val="32"/>
          <w:szCs w:val="32"/>
          <w:highlight w:val="none"/>
        </w:rPr>
        <w:t>（二）政府采购支出情况</w:t>
      </w:r>
      <w:bookmarkEnd w:id="104"/>
      <w:bookmarkEnd w:id="105"/>
    </w:p>
    <w:p w14:paraId="2BB63B99">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w:t>
      </w:r>
      <w:r>
        <w:rPr>
          <w:rFonts w:hint="eastAsia" w:ascii="仿宋_GB2312" w:hAnsi="仿宋_GB2312" w:eastAsia="仿宋_GB2312" w:cs="仿宋_GB2312"/>
          <w:sz w:val="32"/>
          <w:szCs w:val="32"/>
        </w:rPr>
        <w:t>乐山市涌斯江水利工程保护服务中心</w:t>
      </w:r>
      <w:r>
        <w:rPr>
          <w:rFonts w:hint="eastAsia" w:ascii="仿宋_GB2312" w:hAnsi="仿宋_GB2312" w:eastAsia="仿宋_GB2312" w:cs="仿宋_GB2312"/>
          <w:color w:val="auto"/>
          <w:kern w:val="2"/>
          <w:sz w:val="32"/>
          <w:szCs w:val="32"/>
          <w:highlight w:val="none"/>
          <w:lang w:val="en-US" w:eastAsia="zh-CN" w:bidi="ar-SA"/>
        </w:rPr>
        <w:t>政府采购支出总额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万元，其中：政府采购货物支出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万元、政府采购工程支出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万元、政府采购服务支出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万元。授予中小企业合同金额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万元，占政府采购支出总额的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%，其中：授予小微企业合同金额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万元，占政府采购支出总额的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p>
    <w:p w14:paraId="71910067">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14:paraId="0B8917B3">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106" w:name="_Toc15377224"/>
      <w:bookmarkStart w:id="107" w:name="_Toc10062_WPSOffice_Level3"/>
      <w:r>
        <w:rPr>
          <w:rFonts w:hint="eastAsia" w:ascii="Times New Roman" w:hAnsi="Times New Roman" w:eastAsia="楷体_GB2312" w:cs="楷体_GB2312"/>
          <w:b/>
          <w:color w:val="auto"/>
          <w:sz w:val="32"/>
          <w:szCs w:val="32"/>
          <w:highlight w:val="none"/>
        </w:rPr>
        <w:t>（三）国有资产占有使用情况</w:t>
      </w:r>
      <w:bookmarkEnd w:id="106"/>
      <w:bookmarkEnd w:id="107"/>
    </w:p>
    <w:p w14:paraId="6B3C49C0">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截至2024年12月31日，</w:t>
      </w:r>
      <w:r>
        <w:rPr>
          <w:rFonts w:hint="eastAsia" w:ascii="仿宋_GB2312" w:hAnsi="仿宋_GB2312" w:eastAsia="仿宋_GB2312" w:cs="仿宋_GB2312"/>
          <w:sz w:val="32"/>
          <w:szCs w:val="32"/>
        </w:rPr>
        <w:t>乐山市涌斯江水利工程保护服务中心</w:t>
      </w:r>
      <w:r>
        <w:rPr>
          <w:rFonts w:hint="eastAsia" w:ascii="仿宋_GB2312" w:hAnsi="仿宋_GB2312" w:eastAsia="仿宋_GB2312" w:cs="仿宋_GB2312"/>
          <w:color w:val="auto"/>
          <w:kern w:val="2"/>
          <w:sz w:val="32"/>
          <w:szCs w:val="32"/>
          <w:highlight w:val="none"/>
          <w:lang w:val="en-US" w:eastAsia="zh-CN" w:bidi="ar-SA"/>
        </w:rPr>
        <w:t>共有车辆</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辆，其中：主要负责人用车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辆、机要通信用车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辆、应急保障用车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辆、其他用车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辆。单价100万元（含）以上设备（不含车辆）</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台（套）</w:t>
      </w:r>
      <w:r>
        <w:rPr>
          <w:rFonts w:hint="eastAsia" w:ascii="Times New Roman" w:hAnsi="Times New Roman" w:eastAsia="仿宋_GB2312" w:cs="仿宋_GB2312"/>
          <w:color w:val="auto"/>
          <w:kern w:val="2"/>
          <w:sz w:val="32"/>
          <w:szCs w:val="32"/>
          <w:highlight w:val="none"/>
          <w:lang w:val="en-US" w:eastAsia="zh-CN" w:bidi="ar-SA"/>
        </w:rPr>
        <w:t>。</w:t>
      </w:r>
    </w:p>
    <w:p w14:paraId="41E7119F">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108" w:name="_Toc28483_WPSOffice_Level3"/>
      <w:r>
        <w:rPr>
          <w:rFonts w:hint="eastAsia" w:ascii="Times New Roman" w:hAnsi="Times New Roman" w:eastAsia="楷体_GB2312" w:cs="楷体_GB2312"/>
          <w:b/>
          <w:color w:val="auto"/>
          <w:sz w:val="32"/>
          <w:szCs w:val="32"/>
          <w:highlight w:val="none"/>
        </w:rPr>
        <w:t>（四）预算绩效管理情况</w:t>
      </w:r>
      <w:bookmarkEnd w:id="108"/>
    </w:p>
    <w:p w14:paraId="55485C62">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根据预算绩效管理要求，</w:t>
      </w:r>
      <w:r>
        <w:rPr>
          <w:rFonts w:hint="eastAsia" w:eastAsia="仿宋_GB2312" w:cs="仿宋_GB2312"/>
          <w:color w:val="auto"/>
          <w:kern w:val="2"/>
          <w:sz w:val="32"/>
          <w:szCs w:val="32"/>
          <w:highlight w:val="none"/>
          <w:lang w:val="en-US" w:eastAsia="zh-CN" w:bidi="ar-SA"/>
        </w:rPr>
        <w:t>本单位</w:t>
      </w:r>
      <w:r>
        <w:rPr>
          <w:rFonts w:hint="eastAsia" w:ascii="Times New Roman" w:hAnsi="Times New Roman" w:eastAsia="仿宋_GB2312" w:cs="仿宋_GB2312"/>
          <w:color w:val="auto"/>
          <w:kern w:val="2"/>
          <w:sz w:val="32"/>
          <w:szCs w:val="32"/>
          <w:highlight w:val="none"/>
          <w:lang w:val="en-US" w:eastAsia="zh-CN" w:bidi="ar-SA"/>
        </w:rPr>
        <w:t>在2024年度预算编制阶段，组织对</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个项目开展了预算事前绩效评估，对</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个项目编制了绩效目标，预算执行过程中，选取</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个项目开展绩效监控。</w:t>
      </w:r>
    </w:p>
    <w:p w14:paraId="2D8E352F">
      <w:pPr>
        <w:numPr>
          <w:ilvl w:val="0"/>
          <w:numId w:val="0"/>
        </w:numPr>
        <w:spacing w:line="600" w:lineRule="exact"/>
        <w:jc w:val="center"/>
        <w:outlineLvl w:val="0"/>
        <w:rPr>
          <w:rFonts w:hint="eastAsia" w:ascii="Times New Roman" w:hAnsi="Times New Roman" w:eastAsia="黑体"/>
          <w:color w:val="auto"/>
          <w:sz w:val="44"/>
          <w:szCs w:val="44"/>
          <w:highlight w:val="none"/>
        </w:rPr>
      </w:pPr>
      <w:bookmarkStart w:id="109" w:name="_Toc15396613"/>
      <w:bookmarkStart w:id="110" w:name="_Toc15377225"/>
      <w:bookmarkStart w:id="111" w:name="_Toc8934_WPSOffice_Level1"/>
      <w:r>
        <w:rPr>
          <w:rFonts w:hint="eastAsia" w:ascii="Times New Roman" w:hAnsi="Times New Roman" w:eastAsia="黑体"/>
          <w:color w:val="auto"/>
          <w:sz w:val="44"/>
          <w:szCs w:val="44"/>
          <w:highlight w:val="none"/>
        </w:rPr>
        <w:t>第</w:t>
      </w:r>
      <w:r>
        <w:rPr>
          <w:rFonts w:hint="eastAsia" w:eastAsia="黑体"/>
          <w:color w:val="auto"/>
          <w:sz w:val="44"/>
          <w:szCs w:val="44"/>
          <w:highlight w:val="none"/>
          <w:lang w:eastAsia="zh-CN"/>
        </w:rPr>
        <w:t>三</w:t>
      </w:r>
      <w:r>
        <w:rPr>
          <w:rFonts w:hint="eastAsia" w:ascii="Times New Roman" w:hAnsi="Times New Roman" w:eastAsia="黑体"/>
          <w:color w:val="auto"/>
          <w:sz w:val="44"/>
          <w:szCs w:val="44"/>
          <w:highlight w:val="none"/>
        </w:rPr>
        <w:t>部分</w:t>
      </w:r>
      <w:r>
        <w:rPr>
          <w:rFonts w:hint="eastAsia" w:ascii="Times New Roman" w:hAnsi="Times New Roman" w:eastAsia="黑体"/>
          <w:color w:val="auto"/>
          <w:sz w:val="44"/>
          <w:szCs w:val="44"/>
          <w:highlight w:val="none"/>
          <w:lang w:val="en-US" w:eastAsia="zh-CN"/>
        </w:rPr>
        <w:t xml:space="preserve"> </w:t>
      </w:r>
      <w:r>
        <w:rPr>
          <w:rFonts w:hint="eastAsia" w:eastAsia="黑体"/>
          <w:color w:val="auto"/>
          <w:sz w:val="44"/>
          <w:szCs w:val="44"/>
          <w:highlight w:val="none"/>
          <w:lang w:val="en-US" w:eastAsia="zh-CN"/>
        </w:rPr>
        <w:t xml:space="preserve"> </w:t>
      </w:r>
      <w:r>
        <w:rPr>
          <w:rFonts w:hint="eastAsia" w:ascii="Times New Roman" w:hAnsi="Times New Roman" w:eastAsia="黑体"/>
          <w:color w:val="auto"/>
          <w:sz w:val="44"/>
          <w:szCs w:val="44"/>
          <w:highlight w:val="none"/>
        </w:rPr>
        <w:t>名词解释</w:t>
      </w:r>
      <w:bookmarkEnd w:id="109"/>
      <w:bookmarkEnd w:id="110"/>
      <w:bookmarkEnd w:id="111"/>
    </w:p>
    <w:p w14:paraId="6ED5A6A0">
      <w:pPr>
        <w:spacing w:line="600" w:lineRule="exact"/>
        <w:jc w:val="left"/>
        <w:rPr>
          <w:rFonts w:ascii="Times New Roman" w:hAnsi="Times New Roman"/>
          <w:b/>
          <w:color w:val="auto"/>
          <w:sz w:val="44"/>
          <w:szCs w:val="44"/>
          <w:highlight w:val="none"/>
        </w:rPr>
      </w:pPr>
    </w:p>
    <w:p w14:paraId="60CEF728">
      <w:pPr>
        <w:pStyle w:val="26"/>
        <w:spacing w:line="560" w:lineRule="exact"/>
        <w:ind w:firstLine="640" w:firstLineChars="200"/>
        <w:rPr>
          <w:rFonts w:ascii="仿宋_GB2312" w:eastAsia="仿宋_GB2312"/>
          <w:color w:val="auto"/>
          <w:sz w:val="32"/>
          <w:szCs w:val="32"/>
        </w:rPr>
      </w:pPr>
      <w:bookmarkStart w:id="112" w:name="_Toc15396614"/>
      <w:bookmarkStart w:id="113" w:name="_Toc15377226"/>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p>
    <w:p w14:paraId="50BE5ACC">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事业收入：指事业单位开展专业业务活动及辅助活动取得的收入。</w:t>
      </w:r>
    </w:p>
    <w:p w14:paraId="281AA4B9">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经营收入：指事业单位在专业业务活动及其辅助活动之外开展非独立核算经营活动取得的收入。</w:t>
      </w:r>
    </w:p>
    <w:p w14:paraId="6ADD9B45">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其他收入：指单位取得的除上述收入以外的各项收入。主要是</w:t>
      </w:r>
      <w:r>
        <w:rPr>
          <w:rFonts w:hint="eastAsia" w:ascii="仿宋_GB2312" w:eastAsia="仿宋_GB2312"/>
          <w:sz w:val="32"/>
          <w:szCs w:val="32"/>
        </w:rPr>
        <w:t>利息</w:t>
      </w:r>
      <w:r>
        <w:rPr>
          <w:rFonts w:hint="eastAsia" w:ascii="仿宋_GB2312" w:eastAsia="仿宋_GB2312"/>
          <w:color w:val="auto"/>
          <w:sz w:val="32"/>
          <w:szCs w:val="32"/>
        </w:rPr>
        <w:t>收入等。</w:t>
      </w:r>
      <w:r>
        <w:rPr>
          <w:rFonts w:ascii="仿宋_GB2312" w:eastAsia="仿宋_GB2312"/>
          <w:color w:val="auto"/>
          <w:sz w:val="32"/>
          <w:szCs w:val="32"/>
        </w:rPr>
        <w:t xml:space="preserve"> </w:t>
      </w:r>
    </w:p>
    <w:p w14:paraId="580E5520">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eastAsia="仿宋_GB2312"/>
          <w:color w:val="auto"/>
          <w:sz w:val="32"/>
          <w:szCs w:val="32"/>
        </w:rPr>
        <w:t>使用非财政拨款结余：指事业单位使用以前年度积累的非财政拨款结余弥补当年收支差额的金额。</w:t>
      </w:r>
      <w:r>
        <w:rPr>
          <w:rFonts w:ascii="仿宋_GB2312" w:eastAsia="仿宋_GB2312"/>
          <w:color w:val="auto"/>
          <w:sz w:val="32"/>
          <w:szCs w:val="32"/>
        </w:rPr>
        <w:t xml:space="preserve"> </w:t>
      </w:r>
    </w:p>
    <w:p w14:paraId="077BFEE5">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年初结转和结余：指以前年度尚未完成、结转到本年按有关规定继续使用的资金。</w:t>
      </w:r>
      <w:r>
        <w:rPr>
          <w:rFonts w:ascii="仿宋_GB2312" w:eastAsia="仿宋_GB2312"/>
          <w:color w:val="auto"/>
          <w:sz w:val="32"/>
          <w:szCs w:val="32"/>
        </w:rPr>
        <w:t xml:space="preserve"> </w:t>
      </w:r>
    </w:p>
    <w:p w14:paraId="3FDA6DF7">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结余分配：指事业单位按照会计制度规定缴纳的所得税、提取的专用结余以及转入非财政拨款结余的金额等。</w:t>
      </w:r>
    </w:p>
    <w:p w14:paraId="1073B082">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、年末结转和结余：指单位按有关规定结转到下年或以后年度继续使用的资金。</w:t>
      </w:r>
    </w:p>
    <w:p w14:paraId="34213095">
      <w:pPr>
        <w:ind w:firstLine="640" w:firstLineChars="200"/>
        <w:rPr>
          <w:rFonts w:ascii="仿宋_GB2312" w:eastAsia="仿宋_GB2312"/>
          <w:sz w:val="32"/>
          <w:szCs w:val="32"/>
        </w:rPr>
      </w:pPr>
      <w:r>
        <w:rPr>
          <w:rFonts w:ascii="仿宋_GB2312" w:eastAsia="仿宋_GB2312"/>
          <w:sz w:val="32"/>
          <w:szCs w:val="32"/>
        </w:rPr>
        <w:t>9.</w:t>
      </w:r>
      <w:r>
        <w:rPr>
          <w:rFonts w:hint="eastAsia" w:ascii="仿宋_GB2312" w:eastAsia="仿宋_GB2312"/>
          <w:sz w:val="32"/>
          <w:szCs w:val="32"/>
        </w:rPr>
        <w:t>社会保障和就业支出（类）行政事业单位养老支出（款）机关事业单位基本养老保险缴费支出（项）：</w:t>
      </w:r>
      <w:r>
        <w:rPr>
          <w:rFonts w:hint="eastAsia" w:ascii="仿宋_GB2312" w:hAnsi="sans-serif" w:eastAsia="仿宋_GB2312" w:cs="sans-serif"/>
          <w:sz w:val="32"/>
          <w:szCs w:val="32"/>
        </w:rPr>
        <w:t>指用于机关事业单位基本养老保险缴费支出</w:t>
      </w:r>
      <w:r>
        <w:rPr>
          <w:rFonts w:hint="eastAsia" w:ascii="仿宋_GB2312" w:eastAsia="仿宋_GB2312"/>
          <w:sz w:val="32"/>
          <w:szCs w:val="32"/>
        </w:rPr>
        <w:t>。</w:t>
      </w:r>
    </w:p>
    <w:p w14:paraId="681A1328">
      <w:pPr>
        <w:ind w:firstLine="640" w:firstLineChars="200"/>
        <w:rPr>
          <w:rFonts w:ascii="仿宋_GB2312" w:eastAsia="仿宋_GB2312"/>
          <w:sz w:val="32"/>
          <w:szCs w:val="32"/>
        </w:rPr>
      </w:pPr>
      <w:r>
        <w:rPr>
          <w:rFonts w:ascii="仿宋_GB2312" w:eastAsia="仿宋_GB2312"/>
          <w:sz w:val="32"/>
          <w:szCs w:val="32"/>
        </w:rPr>
        <w:t>10.</w:t>
      </w:r>
      <w:r>
        <w:rPr>
          <w:rFonts w:hint="eastAsia" w:ascii="仿宋_GB2312" w:hAnsi="sans-serif" w:eastAsia="仿宋_GB2312" w:cs="sans-serif"/>
          <w:sz w:val="32"/>
          <w:szCs w:val="32"/>
        </w:rPr>
        <w:t>社会保障和就业支出（类）行政事业单位养老支出（款）机关事业单位职业年金缴费支出（项）：指用于机关事业单位职业年金缴费支出</w:t>
      </w:r>
      <w:r>
        <w:rPr>
          <w:rFonts w:hint="eastAsia" w:ascii="仿宋_GB2312" w:eastAsia="仿宋_GB2312"/>
          <w:sz w:val="32"/>
          <w:szCs w:val="32"/>
        </w:rPr>
        <w:t>。</w:t>
      </w:r>
    </w:p>
    <w:p w14:paraId="48CDEAC3">
      <w:pPr>
        <w:pStyle w:val="26"/>
        <w:spacing w:line="560" w:lineRule="exact"/>
        <w:ind w:firstLine="640" w:firstLineChars="200"/>
        <w:rPr>
          <w:rFonts w:ascii="仿宋_GB2312" w:eastAsia="仿宋_GB2312"/>
          <w:sz w:val="32"/>
          <w:szCs w:val="32"/>
        </w:rPr>
      </w:pPr>
      <w:r>
        <w:rPr>
          <w:rFonts w:ascii="仿宋_GB2312" w:eastAsia="仿宋_GB2312"/>
          <w:sz w:val="32"/>
          <w:szCs w:val="32"/>
        </w:rPr>
        <w:t>11.</w:t>
      </w:r>
      <w:r>
        <w:rPr>
          <w:rFonts w:hint="eastAsia" w:ascii="仿宋_GB2312" w:hAnsi="sans-serif" w:eastAsia="仿宋_GB2312" w:cs="sans-serif"/>
          <w:sz w:val="32"/>
          <w:szCs w:val="32"/>
        </w:rPr>
        <w:t>社会保障和就业支出（类）行政事业单位养老支出（款）其他行政事业单位养老支出（项）：指离退休人员的支出</w:t>
      </w:r>
      <w:r>
        <w:rPr>
          <w:rFonts w:hint="eastAsia" w:ascii="仿宋_GB2312" w:eastAsia="仿宋_GB2312"/>
          <w:sz w:val="32"/>
          <w:szCs w:val="32"/>
        </w:rPr>
        <w:t>。</w:t>
      </w:r>
    </w:p>
    <w:p w14:paraId="2A0CF263">
      <w:pPr>
        <w:ind w:firstLine="640" w:firstLineChars="200"/>
        <w:rPr>
          <w:rFonts w:ascii="仿宋_GB2312" w:eastAsia="仿宋_GB2312"/>
          <w:sz w:val="32"/>
          <w:szCs w:val="32"/>
        </w:rPr>
      </w:pPr>
      <w:r>
        <w:rPr>
          <w:rFonts w:ascii="仿宋_GB2312" w:eastAsia="仿宋_GB2312"/>
          <w:sz w:val="32"/>
          <w:szCs w:val="32"/>
        </w:rPr>
        <w:t>12.</w:t>
      </w:r>
      <w:r>
        <w:rPr>
          <w:rFonts w:hint="eastAsia" w:ascii="仿宋_GB2312" w:hAnsi="sans-serif" w:eastAsia="仿宋_GB2312" w:cs="sans-serif"/>
          <w:sz w:val="32"/>
          <w:szCs w:val="32"/>
        </w:rPr>
        <w:t>卫生健康支出（类）行政事业单位医疗（款）事业单位医疗（项）：指用于按政策规定为单位职工缴纳医疗保险金等支出</w:t>
      </w:r>
      <w:r>
        <w:rPr>
          <w:rFonts w:hint="eastAsia" w:ascii="仿宋_GB2312" w:eastAsia="仿宋_GB2312"/>
          <w:sz w:val="32"/>
          <w:szCs w:val="32"/>
        </w:rPr>
        <w:t>。</w:t>
      </w:r>
    </w:p>
    <w:p w14:paraId="7B6F94F8">
      <w:pPr>
        <w:ind w:firstLine="640" w:firstLineChars="200"/>
        <w:rPr>
          <w:rFonts w:ascii="仿宋_GB2312" w:eastAsia="仿宋_GB2312"/>
          <w:sz w:val="32"/>
          <w:szCs w:val="32"/>
        </w:rPr>
      </w:pPr>
      <w:r>
        <w:rPr>
          <w:rFonts w:ascii="仿宋_GB2312" w:eastAsia="仿宋_GB2312"/>
          <w:sz w:val="32"/>
          <w:szCs w:val="32"/>
        </w:rPr>
        <w:t>13.</w:t>
      </w:r>
      <w:r>
        <w:rPr>
          <w:rFonts w:hint="eastAsia" w:ascii="仿宋_GB2312" w:hAnsi="sans-serif" w:eastAsia="仿宋_GB2312" w:cs="sans-serif"/>
          <w:sz w:val="32"/>
          <w:szCs w:val="32"/>
        </w:rPr>
        <w:t>交通运输支出（类）公路水路运输（款）公路养护（项）：指用于道路维修维护等支出</w:t>
      </w:r>
      <w:r>
        <w:rPr>
          <w:rFonts w:hint="eastAsia" w:ascii="仿宋_GB2312" w:eastAsia="仿宋_GB2312"/>
          <w:sz w:val="32"/>
          <w:szCs w:val="32"/>
        </w:rPr>
        <w:t>。</w:t>
      </w:r>
    </w:p>
    <w:p w14:paraId="2FBB7FD7">
      <w:pPr>
        <w:ind w:firstLine="640" w:firstLineChars="200"/>
        <w:rPr>
          <w:rFonts w:ascii="仿宋_GB2312" w:eastAsia="仿宋_GB2312"/>
          <w:sz w:val="32"/>
          <w:szCs w:val="32"/>
        </w:rPr>
      </w:pPr>
      <w:r>
        <w:rPr>
          <w:rFonts w:ascii="仿宋_GB2312" w:eastAsia="仿宋_GB2312"/>
          <w:sz w:val="32"/>
          <w:szCs w:val="32"/>
        </w:rPr>
        <w:t>14.</w:t>
      </w:r>
      <w:r>
        <w:rPr>
          <w:rFonts w:hint="eastAsia" w:ascii="仿宋_GB2312" w:hAnsi="sans-serif" w:eastAsia="仿宋_GB2312" w:cs="sans-serif"/>
          <w:sz w:val="32"/>
          <w:szCs w:val="32"/>
        </w:rPr>
        <w:t>交通运输支出（类）公路水路运输（款）其他公路水路运输支出（项）：指公路应急抢险救灾物资、设备、人员等支出</w:t>
      </w:r>
      <w:r>
        <w:rPr>
          <w:rFonts w:hint="eastAsia" w:ascii="仿宋_GB2312" w:eastAsia="仿宋_GB2312"/>
          <w:sz w:val="32"/>
          <w:szCs w:val="32"/>
        </w:rPr>
        <w:t>。</w:t>
      </w:r>
    </w:p>
    <w:p w14:paraId="47B27B64">
      <w:pPr>
        <w:ind w:firstLine="640" w:firstLineChars="200"/>
        <w:rPr>
          <w:rFonts w:ascii="仿宋_GB2312" w:eastAsia="仿宋_GB2312"/>
          <w:sz w:val="32"/>
          <w:szCs w:val="32"/>
        </w:rPr>
      </w:pPr>
      <w:r>
        <w:rPr>
          <w:rFonts w:ascii="仿宋_GB2312" w:eastAsia="仿宋_GB2312"/>
          <w:sz w:val="32"/>
          <w:szCs w:val="32"/>
        </w:rPr>
        <w:t>15.</w:t>
      </w:r>
      <w:r>
        <w:rPr>
          <w:rFonts w:hint="eastAsia" w:ascii="仿宋_GB2312" w:hAnsi="sans-serif" w:eastAsia="仿宋_GB2312" w:cs="sans-serif"/>
          <w:sz w:val="32"/>
          <w:szCs w:val="32"/>
        </w:rPr>
        <w:t>住房保障支出（类）住房改革支出（款）住房公积金（项）：指用于按政策规定为职工缴纳的住房公积金支出</w:t>
      </w:r>
      <w:r>
        <w:rPr>
          <w:rFonts w:hint="eastAsia" w:ascii="仿宋_GB2312" w:eastAsia="仿宋_GB2312"/>
          <w:sz w:val="32"/>
          <w:szCs w:val="32"/>
        </w:rPr>
        <w:t>。</w:t>
      </w:r>
    </w:p>
    <w:p w14:paraId="74EEEA78">
      <w:pPr>
        <w:ind w:firstLine="640" w:firstLineChars="200"/>
        <w:rPr>
          <w:rFonts w:ascii="仿宋_GB2312" w:eastAsia="仿宋_GB2312"/>
          <w:sz w:val="32"/>
          <w:szCs w:val="32"/>
        </w:rPr>
      </w:pPr>
      <w:r>
        <w:rPr>
          <w:rFonts w:hint="eastAsia" w:ascii="仿宋_GB2312" w:eastAsia="仿宋_GB2312"/>
          <w:sz w:val="32"/>
          <w:szCs w:val="32"/>
          <w:lang w:val="en-US" w:eastAsia="zh-CN"/>
        </w:rPr>
        <w:t>16</w:t>
      </w:r>
      <w:r>
        <w:rPr>
          <w:rFonts w:ascii="仿宋_GB2312" w:eastAsia="仿宋_GB2312"/>
          <w:sz w:val="32"/>
          <w:szCs w:val="32"/>
        </w:rPr>
        <w:t>.</w:t>
      </w:r>
      <w:r>
        <w:rPr>
          <w:rFonts w:hint="eastAsia" w:ascii="仿宋_GB2312" w:eastAsia="仿宋_GB2312"/>
          <w:sz w:val="32"/>
          <w:szCs w:val="32"/>
        </w:rPr>
        <w:t>基本支出：指为保障机构正常运转、完成日常工作任务而发生的人员支出和公用支出。</w:t>
      </w:r>
    </w:p>
    <w:p w14:paraId="4FEDDC5E">
      <w:pPr>
        <w:ind w:firstLine="640" w:firstLineChars="200"/>
        <w:rPr>
          <w:rFonts w:ascii="仿宋_GB2312" w:eastAsia="仿宋_GB2312"/>
          <w:sz w:val="32"/>
          <w:szCs w:val="32"/>
        </w:rPr>
      </w:pPr>
      <w:r>
        <w:rPr>
          <w:rFonts w:hint="eastAsia" w:ascii="仿宋_GB2312" w:eastAsia="仿宋_GB2312"/>
          <w:sz w:val="32"/>
          <w:szCs w:val="32"/>
          <w:lang w:val="en-US" w:eastAsia="zh-CN"/>
        </w:rPr>
        <w:t>17</w:t>
      </w:r>
      <w:r>
        <w:rPr>
          <w:rFonts w:ascii="仿宋_GB2312" w:eastAsia="仿宋_GB2312"/>
          <w:sz w:val="32"/>
          <w:szCs w:val="32"/>
        </w:rPr>
        <w:t>.</w:t>
      </w:r>
      <w:r>
        <w:rPr>
          <w:rFonts w:hint="eastAsia" w:ascii="仿宋_GB2312" w:eastAsia="仿宋_GB2312"/>
          <w:sz w:val="32"/>
          <w:szCs w:val="32"/>
        </w:rPr>
        <w:t>项目支出：指在基本支出之外为完成特定行政任务和事业发展目标所发生的支出。</w:t>
      </w:r>
      <w:r>
        <w:rPr>
          <w:rFonts w:ascii="仿宋_GB2312" w:eastAsia="仿宋_GB2312"/>
          <w:sz w:val="32"/>
          <w:szCs w:val="32"/>
        </w:rPr>
        <w:t xml:space="preserve"> </w:t>
      </w:r>
    </w:p>
    <w:p w14:paraId="4DB1E448">
      <w:pPr>
        <w:ind w:firstLine="640" w:firstLineChars="200"/>
        <w:rPr>
          <w:rFonts w:ascii="仿宋_GB2312" w:eastAsia="仿宋_GB2312"/>
          <w:sz w:val="32"/>
          <w:szCs w:val="32"/>
        </w:rPr>
      </w:pPr>
      <w:r>
        <w:rPr>
          <w:rFonts w:hint="eastAsia" w:ascii="仿宋_GB2312" w:eastAsia="仿宋_GB2312"/>
          <w:sz w:val="32"/>
          <w:szCs w:val="32"/>
          <w:lang w:val="en-US" w:eastAsia="zh-CN"/>
        </w:rPr>
        <w:t>18</w:t>
      </w:r>
      <w:r>
        <w:rPr>
          <w:rFonts w:ascii="仿宋_GB2312" w:eastAsia="仿宋_GB2312"/>
          <w:sz w:val="32"/>
          <w:szCs w:val="32"/>
        </w:rPr>
        <w:t>.</w:t>
      </w:r>
      <w:r>
        <w:rPr>
          <w:rFonts w:hint="eastAsia" w:ascii="仿宋_GB2312" w:eastAsia="仿宋_GB2312"/>
          <w:sz w:val="32"/>
          <w:szCs w:val="32"/>
        </w:rPr>
        <w:t>经营支出：指事业单位在专业业务活动及其辅助活动之外开展非独立核算经营活动发生的支出。</w:t>
      </w:r>
    </w:p>
    <w:p w14:paraId="27EF8292">
      <w:pPr>
        <w:pStyle w:val="26"/>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19</w:t>
      </w:r>
      <w:r>
        <w:rPr>
          <w:rFonts w:ascii="仿宋_GB2312" w:eastAsia="仿宋_GB2312"/>
          <w:color w:val="auto"/>
          <w:sz w:val="32"/>
          <w:szCs w:val="32"/>
        </w:rPr>
        <w:t>.</w:t>
      </w:r>
      <w:r>
        <w:rPr>
          <w:rFonts w:hint="eastAsia" w:ascii="仿宋_GB2312" w:eastAsia="仿宋_GB2312"/>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27AB407C">
      <w:pPr>
        <w:pStyle w:val="26"/>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20</w:t>
      </w:r>
      <w:r>
        <w:rPr>
          <w:rFonts w:ascii="仿宋_GB2312" w:eastAsia="仿宋_GB2312"/>
          <w:color w:val="auto"/>
          <w:sz w:val="32"/>
          <w:szCs w:val="32"/>
        </w:rPr>
        <w:t>.</w:t>
      </w:r>
      <w:r>
        <w:rPr>
          <w:rFonts w:hint="eastAsia" w:ascii="仿宋_GB2312"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1F1A5E5">
      <w:pPr>
        <w:spacing w:line="600" w:lineRule="exact"/>
        <w:jc w:val="center"/>
        <w:rPr>
          <w:rFonts w:hint="eastAsia" w:ascii="Times New Roman" w:hAnsi="Times New Roman" w:eastAsia="黑体"/>
          <w:color w:val="auto"/>
          <w:sz w:val="44"/>
          <w:szCs w:val="44"/>
          <w:highlight w:val="none"/>
        </w:rPr>
      </w:pPr>
    </w:p>
    <w:p w14:paraId="23F7AF75">
      <w:pPr>
        <w:spacing w:line="600" w:lineRule="exact"/>
        <w:jc w:val="center"/>
        <w:rPr>
          <w:rFonts w:hint="eastAsia" w:ascii="Times New Roman" w:hAnsi="Times New Roman" w:eastAsia="黑体"/>
          <w:color w:val="auto"/>
          <w:sz w:val="44"/>
          <w:szCs w:val="44"/>
          <w:highlight w:val="none"/>
        </w:rPr>
      </w:pPr>
    </w:p>
    <w:p w14:paraId="6C7ED75C">
      <w:pPr>
        <w:spacing w:line="600" w:lineRule="exact"/>
        <w:jc w:val="center"/>
        <w:rPr>
          <w:rFonts w:hint="eastAsia" w:ascii="Times New Roman" w:hAnsi="Times New Roman" w:eastAsia="黑体"/>
          <w:color w:val="auto"/>
          <w:sz w:val="44"/>
          <w:szCs w:val="44"/>
          <w:highlight w:val="none"/>
        </w:rPr>
      </w:pPr>
    </w:p>
    <w:p w14:paraId="499CFE20">
      <w:pPr>
        <w:spacing w:line="600" w:lineRule="exact"/>
        <w:jc w:val="center"/>
        <w:rPr>
          <w:rStyle w:val="28"/>
          <w:rFonts w:hint="eastAsia" w:ascii="Times New Roman" w:hAnsi="Times New Roman" w:eastAsia="黑体"/>
          <w:b w:val="0"/>
          <w:color w:val="auto"/>
          <w:highlight w:val="none"/>
          <w:lang w:eastAsia="zh-CN"/>
        </w:rPr>
      </w:pPr>
      <w:bookmarkStart w:id="114" w:name="_Toc9985_WPSOffice_Level1"/>
      <w:r>
        <w:rPr>
          <w:rFonts w:hint="eastAsia" w:ascii="Times New Roman" w:hAnsi="Times New Roman" w:eastAsia="黑体"/>
          <w:color w:val="auto"/>
          <w:sz w:val="44"/>
          <w:szCs w:val="44"/>
          <w:highlight w:val="none"/>
        </w:rPr>
        <w:t>第四部分</w:t>
      </w:r>
      <w:r>
        <w:rPr>
          <w:rFonts w:hint="eastAsia" w:ascii="Times New Roman" w:hAnsi="Times New Roman" w:eastAsia="黑体"/>
          <w:color w:val="auto"/>
          <w:sz w:val="44"/>
          <w:szCs w:val="44"/>
          <w:highlight w:val="none"/>
          <w:lang w:val="en-US" w:eastAsia="zh-CN"/>
        </w:rPr>
        <w:t xml:space="preserve"> </w:t>
      </w:r>
      <w:r>
        <w:rPr>
          <w:rFonts w:hint="eastAsia" w:ascii="Times New Roman" w:hAnsi="Times New Roman" w:eastAsia="黑体"/>
          <w:color w:val="auto"/>
          <w:sz w:val="44"/>
          <w:szCs w:val="44"/>
          <w:highlight w:val="none"/>
        </w:rPr>
        <w:t xml:space="preserve"> 附件</w:t>
      </w:r>
      <w:bookmarkEnd w:id="112"/>
      <w:bookmarkEnd w:id="114"/>
    </w:p>
    <w:p w14:paraId="010C7199">
      <w:pPr>
        <w:keepNext w:val="0"/>
        <w:keepLines w:val="0"/>
        <w:pageBreakBefore w:val="0"/>
        <w:kinsoku/>
        <w:wordWrap/>
        <w:overflowPunct/>
        <w:topLinePunct w:val="0"/>
        <w:autoSpaceDE/>
        <w:autoSpaceDN/>
        <w:bidi w:val="0"/>
        <w:spacing w:line="572" w:lineRule="exact"/>
        <w:jc w:val="left"/>
        <w:textAlignment w:val="auto"/>
        <w:outlineLvl w:val="0"/>
        <w:rPr>
          <w:rFonts w:hint="eastAsia" w:ascii="Times New Roman" w:hAnsi="Times New Roman" w:eastAsia="黑体" w:cs="黑体"/>
          <w:color w:val="FF0000"/>
          <w:sz w:val="32"/>
          <w:szCs w:val="32"/>
          <w:highlight w:val="none"/>
        </w:rPr>
      </w:pPr>
    </w:p>
    <w:p w14:paraId="0EDD5960">
      <w:pPr>
        <w:keepNext w:val="0"/>
        <w:keepLines w:val="0"/>
        <w:pageBreakBefore w:val="0"/>
        <w:kinsoku/>
        <w:wordWrap/>
        <w:overflowPunct/>
        <w:topLinePunct w:val="0"/>
        <w:autoSpaceDE/>
        <w:autoSpaceDN/>
        <w:bidi w:val="0"/>
        <w:spacing w:line="572" w:lineRule="exact"/>
        <w:jc w:val="left"/>
        <w:textAlignment w:val="auto"/>
        <w:outlineLvl w:val="0"/>
        <w:rPr>
          <w:rFonts w:hint="eastAsia" w:ascii="Times New Roman" w:hAnsi="Times New Roman" w:eastAsia="黑体" w:cs="方正小标宋简体"/>
          <w:color w:val="auto"/>
          <w:sz w:val="44"/>
          <w:szCs w:val="44"/>
          <w:highlight w:val="none"/>
          <w:lang w:val="en-US" w:eastAsia="zh-CN"/>
        </w:rPr>
      </w:pPr>
      <w:r>
        <w:rPr>
          <w:rFonts w:hint="eastAsia" w:ascii="Times New Roman" w:hAnsi="Times New Roman" w:eastAsia="黑体" w:cs="黑体"/>
          <w:color w:val="auto"/>
          <w:sz w:val="32"/>
          <w:szCs w:val="32"/>
          <w:highlight w:val="none"/>
        </w:rPr>
        <w:t>附件</w:t>
      </w:r>
      <w:r>
        <w:rPr>
          <w:rFonts w:hint="eastAsia" w:ascii="Times New Roman" w:hAnsi="Times New Roman" w:eastAsia="黑体" w:cs="黑体"/>
          <w:color w:val="auto"/>
          <w:sz w:val="32"/>
          <w:szCs w:val="32"/>
          <w:highlight w:val="none"/>
          <w:lang w:val="en-US" w:eastAsia="zh-CN"/>
        </w:rPr>
        <w:t>1</w:t>
      </w:r>
    </w:p>
    <w:p w14:paraId="621B9E80">
      <w:pPr>
        <w:keepNext w:val="0"/>
        <w:keepLines w:val="0"/>
        <w:pageBreakBefore w:val="0"/>
        <w:widowControl/>
        <w:kinsoku/>
        <w:wordWrap/>
        <w:overflowPunct/>
        <w:topLinePunct w:val="0"/>
        <w:autoSpaceDE/>
        <w:autoSpaceDN/>
        <w:bidi w:val="0"/>
        <w:spacing w:line="578" w:lineRule="exact"/>
        <w:contextualSpacing/>
        <w:jc w:val="center"/>
        <w:textAlignment w:val="auto"/>
        <w:outlineLvl w:val="9"/>
        <w:rPr>
          <w:rFonts w:hint="default" w:ascii="Times New Roman" w:hAnsi="Times New Roman" w:eastAsia="方正小标宋简体" w:cs="Times New Roman"/>
          <w:b w:val="0"/>
          <w:bCs/>
          <w:sz w:val="44"/>
          <w:szCs w:val="44"/>
          <w:highlight w:val="none"/>
          <w:shd w:val="clear" w:color="auto" w:fill="FFFFFF"/>
        </w:rPr>
      </w:pPr>
    </w:p>
    <w:p w14:paraId="3505484B">
      <w:pPr>
        <w:pStyle w:val="2"/>
        <w:spacing w:before="198" w:line="348" w:lineRule="auto"/>
        <w:ind w:left="36" w:right="12" w:firstLine="643"/>
        <w:rPr>
          <w:spacing w:val="7"/>
          <w:sz w:val="31"/>
          <w:szCs w:val="31"/>
        </w:rPr>
      </w:pPr>
      <w:bookmarkStart w:id="115" w:name="_Toc15396618"/>
      <w:r>
        <w:rPr>
          <w:spacing w:val="4"/>
          <w:sz w:val="31"/>
          <w:szCs w:val="31"/>
        </w:rPr>
        <w:t>202</w:t>
      </w:r>
      <w:r>
        <w:rPr>
          <w:rFonts w:hint="eastAsia"/>
          <w:spacing w:val="4"/>
          <w:sz w:val="31"/>
          <w:szCs w:val="31"/>
          <w:lang w:val="en-US" w:eastAsia="zh-CN"/>
        </w:rPr>
        <w:t>4</w:t>
      </w:r>
      <w:r>
        <w:rPr>
          <w:spacing w:val="-58"/>
          <w:sz w:val="31"/>
          <w:szCs w:val="31"/>
        </w:rPr>
        <w:t xml:space="preserve"> </w:t>
      </w:r>
      <w:r>
        <w:rPr>
          <w:spacing w:val="4"/>
          <w:sz w:val="31"/>
          <w:szCs w:val="31"/>
        </w:rPr>
        <w:t>年度，乐山市涌斯江水利工程保护服务中心支出均</w:t>
      </w:r>
      <w:r>
        <w:rPr>
          <w:spacing w:val="7"/>
          <w:sz w:val="31"/>
          <w:szCs w:val="31"/>
        </w:rPr>
        <w:t>为基本支出，无项目支出，故无项目支出绩效自评表。</w:t>
      </w:r>
    </w:p>
    <w:p w14:paraId="72CD8EB9">
      <w:pPr>
        <w:pStyle w:val="2"/>
        <w:spacing w:before="198" w:line="348" w:lineRule="auto"/>
        <w:ind w:left="36" w:right="12" w:firstLine="643"/>
        <w:rPr>
          <w:spacing w:val="7"/>
          <w:sz w:val="31"/>
          <w:szCs w:val="31"/>
        </w:rPr>
      </w:pPr>
    </w:p>
    <w:p w14:paraId="37BFC888">
      <w:pPr>
        <w:pStyle w:val="2"/>
        <w:spacing w:before="198" w:line="348" w:lineRule="auto"/>
        <w:ind w:left="36" w:right="12" w:firstLine="643"/>
        <w:rPr>
          <w:spacing w:val="7"/>
          <w:sz w:val="31"/>
          <w:szCs w:val="31"/>
        </w:rPr>
      </w:pPr>
    </w:p>
    <w:p w14:paraId="456A678E">
      <w:pPr>
        <w:widowControl/>
        <w:jc w:val="center"/>
        <w:rPr>
          <w:rFonts w:hint="eastAsia" w:ascii="Times New Roman" w:hAnsi="Times New Roman" w:eastAsia="仿宋"/>
          <w:b w:val="0"/>
          <w:color w:val="auto"/>
          <w:highlight w:val="none"/>
        </w:rPr>
      </w:pPr>
      <w:bookmarkStart w:id="116" w:name="_Toc31771_WPSOffice_Level1"/>
      <w:r>
        <w:rPr>
          <w:rFonts w:hint="eastAsia" w:ascii="Times New Roman" w:hAnsi="Times New Roman" w:eastAsia="黑体"/>
          <w:color w:val="auto"/>
          <w:sz w:val="44"/>
          <w:szCs w:val="44"/>
          <w:highlight w:val="none"/>
        </w:rPr>
        <w:t>第</w:t>
      </w:r>
      <w:r>
        <w:rPr>
          <w:rStyle w:val="28"/>
          <w:rFonts w:hint="eastAsia" w:ascii="Times New Roman" w:hAnsi="Times New Roman" w:eastAsia="黑体"/>
          <w:b w:val="0"/>
          <w:color w:val="auto"/>
          <w:highlight w:val="none"/>
        </w:rPr>
        <w:t>五部分 附表</w:t>
      </w:r>
      <w:bookmarkEnd w:id="113"/>
      <w:bookmarkEnd w:id="115"/>
      <w:bookmarkEnd w:id="116"/>
      <w:bookmarkStart w:id="117" w:name="_Toc15396619"/>
    </w:p>
    <w:p w14:paraId="7E7DE6EB">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p>
    <w:p w14:paraId="5555608E">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18" w:name="_Toc15959_WPSOffice_Level2"/>
      <w:r>
        <w:rPr>
          <w:rFonts w:hint="eastAsia" w:ascii="Times New Roman" w:hAnsi="Times New Roman" w:eastAsia="仿宋_GB2312" w:cs="仿宋_GB2312"/>
          <w:color w:val="auto"/>
          <w:sz w:val="32"/>
          <w:szCs w:val="32"/>
          <w:highlight w:val="none"/>
        </w:rPr>
        <w:t>一、收入支出决算总表</w:t>
      </w:r>
      <w:bookmarkEnd w:id="117"/>
      <w:bookmarkEnd w:id="118"/>
    </w:p>
    <w:p w14:paraId="5F5F5DE5">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19" w:name="_Toc15396620"/>
      <w:bookmarkStart w:id="120" w:name="_Toc12864_WPSOffice_Level2"/>
      <w:r>
        <w:rPr>
          <w:rFonts w:hint="eastAsia" w:ascii="Times New Roman" w:hAnsi="Times New Roman" w:eastAsia="仿宋_GB2312" w:cs="仿宋_GB2312"/>
          <w:color w:val="auto"/>
          <w:sz w:val="32"/>
          <w:szCs w:val="32"/>
          <w:highlight w:val="none"/>
        </w:rPr>
        <w:t>二、收入决算表</w:t>
      </w:r>
      <w:bookmarkEnd w:id="119"/>
      <w:bookmarkEnd w:id="120"/>
    </w:p>
    <w:p w14:paraId="20023204">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21" w:name="_Toc15396621"/>
      <w:bookmarkStart w:id="122" w:name="_Toc3130_WPSOffice_Level2"/>
      <w:r>
        <w:rPr>
          <w:rFonts w:hint="eastAsia" w:ascii="Times New Roman" w:hAnsi="Times New Roman" w:eastAsia="仿宋_GB2312" w:cs="仿宋_GB2312"/>
          <w:color w:val="auto"/>
          <w:sz w:val="32"/>
          <w:szCs w:val="32"/>
          <w:highlight w:val="none"/>
        </w:rPr>
        <w:t>三、支出决算表</w:t>
      </w:r>
      <w:bookmarkEnd w:id="121"/>
      <w:bookmarkEnd w:id="122"/>
    </w:p>
    <w:p w14:paraId="74E8744E">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23" w:name="_Toc15396622"/>
      <w:bookmarkStart w:id="124" w:name="_Toc6236_WPSOffice_Level2"/>
      <w:r>
        <w:rPr>
          <w:rFonts w:hint="eastAsia" w:ascii="Times New Roman" w:hAnsi="Times New Roman" w:eastAsia="仿宋_GB2312" w:cs="仿宋_GB2312"/>
          <w:color w:val="auto"/>
          <w:sz w:val="32"/>
          <w:szCs w:val="32"/>
          <w:highlight w:val="none"/>
        </w:rPr>
        <w:t>四、财政拨款收入支出决算总表</w:t>
      </w:r>
      <w:bookmarkEnd w:id="123"/>
      <w:bookmarkEnd w:id="124"/>
    </w:p>
    <w:p w14:paraId="55FDEFB4">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25" w:name="_Toc13363_WPSOffice_Level2"/>
      <w:bookmarkStart w:id="126" w:name="_Toc15396623"/>
      <w:r>
        <w:rPr>
          <w:rFonts w:hint="eastAsia" w:ascii="Times New Roman" w:hAnsi="Times New Roman" w:eastAsia="仿宋_GB2312" w:cs="仿宋_GB2312"/>
          <w:color w:val="auto"/>
          <w:sz w:val="32"/>
          <w:szCs w:val="32"/>
          <w:highlight w:val="none"/>
        </w:rPr>
        <w:t>五、财政拨款支出决算明细表</w:t>
      </w:r>
      <w:bookmarkEnd w:id="125"/>
      <w:bookmarkEnd w:id="126"/>
      <w:bookmarkStart w:id="127" w:name="_Toc15396624"/>
    </w:p>
    <w:p w14:paraId="4D722D9A">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28" w:name="_Toc13478_WPSOffice_Level2"/>
      <w:r>
        <w:rPr>
          <w:rFonts w:hint="eastAsia" w:ascii="Times New Roman" w:hAnsi="Times New Roman" w:eastAsia="仿宋_GB2312" w:cs="仿宋_GB2312"/>
          <w:color w:val="auto"/>
          <w:sz w:val="32"/>
          <w:szCs w:val="32"/>
          <w:highlight w:val="none"/>
        </w:rPr>
        <w:t>六、一般公共预算财政拨款支出决算表</w:t>
      </w:r>
      <w:bookmarkEnd w:id="127"/>
      <w:bookmarkEnd w:id="128"/>
    </w:p>
    <w:p w14:paraId="450A5BD3">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29" w:name="_Toc14677_WPSOffice_Level2"/>
      <w:bookmarkStart w:id="130" w:name="_Toc15396625"/>
      <w:r>
        <w:rPr>
          <w:rFonts w:hint="eastAsia" w:ascii="Times New Roman" w:hAnsi="Times New Roman" w:eastAsia="仿宋_GB2312" w:cs="仿宋_GB2312"/>
          <w:color w:val="auto"/>
          <w:sz w:val="32"/>
          <w:szCs w:val="32"/>
          <w:highlight w:val="none"/>
        </w:rPr>
        <w:t>七、一般公共预算财政拨款支出决算明细表</w:t>
      </w:r>
      <w:bookmarkEnd w:id="129"/>
      <w:bookmarkEnd w:id="130"/>
    </w:p>
    <w:p w14:paraId="60544F31">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31" w:name="_Toc15396626"/>
      <w:bookmarkStart w:id="132" w:name="_Toc21343_WPSOffice_Level2"/>
      <w:r>
        <w:rPr>
          <w:rFonts w:hint="eastAsia" w:ascii="Times New Roman" w:hAnsi="Times New Roman" w:eastAsia="仿宋_GB2312" w:cs="仿宋_GB2312"/>
          <w:color w:val="auto"/>
          <w:sz w:val="32"/>
          <w:szCs w:val="32"/>
          <w:highlight w:val="none"/>
        </w:rPr>
        <w:t>八、一般公共预算财政拨款基本支出决算表</w:t>
      </w:r>
      <w:bookmarkEnd w:id="131"/>
      <w:bookmarkEnd w:id="132"/>
    </w:p>
    <w:p w14:paraId="4FF3B319">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33" w:name="_Toc15396627"/>
      <w:bookmarkStart w:id="134" w:name="_Toc7792_WPSOffice_Level2"/>
      <w:r>
        <w:rPr>
          <w:rFonts w:hint="eastAsia" w:ascii="Times New Roman" w:hAnsi="Times New Roman" w:eastAsia="仿宋_GB2312" w:cs="仿宋_GB2312"/>
          <w:color w:val="auto"/>
          <w:sz w:val="32"/>
          <w:szCs w:val="32"/>
          <w:highlight w:val="none"/>
        </w:rPr>
        <w:t>九、一般公共预算财政拨款项目支出决算表</w:t>
      </w:r>
      <w:bookmarkEnd w:id="133"/>
      <w:bookmarkEnd w:id="134"/>
    </w:p>
    <w:p w14:paraId="51AD63F2">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35" w:name="_Toc15396628"/>
      <w:bookmarkStart w:id="136" w:name="_Toc32097_WPSOffice_Level2"/>
      <w:r>
        <w:rPr>
          <w:rFonts w:hint="eastAsia" w:ascii="Times New Roman" w:hAnsi="Times New Roman" w:eastAsia="仿宋_GB2312" w:cs="仿宋_GB2312"/>
          <w:color w:val="auto"/>
          <w:sz w:val="32"/>
          <w:szCs w:val="32"/>
          <w:highlight w:val="none"/>
        </w:rPr>
        <w:t>十、</w:t>
      </w:r>
      <w:bookmarkEnd w:id="135"/>
      <w:r>
        <w:rPr>
          <w:rFonts w:hint="eastAsia" w:ascii="Times New Roman" w:hAnsi="Times New Roman" w:eastAsia="仿宋_GB2312" w:cs="仿宋_GB2312"/>
          <w:color w:val="auto"/>
          <w:sz w:val="32"/>
          <w:szCs w:val="32"/>
          <w:highlight w:val="none"/>
        </w:rPr>
        <w:t>政府性基金预算财政拨款收入支出决算表</w:t>
      </w:r>
      <w:bookmarkEnd w:id="136"/>
    </w:p>
    <w:p w14:paraId="14D5C3D4">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37" w:name="_Toc15396629"/>
      <w:bookmarkStart w:id="138" w:name="_Toc15637_WPSOffice_Level2"/>
      <w:r>
        <w:rPr>
          <w:rFonts w:hint="eastAsia" w:ascii="Times New Roman" w:hAnsi="Times New Roman" w:eastAsia="仿宋_GB2312" w:cs="仿宋_GB2312"/>
          <w:color w:val="auto"/>
          <w:sz w:val="32"/>
          <w:szCs w:val="32"/>
          <w:highlight w:val="none"/>
        </w:rPr>
        <w:t>十一、</w:t>
      </w:r>
      <w:bookmarkEnd w:id="137"/>
      <w:r>
        <w:rPr>
          <w:rFonts w:hint="eastAsia" w:ascii="Times New Roman" w:hAnsi="Times New Roman" w:eastAsia="仿宋_GB2312" w:cs="仿宋_GB2312"/>
          <w:color w:val="auto"/>
          <w:sz w:val="32"/>
          <w:szCs w:val="32"/>
          <w:highlight w:val="none"/>
        </w:rPr>
        <w:t>国有资本经营预算</w:t>
      </w:r>
      <w:r>
        <w:rPr>
          <w:rFonts w:hint="eastAsia" w:ascii="Times New Roman" w:hAnsi="Times New Roman" w:eastAsia="仿宋_GB2312" w:cs="仿宋_GB2312"/>
          <w:color w:val="auto"/>
          <w:sz w:val="32"/>
          <w:szCs w:val="32"/>
          <w:highlight w:val="none"/>
          <w:lang w:eastAsia="zh-CN"/>
        </w:rPr>
        <w:t>财政拨款收入</w:t>
      </w:r>
      <w:r>
        <w:rPr>
          <w:rFonts w:hint="eastAsia" w:ascii="Times New Roman" w:hAnsi="Times New Roman" w:eastAsia="仿宋_GB2312" w:cs="仿宋_GB2312"/>
          <w:color w:val="auto"/>
          <w:sz w:val="32"/>
          <w:szCs w:val="32"/>
          <w:highlight w:val="none"/>
        </w:rPr>
        <w:t>支出决算表</w:t>
      </w:r>
      <w:bookmarkEnd w:id="138"/>
    </w:p>
    <w:p w14:paraId="759C5CB7">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39" w:name="_Toc15396630"/>
      <w:bookmarkStart w:id="140" w:name="_Toc20880_WPSOffice_Level2"/>
      <w:r>
        <w:rPr>
          <w:rFonts w:hint="eastAsia" w:ascii="Times New Roman" w:hAnsi="Times New Roman" w:eastAsia="仿宋_GB2312" w:cs="仿宋_GB2312"/>
          <w:color w:val="auto"/>
          <w:sz w:val="32"/>
          <w:szCs w:val="32"/>
          <w:highlight w:val="none"/>
        </w:rPr>
        <w:t>十二、</w:t>
      </w:r>
      <w:bookmarkEnd w:id="139"/>
      <w:r>
        <w:rPr>
          <w:rFonts w:hint="eastAsia" w:ascii="Times New Roman" w:hAnsi="Times New Roman" w:eastAsia="仿宋_GB2312" w:cs="仿宋_GB2312"/>
          <w:color w:val="auto"/>
          <w:sz w:val="32"/>
          <w:szCs w:val="32"/>
          <w:highlight w:val="none"/>
          <w:lang w:eastAsia="zh-CN"/>
        </w:rPr>
        <w:t>国有资本经营预算财政拨款支出决算表</w:t>
      </w:r>
      <w:bookmarkEnd w:id="140"/>
    </w:p>
    <w:p w14:paraId="22F3448E">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lang w:eastAsia="zh-CN"/>
        </w:rPr>
      </w:pPr>
      <w:bookmarkStart w:id="141" w:name="_Toc15396631"/>
      <w:bookmarkStart w:id="142" w:name="_Toc7628_WPSOffice_Level2"/>
      <w:r>
        <w:rPr>
          <w:rFonts w:hint="eastAsia" w:ascii="Times New Roman" w:hAnsi="Times New Roman" w:eastAsia="仿宋_GB2312" w:cs="仿宋_GB2312"/>
          <w:color w:val="auto"/>
          <w:sz w:val="32"/>
          <w:szCs w:val="32"/>
          <w:highlight w:val="none"/>
        </w:rPr>
        <w:t>十三、</w:t>
      </w:r>
      <w:bookmarkEnd w:id="141"/>
      <w:r>
        <w:rPr>
          <w:rFonts w:hint="eastAsia" w:ascii="Times New Roman" w:hAnsi="Times New Roman" w:eastAsia="仿宋_GB2312" w:cs="仿宋_GB2312"/>
          <w:color w:val="auto"/>
          <w:sz w:val="32"/>
          <w:szCs w:val="32"/>
          <w:highlight w:val="none"/>
          <w:lang w:eastAsia="zh-CN"/>
        </w:rPr>
        <w:t>财政拨款“三公”经费支出决算表</w:t>
      </w:r>
      <w:bookmarkEnd w:id="142"/>
    </w:p>
    <w:p w14:paraId="18937D57">
      <w:pPr>
        <w:rPr>
          <w:rFonts w:hint="eastAsia" w:ascii="Times New Roman" w:hAnsi="Times New Roman"/>
          <w:lang w:eastAsia="zh-CN"/>
        </w:rPr>
      </w:pPr>
    </w:p>
    <w:sectPr>
      <w:footerReference r:id="rId8" w:type="first"/>
      <w:footerReference r:id="rId7" w:type="default"/>
      <w:pgSz w:w="11906" w:h="16838"/>
      <w:pgMar w:top="1440" w:right="1800" w:bottom="1440" w:left="1800" w:header="851" w:footer="992" w:gutter="0"/>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ans-serif">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756A1">
    <w:pPr>
      <w:pStyle w:val="10"/>
      <w:jc w:val="center"/>
    </w:pPr>
  </w:p>
  <w:p w14:paraId="71DD16E2">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948B7">
    <w:pPr>
      <w:spacing w:line="238" w:lineRule="auto"/>
      <w:ind w:left="4091"/>
      <w:rPr>
        <w:rFonts w:ascii="Calibri" w:hAnsi="Calibri" w:eastAsia="Calibri" w:cs="Calibr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69114">
    <w:pPr>
      <w:spacing w:line="238" w:lineRule="auto"/>
      <w:ind w:left="4091"/>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691E49">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C691E49">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4DFE1">
    <w:pPr>
      <w:pStyle w:val="1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F1A33C">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7BF1A33C">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v:textbox>
            </v:shape>
          </w:pict>
        </mc:Fallback>
      </mc:AlternateContent>
    </w:r>
  </w:p>
  <w:p w14:paraId="5EF12613">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B1D77">
    <w:pPr>
      <w:pStyle w:val="1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E9D595">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24E9D595">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58AF71">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7A62B9"/>
    <w:multiLevelType w:val="singleLevel"/>
    <w:tmpl w:val="457A62B9"/>
    <w:lvl w:ilvl="0" w:tentative="0">
      <w:start w:val="1"/>
      <w:numFmt w:val="chineseCounting"/>
      <w:suff w:val="nothing"/>
      <w:lvlText w:val="%1、"/>
      <w:lvlJc w:val="left"/>
      <w:rPr>
        <w:rFonts w:hint="eastAsia"/>
      </w:rPr>
    </w:lvl>
  </w:abstractNum>
  <w:abstractNum w:abstractNumId="1">
    <w:nsid w:val="62621CDC"/>
    <w:multiLevelType w:val="multilevel"/>
    <w:tmpl w:val="62621CDC"/>
    <w:lvl w:ilvl="0" w:tentative="0">
      <w:start w:val="1"/>
      <w:numFmt w:val="decimal"/>
      <w:lvlText w:val="%1."/>
      <w:lvlJc w:val="left"/>
      <w:pPr>
        <w:ind w:left="1152" w:hanging="480"/>
      </w:pPr>
      <w:rPr>
        <w:rFonts w:hint="default"/>
      </w:rPr>
    </w:lvl>
    <w:lvl w:ilvl="1" w:tentative="0">
      <w:start w:val="1"/>
      <w:numFmt w:val="lowerLetter"/>
      <w:lvlText w:val="%2)"/>
      <w:lvlJc w:val="left"/>
      <w:pPr>
        <w:ind w:left="1512" w:hanging="420"/>
      </w:pPr>
    </w:lvl>
    <w:lvl w:ilvl="2" w:tentative="0">
      <w:start w:val="1"/>
      <w:numFmt w:val="lowerRoman"/>
      <w:lvlText w:val="%3."/>
      <w:lvlJc w:val="right"/>
      <w:pPr>
        <w:ind w:left="1932" w:hanging="420"/>
      </w:pPr>
    </w:lvl>
    <w:lvl w:ilvl="3" w:tentative="0">
      <w:start w:val="1"/>
      <w:numFmt w:val="decimal"/>
      <w:lvlText w:val="%4."/>
      <w:lvlJc w:val="left"/>
      <w:pPr>
        <w:ind w:left="2352" w:hanging="420"/>
      </w:pPr>
    </w:lvl>
    <w:lvl w:ilvl="4" w:tentative="0">
      <w:start w:val="1"/>
      <w:numFmt w:val="lowerLetter"/>
      <w:lvlText w:val="%5)"/>
      <w:lvlJc w:val="left"/>
      <w:pPr>
        <w:ind w:left="2772" w:hanging="420"/>
      </w:pPr>
    </w:lvl>
    <w:lvl w:ilvl="5" w:tentative="0">
      <w:start w:val="1"/>
      <w:numFmt w:val="lowerRoman"/>
      <w:lvlText w:val="%6."/>
      <w:lvlJc w:val="right"/>
      <w:pPr>
        <w:ind w:left="3192" w:hanging="420"/>
      </w:pPr>
    </w:lvl>
    <w:lvl w:ilvl="6" w:tentative="0">
      <w:start w:val="1"/>
      <w:numFmt w:val="decimal"/>
      <w:lvlText w:val="%7."/>
      <w:lvlJc w:val="left"/>
      <w:pPr>
        <w:ind w:left="3612" w:hanging="420"/>
      </w:pPr>
    </w:lvl>
    <w:lvl w:ilvl="7" w:tentative="0">
      <w:start w:val="1"/>
      <w:numFmt w:val="lowerLetter"/>
      <w:lvlText w:val="%8)"/>
      <w:lvlJc w:val="left"/>
      <w:pPr>
        <w:ind w:left="4032" w:hanging="420"/>
      </w:pPr>
    </w:lvl>
    <w:lvl w:ilvl="8" w:tentative="0">
      <w:start w:val="1"/>
      <w:numFmt w:val="lowerRoman"/>
      <w:lvlText w:val="%9."/>
      <w:lvlJc w:val="right"/>
      <w:pPr>
        <w:ind w:left="445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4633"/>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2A5EC2"/>
    <w:rsid w:val="015975B8"/>
    <w:rsid w:val="02FEBE30"/>
    <w:rsid w:val="04916F1E"/>
    <w:rsid w:val="061E35DE"/>
    <w:rsid w:val="066E0107"/>
    <w:rsid w:val="07996F6E"/>
    <w:rsid w:val="07DFD8BA"/>
    <w:rsid w:val="09867E8F"/>
    <w:rsid w:val="0A2032A3"/>
    <w:rsid w:val="0CA8290A"/>
    <w:rsid w:val="0D35B1ED"/>
    <w:rsid w:val="0E254B6B"/>
    <w:rsid w:val="0F98263C"/>
    <w:rsid w:val="101860EC"/>
    <w:rsid w:val="101F47CC"/>
    <w:rsid w:val="10C055FF"/>
    <w:rsid w:val="11694EBD"/>
    <w:rsid w:val="11772AA4"/>
    <w:rsid w:val="118107EC"/>
    <w:rsid w:val="12E24EE2"/>
    <w:rsid w:val="12EB4D8C"/>
    <w:rsid w:val="13D50BC4"/>
    <w:rsid w:val="14B17F78"/>
    <w:rsid w:val="15B95830"/>
    <w:rsid w:val="165E0673"/>
    <w:rsid w:val="16B831D5"/>
    <w:rsid w:val="16BB723D"/>
    <w:rsid w:val="17E50567"/>
    <w:rsid w:val="186504BB"/>
    <w:rsid w:val="19901BD6"/>
    <w:rsid w:val="19A445FC"/>
    <w:rsid w:val="1BE8440E"/>
    <w:rsid w:val="1D155CEE"/>
    <w:rsid w:val="1D1638FE"/>
    <w:rsid w:val="1E312DEB"/>
    <w:rsid w:val="1E740ACF"/>
    <w:rsid w:val="1FF35744"/>
    <w:rsid w:val="1FF6BC77"/>
    <w:rsid w:val="2186353C"/>
    <w:rsid w:val="23860B96"/>
    <w:rsid w:val="240371BF"/>
    <w:rsid w:val="244F3473"/>
    <w:rsid w:val="24C97D99"/>
    <w:rsid w:val="24FF63FD"/>
    <w:rsid w:val="25A718F0"/>
    <w:rsid w:val="25BB59F6"/>
    <w:rsid w:val="260F557C"/>
    <w:rsid w:val="26970054"/>
    <w:rsid w:val="281408E2"/>
    <w:rsid w:val="29FD04D3"/>
    <w:rsid w:val="2BFF7BC6"/>
    <w:rsid w:val="2C8A61B5"/>
    <w:rsid w:val="2DF04E50"/>
    <w:rsid w:val="2E586DFA"/>
    <w:rsid w:val="2F040D46"/>
    <w:rsid w:val="2F6B035B"/>
    <w:rsid w:val="2FAE5751"/>
    <w:rsid w:val="2FB1A395"/>
    <w:rsid w:val="2FD9A7D8"/>
    <w:rsid w:val="2FDBF714"/>
    <w:rsid w:val="30AB6865"/>
    <w:rsid w:val="319F7F4E"/>
    <w:rsid w:val="32BD1EF1"/>
    <w:rsid w:val="3304709D"/>
    <w:rsid w:val="33A773CB"/>
    <w:rsid w:val="349D6851"/>
    <w:rsid w:val="36AA5135"/>
    <w:rsid w:val="36BE0DA7"/>
    <w:rsid w:val="376B6AA6"/>
    <w:rsid w:val="376D39B2"/>
    <w:rsid w:val="37E16F03"/>
    <w:rsid w:val="37F53A3B"/>
    <w:rsid w:val="389B6C89"/>
    <w:rsid w:val="38D469F0"/>
    <w:rsid w:val="39627CCD"/>
    <w:rsid w:val="397BAF1F"/>
    <w:rsid w:val="3AB79AF3"/>
    <w:rsid w:val="3AE834C0"/>
    <w:rsid w:val="3B7EF35A"/>
    <w:rsid w:val="3B9FDB6C"/>
    <w:rsid w:val="3BF5BC2F"/>
    <w:rsid w:val="3CEBA265"/>
    <w:rsid w:val="3D98207C"/>
    <w:rsid w:val="3DEE7CF3"/>
    <w:rsid w:val="3E740A63"/>
    <w:rsid w:val="3E78745D"/>
    <w:rsid w:val="3EE17838"/>
    <w:rsid w:val="3F55381A"/>
    <w:rsid w:val="3F7F7599"/>
    <w:rsid w:val="3FF4CAE0"/>
    <w:rsid w:val="3FF7B227"/>
    <w:rsid w:val="44E268DA"/>
    <w:rsid w:val="450D13D7"/>
    <w:rsid w:val="45506656"/>
    <w:rsid w:val="486A6C7A"/>
    <w:rsid w:val="4A627F82"/>
    <w:rsid w:val="4B0E749A"/>
    <w:rsid w:val="4B2477C4"/>
    <w:rsid w:val="4B4F25DA"/>
    <w:rsid w:val="4BE068DB"/>
    <w:rsid w:val="4D577224"/>
    <w:rsid w:val="4DBF1CEB"/>
    <w:rsid w:val="4DDB337D"/>
    <w:rsid w:val="4DF0007C"/>
    <w:rsid w:val="4EAB630A"/>
    <w:rsid w:val="4ECE2238"/>
    <w:rsid w:val="4F833267"/>
    <w:rsid w:val="4FE9BD67"/>
    <w:rsid w:val="4FFB052F"/>
    <w:rsid w:val="537E6D0A"/>
    <w:rsid w:val="53F74C96"/>
    <w:rsid w:val="54F21CAC"/>
    <w:rsid w:val="55170BA8"/>
    <w:rsid w:val="553218C9"/>
    <w:rsid w:val="567E1AA5"/>
    <w:rsid w:val="56E47B74"/>
    <w:rsid w:val="57175D52"/>
    <w:rsid w:val="57BD3DD4"/>
    <w:rsid w:val="5AF92295"/>
    <w:rsid w:val="5B250254"/>
    <w:rsid w:val="5BDD79E6"/>
    <w:rsid w:val="5BF561CA"/>
    <w:rsid w:val="5BFF5DFC"/>
    <w:rsid w:val="5CD71FC4"/>
    <w:rsid w:val="5D1F11B5"/>
    <w:rsid w:val="5D695134"/>
    <w:rsid w:val="5DAE1B18"/>
    <w:rsid w:val="5DE7D9E5"/>
    <w:rsid w:val="5ECEC941"/>
    <w:rsid w:val="5FBF9FF3"/>
    <w:rsid w:val="5FCD4E2C"/>
    <w:rsid w:val="5FEF394A"/>
    <w:rsid w:val="5FF67715"/>
    <w:rsid w:val="62BF3928"/>
    <w:rsid w:val="63B3701E"/>
    <w:rsid w:val="647F5392"/>
    <w:rsid w:val="65E66580"/>
    <w:rsid w:val="664B1D71"/>
    <w:rsid w:val="664B4E8E"/>
    <w:rsid w:val="67277B67"/>
    <w:rsid w:val="67AA3209"/>
    <w:rsid w:val="698D0931"/>
    <w:rsid w:val="6A7FE5F3"/>
    <w:rsid w:val="6B053271"/>
    <w:rsid w:val="6BDD78B3"/>
    <w:rsid w:val="6C1A0CE7"/>
    <w:rsid w:val="6C4A05C8"/>
    <w:rsid w:val="6C8742B8"/>
    <w:rsid w:val="6DBF5E93"/>
    <w:rsid w:val="6DFF077E"/>
    <w:rsid w:val="6E714EF0"/>
    <w:rsid w:val="6E7E3605"/>
    <w:rsid w:val="6E7FDCC7"/>
    <w:rsid w:val="6ED6A62E"/>
    <w:rsid w:val="6EE00B15"/>
    <w:rsid w:val="6F6FB3EB"/>
    <w:rsid w:val="6F8731EA"/>
    <w:rsid w:val="6F8766CD"/>
    <w:rsid w:val="6FCE6052"/>
    <w:rsid w:val="6FD57C00"/>
    <w:rsid w:val="6FEFFFD8"/>
    <w:rsid w:val="6FF5CC65"/>
    <w:rsid w:val="6FFB47EC"/>
    <w:rsid w:val="6FFF034A"/>
    <w:rsid w:val="70484440"/>
    <w:rsid w:val="712A28F1"/>
    <w:rsid w:val="715C0E4B"/>
    <w:rsid w:val="71992E7C"/>
    <w:rsid w:val="72233669"/>
    <w:rsid w:val="72734D90"/>
    <w:rsid w:val="73160E6D"/>
    <w:rsid w:val="7332FE48"/>
    <w:rsid w:val="73AB61DA"/>
    <w:rsid w:val="73AD73D5"/>
    <w:rsid w:val="73B6EB34"/>
    <w:rsid w:val="73FA497D"/>
    <w:rsid w:val="744731E5"/>
    <w:rsid w:val="74BBD01D"/>
    <w:rsid w:val="74ED5379"/>
    <w:rsid w:val="755F00D2"/>
    <w:rsid w:val="75DEEEC2"/>
    <w:rsid w:val="75E32345"/>
    <w:rsid w:val="76E3355F"/>
    <w:rsid w:val="76FF5125"/>
    <w:rsid w:val="776F6FFA"/>
    <w:rsid w:val="778769C8"/>
    <w:rsid w:val="77A75DCA"/>
    <w:rsid w:val="77DC22F5"/>
    <w:rsid w:val="783E271A"/>
    <w:rsid w:val="78616DE9"/>
    <w:rsid w:val="78E875D7"/>
    <w:rsid w:val="79086DAD"/>
    <w:rsid w:val="79D7FD79"/>
    <w:rsid w:val="79EE5BA4"/>
    <w:rsid w:val="7A894339"/>
    <w:rsid w:val="7AD284E8"/>
    <w:rsid w:val="7AFF7572"/>
    <w:rsid w:val="7B6C7DFB"/>
    <w:rsid w:val="7BBFBED0"/>
    <w:rsid w:val="7BC3E394"/>
    <w:rsid w:val="7C1F3737"/>
    <w:rsid w:val="7CBFC87B"/>
    <w:rsid w:val="7CFE0F48"/>
    <w:rsid w:val="7D272ABC"/>
    <w:rsid w:val="7D7EC23E"/>
    <w:rsid w:val="7E8ADEBF"/>
    <w:rsid w:val="7EEF11D3"/>
    <w:rsid w:val="7EFE4840"/>
    <w:rsid w:val="7F0971A6"/>
    <w:rsid w:val="7F1D62E7"/>
    <w:rsid w:val="7F3F679B"/>
    <w:rsid w:val="7F4FC4EF"/>
    <w:rsid w:val="7F5E4D54"/>
    <w:rsid w:val="7F6E0135"/>
    <w:rsid w:val="7F79F205"/>
    <w:rsid w:val="7FA30C79"/>
    <w:rsid w:val="7FA79C44"/>
    <w:rsid w:val="7FAF8ABF"/>
    <w:rsid w:val="7FB7269E"/>
    <w:rsid w:val="7FC96657"/>
    <w:rsid w:val="7FDA9588"/>
    <w:rsid w:val="7FDF220F"/>
    <w:rsid w:val="7FEDC5F7"/>
    <w:rsid w:val="7FEDD9DE"/>
    <w:rsid w:val="7FF5890D"/>
    <w:rsid w:val="7FF93490"/>
    <w:rsid w:val="99FF2014"/>
    <w:rsid w:val="A6DD0D7F"/>
    <w:rsid w:val="ACFF4FBB"/>
    <w:rsid w:val="ADC6F725"/>
    <w:rsid w:val="B7CF06AB"/>
    <w:rsid w:val="B7CFA926"/>
    <w:rsid w:val="B7F8786B"/>
    <w:rsid w:val="BABB6AA1"/>
    <w:rsid w:val="BB2F4199"/>
    <w:rsid w:val="BCFFB442"/>
    <w:rsid w:val="BD079C78"/>
    <w:rsid w:val="BD733540"/>
    <w:rsid w:val="BF3735D5"/>
    <w:rsid w:val="BF7F09AC"/>
    <w:rsid w:val="BFD475C3"/>
    <w:rsid w:val="BFDE5EA6"/>
    <w:rsid w:val="CF6FC6F3"/>
    <w:rsid w:val="CFD3D3D7"/>
    <w:rsid w:val="CFDF1009"/>
    <w:rsid w:val="D7D7B16A"/>
    <w:rsid w:val="D8D6DB89"/>
    <w:rsid w:val="DB6F4CAB"/>
    <w:rsid w:val="DB777682"/>
    <w:rsid w:val="DD1FB521"/>
    <w:rsid w:val="DEFBFEAE"/>
    <w:rsid w:val="DF1F3B80"/>
    <w:rsid w:val="DF6F9789"/>
    <w:rsid w:val="DFE9BE81"/>
    <w:rsid w:val="DFFFA9E8"/>
    <w:rsid w:val="E5F4E9DC"/>
    <w:rsid w:val="E70FE695"/>
    <w:rsid w:val="EB2E368B"/>
    <w:rsid w:val="ECFED1BC"/>
    <w:rsid w:val="ED1D69BB"/>
    <w:rsid w:val="ED7FD312"/>
    <w:rsid w:val="EF2E1AC6"/>
    <w:rsid w:val="EF53993F"/>
    <w:rsid w:val="EF6FD633"/>
    <w:rsid w:val="EFBFB2F4"/>
    <w:rsid w:val="EFBFFA21"/>
    <w:rsid w:val="F2BEBCB8"/>
    <w:rsid w:val="F36FB518"/>
    <w:rsid w:val="F3DE1A04"/>
    <w:rsid w:val="F3F722E5"/>
    <w:rsid w:val="F4FBCD07"/>
    <w:rsid w:val="FA5F1E70"/>
    <w:rsid w:val="FA5FDB97"/>
    <w:rsid w:val="FB7F486A"/>
    <w:rsid w:val="FBFF5B2E"/>
    <w:rsid w:val="FD7FFE2B"/>
    <w:rsid w:val="FDEE196B"/>
    <w:rsid w:val="FDFE6575"/>
    <w:rsid w:val="FEDFDDC2"/>
    <w:rsid w:val="FEED32F6"/>
    <w:rsid w:val="FEF781DD"/>
    <w:rsid w:val="FF3F7E3F"/>
    <w:rsid w:val="FFBA12D7"/>
    <w:rsid w:val="FFCBD314"/>
    <w:rsid w:val="FFDFF91C"/>
    <w:rsid w:val="FFDFFAEE"/>
    <w:rsid w:val="FFEF6777"/>
    <w:rsid w:val="FFF9B57B"/>
    <w:rsid w:val="FFFD61D9"/>
    <w:rsid w:val="FFFD8F59"/>
    <w:rsid w:val="FFFF2BB1"/>
    <w:rsid w:val="FFFFB0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6">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5"/>
    <w:qFormat/>
    <w:uiPriority w:val="99"/>
    <w:pPr>
      <w:spacing w:beforeLines="30"/>
    </w:pPr>
    <w:rPr>
      <w:rFonts w:ascii="仿宋_GB2312" w:eastAsia="仿宋_GB2312"/>
      <w:kern w:val="0"/>
      <w:sz w:val="30"/>
    </w:rPr>
  </w:style>
  <w:style w:type="paragraph" w:styleId="6">
    <w:name w:val="Body Text Indent"/>
    <w:basedOn w:val="1"/>
    <w:next w:val="7"/>
    <w:qFormat/>
    <w:uiPriority w:val="0"/>
    <w:pPr>
      <w:spacing w:after="120"/>
      <w:ind w:leftChars="200"/>
    </w:pPr>
    <w:rPr>
      <w:rFonts w:ascii="仿宋_GB2312"/>
      <w:szCs w:val="32"/>
    </w:rPr>
  </w:style>
  <w:style w:type="paragraph" w:styleId="7">
    <w:name w:val="Body Text First Indent 2"/>
    <w:basedOn w:val="6"/>
    <w:unhideWhenUsed/>
    <w:qFormat/>
    <w:uiPriority w:val="99"/>
    <w:pPr>
      <w:ind w:firstLine="420" w:firstLineChars="200"/>
    </w:p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1"/>
    <w:semiHidden/>
    <w:unhideWhenUsed/>
    <w:qFormat/>
    <w:uiPriority w:val="99"/>
    <w:rPr>
      <w:sz w:val="18"/>
      <w:szCs w:val="18"/>
    </w:rPr>
  </w:style>
  <w:style w:type="paragraph" w:styleId="10">
    <w:name w:val="footer"/>
    <w:basedOn w:val="1"/>
    <w:link w:val="23"/>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1"/>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footnote text"/>
    <w:basedOn w:val="1"/>
    <w:next w:val="7"/>
    <w:semiHidden/>
    <w:qFormat/>
    <w:uiPriority w:val="0"/>
    <w:pPr>
      <w:snapToGrid w:val="0"/>
      <w:jc w:val="left"/>
    </w:pPr>
    <w:rPr>
      <w:sz w:val="18"/>
      <w:szCs w:val="18"/>
    </w:rPr>
  </w:style>
  <w:style w:type="paragraph" w:styleId="14">
    <w:name w:val="toc 2"/>
    <w:basedOn w:val="1"/>
    <w:next w:val="1"/>
    <w:unhideWhenUsed/>
    <w:qFormat/>
    <w:uiPriority w:val="39"/>
    <w:pPr>
      <w:tabs>
        <w:tab w:val="right" w:leader="dot" w:pos="8296"/>
      </w:tabs>
      <w:ind w:left="420" w:left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paragraph" w:customStyle="1" w:styleId="19">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character" w:customStyle="1" w:styleId="20">
    <w:name w:val="Header Char"/>
    <w:basedOn w:val="16"/>
    <w:semiHidden/>
    <w:qFormat/>
    <w:uiPriority w:val="99"/>
    <w:rPr>
      <w:rFonts w:ascii="Times New Roman" w:hAnsi="Times New Roman"/>
      <w:sz w:val="18"/>
      <w:szCs w:val="18"/>
    </w:rPr>
  </w:style>
  <w:style w:type="character" w:customStyle="1" w:styleId="21">
    <w:name w:val="页眉 Char"/>
    <w:link w:val="11"/>
    <w:semiHidden/>
    <w:qFormat/>
    <w:locked/>
    <w:uiPriority w:val="99"/>
    <w:rPr>
      <w:sz w:val="18"/>
    </w:rPr>
  </w:style>
  <w:style w:type="character" w:customStyle="1" w:styleId="22">
    <w:name w:val="Footer Char"/>
    <w:basedOn w:val="16"/>
    <w:semiHidden/>
    <w:qFormat/>
    <w:uiPriority w:val="99"/>
    <w:rPr>
      <w:rFonts w:ascii="Times New Roman" w:hAnsi="Times New Roman"/>
      <w:sz w:val="18"/>
      <w:szCs w:val="18"/>
    </w:rPr>
  </w:style>
  <w:style w:type="character" w:customStyle="1" w:styleId="23">
    <w:name w:val="页脚 Char"/>
    <w:link w:val="10"/>
    <w:qFormat/>
    <w:locked/>
    <w:uiPriority w:val="99"/>
    <w:rPr>
      <w:sz w:val="18"/>
    </w:rPr>
  </w:style>
  <w:style w:type="character" w:customStyle="1" w:styleId="24">
    <w:name w:val="Body Text Char"/>
    <w:basedOn w:val="16"/>
    <w:semiHidden/>
    <w:qFormat/>
    <w:uiPriority w:val="99"/>
    <w:rPr>
      <w:rFonts w:ascii="Times New Roman" w:hAnsi="Times New Roman"/>
      <w:szCs w:val="24"/>
    </w:rPr>
  </w:style>
  <w:style w:type="character" w:customStyle="1" w:styleId="25">
    <w:name w:val="正文文本 Char"/>
    <w:link w:val="2"/>
    <w:qFormat/>
    <w:locked/>
    <w:uiPriority w:val="99"/>
    <w:rPr>
      <w:rFonts w:ascii="仿宋_GB2312" w:hAnsi="Times New Roman" w:eastAsia="仿宋_GB2312"/>
      <w:sz w:val="24"/>
    </w:rPr>
  </w:style>
  <w:style w:type="paragraph" w:customStyle="1" w:styleId="2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7">
    <w:name w:val="List Paragraph"/>
    <w:basedOn w:val="1"/>
    <w:qFormat/>
    <w:uiPriority w:val="34"/>
    <w:pPr>
      <w:ind w:firstLine="420" w:firstLineChars="200"/>
    </w:pPr>
  </w:style>
  <w:style w:type="character" w:customStyle="1" w:styleId="28">
    <w:name w:val="标题 1 Char"/>
    <w:basedOn w:val="16"/>
    <w:link w:val="3"/>
    <w:qFormat/>
    <w:uiPriority w:val="9"/>
    <w:rPr>
      <w:rFonts w:ascii="Times New Roman" w:hAnsi="Times New Roman"/>
      <w:b/>
      <w:bCs/>
      <w:kern w:val="44"/>
      <w:sz w:val="44"/>
      <w:szCs w:val="44"/>
    </w:rPr>
  </w:style>
  <w:style w:type="character" w:customStyle="1" w:styleId="29">
    <w:name w:val="标题 2 Char"/>
    <w:basedOn w:val="16"/>
    <w:link w:val="4"/>
    <w:qFormat/>
    <w:uiPriority w:val="9"/>
    <w:rPr>
      <w:rFonts w:asciiTheme="majorHAnsi" w:hAnsiTheme="majorHAnsi" w:eastAsiaTheme="majorEastAsia" w:cstheme="majorBidi"/>
      <w:b/>
      <w:bCs/>
      <w:kern w:val="2"/>
      <w:sz w:val="32"/>
      <w:szCs w:val="32"/>
    </w:rPr>
  </w:style>
  <w:style w:type="paragraph" w:customStyle="1" w:styleId="30">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批注框文本 Char"/>
    <w:basedOn w:val="16"/>
    <w:link w:val="9"/>
    <w:semiHidden/>
    <w:qFormat/>
    <w:uiPriority w:val="99"/>
    <w:rPr>
      <w:rFonts w:ascii="Times New Roman" w:hAnsi="Times New Roman"/>
      <w:kern w:val="2"/>
      <w:sz w:val="18"/>
      <w:szCs w:val="18"/>
    </w:rPr>
  </w:style>
  <w:style w:type="character" w:customStyle="1" w:styleId="32">
    <w:name w:val="标题 3 Char"/>
    <w:basedOn w:val="16"/>
    <w:link w:val="5"/>
    <w:qFormat/>
    <w:uiPriority w:val="9"/>
    <w:rPr>
      <w:rFonts w:ascii="Times New Roman" w:hAnsi="Times New Roman"/>
      <w:b/>
      <w:bCs/>
      <w:kern w:val="2"/>
      <w:sz w:val="32"/>
      <w:szCs w:val="32"/>
    </w:rPr>
  </w:style>
  <w:style w:type="paragraph" w:customStyle="1" w:styleId="33">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4">
    <w:name w:val="四号正文"/>
    <w:basedOn w:val="1"/>
    <w:qFormat/>
    <w:uiPriority w:val="0"/>
    <w:pPr>
      <w:spacing w:line="360" w:lineRule="auto"/>
    </w:pPr>
    <w:rPr>
      <w:rFonts w:ascii="??" w:hAnsi="??" w:eastAsia="宋体"/>
      <w:color w:val="000000"/>
      <w:kern w:val="0"/>
      <w:sz w:val="28"/>
      <w:szCs w:val="21"/>
      <w:lang w:val="zh-CN" w:eastAsia="zh-CN"/>
    </w:rPr>
  </w:style>
  <w:style w:type="paragraph" w:customStyle="1" w:styleId="35">
    <w:name w:val="WPSOffice手动目录 1"/>
    <w:qFormat/>
    <w:uiPriority w:val="0"/>
    <w:pPr>
      <w:ind w:leftChars="0"/>
    </w:pPr>
    <w:rPr>
      <w:rFonts w:ascii="Arial" w:hAnsi="Arial" w:eastAsia="Arial" w:cs="Arial"/>
      <w:sz w:val="20"/>
      <w:szCs w:val="20"/>
    </w:rPr>
  </w:style>
  <w:style w:type="paragraph" w:customStyle="1" w:styleId="36">
    <w:name w:val="WPSOffice手动目录 2"/>
    <w:qFormat/>
    <w:uiPriority w:val="0"/>
    <w:pPr>
      <w:ind w:leftChars="200"/>
    </w:pPr>
    <w:rPr>
      <w:rFonts w:ascii="Arial" w:hAnsi="Arial" w:eastAsia="Arial" w:cs="Arial"/>
      <w:sz w:val="20"/>
      <w:szCs w:val="20"/>
    </w:rPr>
  </w:style>
  <w:style w:type="paragraph" w:customStyle="1" w:styleId="37">
    <w:name w:val="WPSOffice手动目录 3"/>
    <w:qFormat/>
    <w:uiPriority w:val="0"/>
    <w:pPr>
      <w:ind w:leftChars="400"/>
    </w:pPr>
    <w:rPr>
      <w:rFonts w:ascii="Arial" w:hAnsi="Arial" w:eastAsia="Arial" w:cs="Arial"/>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chart" Target="charts/chart6.xml"/><Relationship Id="rId14" Type="http://schemas.openxmlformats.org/officeDocument/2006/relationships/chart" Target="charts/chart5.xml"/><Relationship Id="rId13" Type="http://schemas.openxmlformats.org/officeDocument/2006/relationships/chart" Target="charts/chart4.xml"/><Relationship Id="rId12" Type="http://schemas.openxmlformats.org/officeDocument/2006/relationships/chart" Target="charts/chart3.xml"/><Relationship Id="rId11" Type="http://schemas.openxmlformats.org/officeDocument/2006/relationships/chart" Target="charts/chart2.xml"/><Relationship Id="rId10" Type="http://schemas.openxmlformats.org/officeDocument/2006/relationships/chart" Target="charts/chart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收支决算总计变动情况（</a:t>
            </a:r>
            <a:r>
              <a:rPr sz="1050" b="1"/>
              <a:t>单位</a:t>
            </a:r>
            <a:r>
              <a:rPr lang="en-US" altLang="zh-CN" sz="1050" b="1"/>
              <a:t>;</a:t>
            </a:r>
            <a:r>
              <a:rPr altLang="en-US" sz="1050" b="1"/>
              <a:t>万元</a:t>
            </a:r>
            <a:r>
              <a:t>）</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2023年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收入/支出</c:v>
                </c:pt>
              </c:strCache>
            </c:strRef>
          </c:cat>
          <c:val>
            <c:numRef>
              <c:f>Sheet1!$B$2</c:f>
              <c:numCache>
                <c:formatCode>General</c:formatCode>
                <c:ptCount val="1"/>
                <c:pt idx="0">
                  <c:v>530.36</c:v>
                </c:pt>
              </c:numCache>
            </c:numRef>
          </c:val>
        </c:ser>
        <c:ser>
          <c:idx val="1"/>
          <c:order val="1"/>
          <c:tx>
            <c:strRef>
              <c:f>Sheet1!$C$1</c:f>
              <c:strCache>
                <c:ptCount val="1"/>
                <c:pt idx="0">
                  <c:v>2024年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收入/支出</c:v>
                </c:pt>
              </c:strCache>
            </c:strRef>
          </c:cat>
          <c:val>
            <c:numRef>
              <c:f>Sheet1!$C$2</c:f>
              <c:numCache>
                <c:formatCode>General</c:formatCode>
                <c:ptCount val="1"/>
                <c:pt idx="0">
                  <c:v>589.29</c:v>
                </c:pt>
              </c:numCache>
            </c:numRef>
          </c:val>
        </c:ser>
        <c:dLbls>
          <c:showLegendKey val="0"/>
          <c:showVal val="1"/>
          <c:showCatName val="0"/>
          <c:showSerName val="0"/>
          <c:showPercent val="0"/>
          <c:showBubbleSize val="0"/>
        </c:dLbls>
        <c:gapWidth val="219"/>
        <c:overlap val="-27"/>
        <c:axId val="664404243"/>
        <c:axId val="481654464"/>
      </c:barChart>
      <c:catAx>
        <c:axId val="664404243"/>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81654464"/>
        <c:crosses val="autoZero"/>
        <c:auto val="1"/>
        <c:lblAlgn val="ctr"/>
        <c:lblOffset val="100"/>
        <c:noMultiLvlLbl val="0"/>
      </c:catAx>
      <c:valAx>
        <c:axId val="4816544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64404243"/>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2f02b3a3-184b-4272-8e36-1a788404abe0}"/>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收入决算结构图（</a:t>
            </a:r>
            <a:r>
              <a:rPr sz="1050" b="1"/>
              <a:t>单位：万元</a:t>
            </a:r>
            <a:r>
              <a:t>）</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a:solidFill>
              <a:schemeClr val="accent1"/>
            </a:solidFill>
          </c:spPr>
          <c:explosion val="0"/>
          <c:dPt>
            <c:idx val="0"/>
            <c:bubble3D val="0"/>
            <c:spPr>
              <a:solidFill>
                <a:schemeClr val="accent1"/>
              </a:solidFill>
              <a:ln w="19050">
                <a:solidFill>
                  <a:schemeClr val="lt1"/>
                </a:solidFill>
              </a:ln>
              <a:effectLst/>
            </c:spPr>
          </c:dPt>
          <c:dPt>
            <c:idx val="1"/>
            <c:bubble3D val="0"/>
            <c:spPr>
              <a:solidFill>
                <a:srgbClr val="92D050"/>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一般公共预算财政拨款收入</c:v>
                </c:pt>
                <c:pt idx="1">
                  <c:v>其他收入</c:v>
                </c:pt>
              </c:strCache>
            </c:strRef>
          </c:cat>
          <c:val>
            <c:numRef>
              <c:f>Sheet1!$B$2:$B$3</c:f>
              <c:numCache>
                <c:formatCode>General</c:formatCode>
                <c:ptCount val="2"/>
                <c:pt idx="0">
                  <c:v>443.02</c:v>
                </c:pt>
                <c:pt idx="1">
                  <c:v>55.04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1c9ef377-ef61-49e9-8bce-6deeb5214591}"/>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支出决算结构图</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基本支出</c:v>
                </c:pt>
              </c:strCache>
            </c:strRef>
          </c:cat>
          <c:val>
            <c:numRef>
              <c:f>Sheet1!$B$2</c:f>
              <c:numCache>
                <c:formatCode>General</c:formatCode>
                <c:ptCount val="1"/>
                <c:pt idx="0">
                  <c:v>454.56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b4bc8145-ac65-488b-8180-056ae947d3b9}"/>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财政笔款收支决算总计变动情况（单</a:t>
            </a:r>
            <a:r>
              <a:rPr sz="1050" b="1"/>
              <a:t>位：万元</a:t>
            </a:r>
            <a:r>
              <a:t>）</a:t>
            </a:r>
          </a:p>
        </c:rich>
      </c:tx>
      <c:layout>
        <c:manualLayout>
          <c:xMode val="edge"/>
          <c:yMode val="edge"/>
          <c:x val="0.14275"/>
          <c:y val="0.0210716435881999"/>
        </c:manualLayout>
      </c:layout>
      <c:overlay val="0"/>
      <c:spPr>
        <a:noFill/>
        <a:ln>
          <a:noFill/>
        </a:ln>
        <a:effectLst/>
      </c:spPr>
    </c:title>
    <c:autoTitleDeleted val="0"/>
    <c:plotArea>
      <c:layout/>
      <c:barChart>
        <c:barDir val="col"/>
        <c:grouping val="clustered"/>
        <c:varyColors val="0"/>
        <c:ser>
          <c:idx val="0"/>
          <c:order val="0"/>
          <c:tx>
            <c:strRef>
              <c:f>Sheet1!$B$1</c:f>
              <c:strCache>
                <c:ptCount val="1"/>
                <c:pt idx="0">
                  <c:v>2023年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财政拨款支出</c:v>
                </c:pt>
              </c:strCache>
            </c:strRef>
          </c:cat>
          <c:val>
            <c:numRef>
              <c:f>Sheet1!$B$2:$B$3</c:f>
              <c:numCache>
                <c:formatCode>General</c:formatCode>
                <c:ptCount val="2"/>
                <c:pt idx="0">
                  <c:v>413.11</c:v>
                </c:pt>
                <c:pt idx="1">
                  <c:v>413.11</c:v>
                </c:pt>
              </c:numCache>
            </c:numRef>
          </c:val>
        </c:ser>
        <c:ser>
          <c:idx val="1"/>
          <c:order val="1"/>
          <c:tx>
            <c:strRef>
              <c:f>Sheet1!$C$1</c:f>
              <c:strCache>
                <c:ptCount val="1"/>
                <c:pt idx="0">
                  <c:v>2024年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财政拨款支出</c:v>
                </c:pt>
              </c:strCache>
            </c:strRef>
          </c:cat>
          <c:val>
            <c:numRef>
              <c:f>Sheet1!$C$2:$C$3</c:f>
              <c:numCache>
                <c:formatCode>General</c:formatCode>
                <c:ptCount val="2"/>
                <c:pt idx="0">
                  <c:v>443.02</c:v>
                </c:pt>
                <c:pt idx="1">
                  <c:v>443.02</c:v>
                </c:pt>
              </c:numCache>
            </c:numRef>
          </c:val>
        </c:ser>
        <c:dLbls>
          <c:showLegendKey val="0"/>
          <c:showVal val="1"/>
          <c:showCatName val="0"/>
          <c:showSerName val="0"/>
          <c:showPercent val="0"/>
          <c:showBubbleSize val="0"/>
        </c:dLbls>
        <c:gapWidth val="219"/>
        <c:overlap val="-27"/>
        <c:axId val="901375486"/>
        <c:axId val="178679377"/>
      </c:barChart>
      <c:catAx>
        <c:axId val="90137548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78679377"/>
        <c:crosses val="autoZero"/>
        <c:auto val="1"/>
        <c:lblAlgn val="ctr"/>
        <c:lblOffset val="100"/>
        <c:noMultiLvlLbl val="0"/>
      </c:catAx>
      <c:valAx>
        <c:axId val="17867937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1375486"/>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1c7a3eb6-f36c-47a8-9b84-f8640afb535e}"/>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一般公共预算财政拨款支出决算变动情况</a:t>
            </a:r>
            <a:r>
              <a:rPr sz="900" b="1"/>
              <a:t>（单位：万元）</a:t>
            </a:r>
            <a:endParaRPr lang="en-US" altLang="zh-CN" sz="900" b="1"/>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2023年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一般公共预算财政拨款支出</c:v>
                </c:pt>
              </c:strCache>
            </c:strRef>
          </c:cat>
          <c:val>
            <c:numRef>
              <c:f>Sheet1!$B$2</c:f>
              <c:numCache>
                <c:formatCode>General</c:formatCode>
                <c:ptCount val="1"/>
                <c:pt idx="0">
                  <c:v>413.11</c:v>
                </c:pt>
              </c:numCache>
            </c:numRef>
          </c:val>
        </c:ser>
        <c:ser>
          <c:idx val="1"/>
          <c:order val="1"/>
          <c:tx>
            <c:strRef>
              <c:f>Sheet1!$C$1</c:f>
              <c:strCache>
                <c:ptCount val="1"/>
                <c:pt idx="0">
                  <c:v>2024年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一般公共预算财政拨款支出</c:v>
                </c:pt>
              </c:strCache>
            </c:strRef>
          </c:cat>
          <c:val>
            <c:numRef>
              <c:f>Sheet1!$C$2</c:f>
              <c:numCache>
                <c:formatCode>General</c:formatCode>
                <c:ptCount val="1"/>
                <c:pt idx="0">
                  <c:v>443.02</c:v>
                </c:pt>
              </c:numCache>
            </c:numRef>
          </c:val>
        </c:ser>
        <c:dLbls>
          <c:showLegendKey val="0"/>
          <c:showVal val="1"/>
          <c:showCatName val="0"/>
          <c:showSerName val="0"/>
          <c:showPercent val="0"/>
          <c:showBubbleSize val="0"/>
        </c:dLbls>
        <c:gapWidth val="219"/>
        <c:overlap val="-27"/>
        <c:axId val="500593404"/>
        <c:axId val="73366360"/>
      </c:barChart>
      <c:catAx>
        <c:axId val="50059340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3366360"/>
        <c:crosses val="autoZero"/>
        <c:auto val="1"/>
        <c:lblAlgn val="ctr"/>
        <c:lblOffset val="100"/>
        <c:noMultiLvlLbl val="0"/>
      </c:catAx>
      <c:valAx>
        <c:axId val="733663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0059340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da8c3a2f-7987-4a7d-bce5-9e2458063222}"/>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一般公共预算财政拨款支出决算结构（</a:t>
            </a:r>
            <a:r>
              <a:rPr sz="1050" b="1"/>
              <a:t>单位：万元</a:t>
            </a:r>
            <a:r>
              <a:t>）</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农林水支出</c:v>
                </c:pt>
                <c:pt idx="1">
                  <c:v>社会保障和就业支出</c:v>
                </c:pt>
                <c:pt idx="2">
                  <c:v>卫生健康支出</c:v>
                </c:pt>
                <c:pt idx="3">
                  <c:v>住房保障支出</c:v>
                </c:pt>
              </c:strCache>
            </c:strRef>
          </c:cat>
          <c:val>
            <c:numRef>
              <c:f>Sheet1!$B$2:$B$5</c:f>
              <c:numCache>
                <c:formatCode>General</c:formatCode>
                <c:ptCount val="4"/>
                <c:pt idx="0">
                  <c:v>255.75</c:v>
                </c:pt>
                <c:pt idx="1">
                  <c:v>143.2</c:v>
                </c:pt>
                <c:pt idx="2">
                  <c:v>19.7</c:v>
                </c:pt>
                <c:pt idx="3">
                  <c:v>24.36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d468bcd6-6af1-41b4-8e60-d4061baef12e}"/>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34fa41c-53ff-4ba1-b913-e8590c9a60de}"/>
        <w:style w:val=""/>
        <w:category>
          <w:name w:val="常规"/>
          <w:gallery w:val="placeholder"/>
        </w:category>
        <w:types>
          <w:type w:val="bbPlcHdr"/>
        </w:types>
        <w:behaviors>
          <w:behavior w:val="content"/>
        </w:behaviors>
        <w:description w:val=""/>
        <w:guid w:val="{734fa41c-53ff-4ba1-b913-e8590c9a60de}"/>
      </w:docPartPr>
      <w:docPartBody>
        <w:p w14:paraId="0E793FDC">
          <w:r>
            <w:rPr>
              <w:color w:val="808080"/>
            </w:rPr>
            <w:t>单击此处输入文字。</w:t>
          </w:r>
        </w:p>
      </w:docPartBody>
    </w:docPart>
    <w:docPart>
      <w:docPartPr>
        <w:name w:val="{85302fc2-527e-4035-9e88-e01302617dd9}"/>
        <w:style w:val=""/>
        <w:category>
          <w:name w:val="常规"/>
          <w:gallery w:val="placeholder"/>
        </w:category>
        <w:types>
          <w:type w:val="bbPlcHdr"/>
        </w:types>
        <w:behaviors>
          <w:behavior w:val="content"/>
        </w:behaviors>
        <w:description w:val=""/>
        <w:guid w:val="{85302fc2-527e-4035-9e88-e01302617dd9}"/>
      </w:docPartPr>
      <w:docPartBody>
        <w:p w14:paraId="5CF23B8C">
          <w:r>
            <w:rPr>
              <w:color w:val="808080"/>
            </w:rPr>
            <w:t>单击此处输入文字。</w:t>
          </w:r>
        </w:p>
      </w:docPartBody>
    </w:docPart>
    <w:docPart>
      <w:docPartPr>
        <w:name w:val="{0c76d543-adbf-44f9-af71-9577ef6242d8}"/>
        <w:style w:val=""/>
        <w:category>
          <w:name w:val="常规"/>
          <w:gallery w:val="placeholder"/>
        </w:category>
        <w:types>
          <w:type w:val="bbPlcHdr"/>
        </w:types>
        <w:behaviors>
          <w:behavior w:val="content"/>
        </w:behaviors>
        <w:description w:val=""/>
        <w:guid w:val="{0c76d543-adbf-44f9-af71-9577ef6242d8}"/>
      </w:docPartPr>
      <w:docPartBody>
        <w:p w14:paraId="3D545559">
          <w:r>
            <w:rPr>
              <w:color w:val="808080"/>
            </w:rPr>
            <w:t>单击此处输入文字。</w:t>
          </w:r>
        </w:p>
      </w:docPartBody>
    </w:docPart>
    <w:docPart>
      <w:docPartPr>
        <w:name w:val="{45c1bd69-4845-4534-a687-75b04c994d3f}"/>
        <w:style w:val=""/>
        <w:category>
          <w:name w:val="常规"/>
          <w:gallery w:val="placeholder"/>
        </w:category>
        <w:types>
          <w:type w:val="bbPlcHdr"/>
        </w:types>
        <w:behaviors>
          <w:behavior w:val="content"/>
        </w:behaviors>
        <w:description w:val=""/>
        <w:guid w:val="{45c1bd69-4845-4534-a687-75b04c994d3f}"/>
      </w:docPartPr>
      <w:docPartBody>
        <w:p w14:paraId="27B63BA1">
          <w:r>
            <w:rPr>
              <w:color w:val="808080"/>
            </w:rPr>
            <w:t>单击此处输入文字。</w:t>
          </w:r>
        </w:p>
      </w:docPartBody>
    </w:docPart>
    <w:docPart>
      <w:docPartPr>
        <w:name w:val="{b411ef11-5ee8-48f3-a6a7-ac4bd3c43e91}"/>
        <w:style w:val=""/>
        <w:category>
          <w:name w:val="常规"/>
          <w:gallery w:val="placeholder"/>
        </w:category>
        <w:types>
          <w:type w:val="bbPlcHdr"/>
        </w:types>
        <w:behaviors>
          <w:behavior w:val="content"/>
        </w:behaviors>
        <w:description w:val=""/>
        <w:guid w:val="{b411ef11-5ee8-48f3-a6a7-ac4bd3c43e91}"/>
      </w:docPartPr>
      <w:docPartBody>
        <w:p w14:paraId="57AEF998">
          <w:r>
            <w:rPr>
              <w:color w:val="808080"/>
            </w:rPr>
            <w:t>单击此处输入文字。</w:t>
          </w:r>
        </w:p>
      </w:docPartBody>
    </w:docPart>
    <w:docPart>
      <w:docPartPr>
        <w:name w:val="{7ed0d299-1fed-414f-8c9b-4dc4f616a8e3}"/>
        <w:style w:val=""/>
        <w:category>
          <w:name w:val="常规"/>
          <w:gallery w:val="placeholder"/>
        </w:category>
        <w:types>
          <w:type w:val="bbPlcHdr"/>
        </w:types>
        <w:behaviors>
          <w:behavior w:val="content"/>
        </w:behaviors>
        <w:description w:val=""/>
        <w:guid w:val="{7ed0d299-1fed-414f-8c9b-4dc4f616a8e3}"/>
      </w:docPartPr>
      <w:docPartBody>
        <w:p w14:paraId="3168E90A">
          <w:r>
            <w:rPr>
              <w:color w:val="808080"/>
            </w:rPr>
            <w:t>单击此处输入文字。</w:t>
          </w:r>
        </w:p>
      </w:docPartBody>
    </w:docPart>
    <w:docPart>
      <w:docPartPr>
        <w:name w:val="{330ffb9c-4264-4286-bdbf-6ccc0cebf942}"/>
        <w:style w:val=""/>
        <w:category>
          <w:name w:val="常规"/>
          <w:gallery w:val="placeholder"/>
        </w:category>
        <w:types>
          <w:type w:val="bbPlcHdr"/>
        </w:types>
        <w:behaviors>
          <w:behavior w:val="content"/>
        </w:behaviors>
        <w:description w:val=""/>
        <w:guid w:val="{330ffb9c-4264-4286-bdbf-6ccc0cebf942}"/>
      </w:docPartPr>
      <w:docPartBody>
        <w:p w14:paraId="0218E238">
          <w:r>
            <w:rPr>
              <w:color w:val="808080"/>
            </w:rPr>
            <w:t>单击此处输入文字。</w:t>
          </w:r>
        </w:p>
      </w:docPartBody>
    </w:docPart>
    <w:docPart>
      <w:docPartPr>
        <w:name w:val="{12ffbeb3-4083-403e-ac87-3e9a7c1aa1c7}"/>
        <w:style w:val=""/>
        <w:category>
          <w:name w:val="常规"/>
          <w:gallery w:val="placeholder"/>
        </w:category>
        <w:types>
          <w:type w:val="bbPlcHdr"/>
        </w:types>
        <w:behaviors>
          <w:behavior w:val="content"/>
        </w:behaviors>
        <w:description w:val=""/>
        <w:guid w:val="{12ffbeb3-4083-403e-ac87-3e9a7c1aa1c7}"/>
      </w:docPartPr>
      <w:docPartBody>
        <w:p w14:paraId="232A062D">
          <w:r>
            <w:rPr>
              <w:color w:val="808080"/>
            </w:rPr>
            <w:t>单击此处输入文字。</w:t>
          </w:r>
        </w:p>
      </w:docPartBody>
    </w:docPart>
    <w:docPart>
      <w:docPartPr>
        <w:name w:val="{446a02da-4996-48ae-8e05-ad594b1a6f82}"/>
        <w:style w:val=""/>
        <w:category>
          <w:name w:val="常规"/>
          <w:gallery w:val="placeholder"/>
        </w:category>
        <w:types>
          <w:type w:val="bbPlcHdr"/>
        </w:types>
        <w:behaviors>
          <w:behavior w:val="content"/>
        </w:behaviors>
        <w:description w:val=""/>
        <w:guid w:val="{446a02da-4996-48ae-8e05-ad594b1a6f82}"/>
      </w:docPartPr>
      <w:docPartBody>
        <w:p w14:paraId="57D5F7E0">
          <w:r>
            <w:rPr>
              <w:color w:val="808080"/>
            </w:rPr>
            <w:t>单击此处输入文字。</w:t>
          </w:r>
        </w:p>
      </w:docPartBody>
    </w:docPart>
    <w:docPart>
      <w:docPartPr>
        <w:name w:val="{53924a26-0761-4eea-96fe-7fc21b33e18c}"/>
        <w:style w:val=""/>
        <w:category>
          <w:name w:val="常规"/>
          <w:gallery w:val="placeholder"/>
        </w:category>
        <w:types>
          <w:type w:val="bbPlcHdr"/>
        </w:types>
        <w:behaviors>
          <w:behavior w:val="content"/>
        </w:behaviors>
        <w:description w:val=""/>
        <w:guid w:val="{53924a26-0761-4eea-96fe-7fc21b33e18c}"/>
      </w:docPartPr>
      <w:docPartBody>
        <w:p w14:paraId="3DE7D149">
          <w:r>
            <w:rPr>
              <w:color w:val="808080"/>
            </w:rPr>
            <w:t>单击此处输入文字。</w:t>
          </w:r>
        </w:p>
      </w:docPartBody>
    </w:docPart>
    <w:docPart>
      <w:docPartPr>
        <w:name w:val="{014dd3e0-16ee-4aa3-bdd4-b5b6ad16e1b8}"/>
        <w:style w:val=""/>
        <w:category>
          <w:name w:val="常规"/>
          <w:gallery w:val="placeholder"/>
        </w:category>
        <w:types>
          <w:type w:val="bbPlcHdr"/>
        </w:types>
        <w:behaviors>
          <w:behavior w:val="content"/>
        </w:behaviors>
        <w:description w:val=""/>
        <w:guid w:val="{014dd3e0-16ee-4aa3-bdd4-b5b6ad16e1b8}"/>
      </w:docPartPr>
      <w:docPartBody>
        <w:p w14:paraId="1EF319EE">
          <w:r>
            <w:rPr>
              <w:color w:val="808080"/>
            </w:rPr>
            <w:t>单击此处输入文字。</w:t>
          </w:r>
        </w:p>
      </w:docPartBody>
    </w:docPart>
    <w:docPart>
      <w:docPartPr>
        <w:name w:val="{50664a80-27b9-416a-9578-aca0be5d83e9}"/>
        <w:style w:val=""/>
        <w:category>
          <w:name w:val="常规"/>
          <w:gallery w:val="placeholder"/>
        </w:category>
        <w:types>
          <w:type w:val="bbPlcHdr"/>
        </w:types>
        <w:behaviors>
          <w:behavior w:val="content"/>
        </w:behaviors>
        <w:description w:val=""/>
        <w:guid w:val="{50664a80-27b9-416a-9578-aca0be5d83e9}"/>
      </w:docPartPr>
      <w:docPartBody>
        <w:p w14:paraId="0729609A">
          <w:r>
            <w:rPr>
              <w:color w:val="808080"/>
            </w:rPr>
            <w:t>单击此处输入文字。</w:t>
          </w:r>
        </w:p>
      </w:docPartBody>
    </w:docPart>
    <w:docPart>
      <w:docPartPr>
        <w:name w:val="{5c82a13a-9c7a-417e-945e-82e87ff8a951}"/>
        <w:style w:val=""/>
        <w:category>
          <w:name w:val="常规"/>
          <w:gallery w:val="placeholder"/>
        </w:category>
        <w:types>
          <w:type w:val="bbPlcHdr"/>
        </w:types>
        <w:behaviors>
          <w:behavior w:val="content"/>
        </w:behaviors>
        <w:description w:val=""/>
        <w:guid w:val="{5c82a13a-9c7a-417e-945e-82e87ff8a951}"/>
      </w:docPartPr>
      <w:docPartBody>
        <w:p w14:paraId="14B7D3F4">
          <w:r>
            <w:rPr>
              <w:color w:val="808080"/>
            </w:rPr>
            <w:t>单击此处输入文字。</w:t>
          </w:r>
        </w:p>
      </w:docPartBody>
    </w:docPart>
    <w:docPart>
      <w:docPartPr>
        <w:name w:val="{1b8d0d26-b765-4541-9f84-03175900a852}"/>
        <w:style w:val=""/>
        <w:category>
          <w:name w:val="常规"/>
          <w:gallery w:val="placeholder"/>
        </w:category>
        <w:types>
          <w:type w:val="bbPlcHdr"/>
        </w:types>
        <w:behaviors>
          <w:behavior w:val="content"/>
        </w:behaviors>
        <w:description w:val=""/>
        <w:guid w:val="{1b8d0d26-b765-4541-9f84-03175900a852}"/>
      </w:docPartPr>
      <w:docPartBody>
        <w:p w14:paraId="18870355">
          <w:r>
            <w:rPr>
              <w:color w:val="808080"/>
            </w:rPr>
            <w:t>单击此处输入文字。</w:t>
          </w:r>
        </w:p>
      </w:docPartBody>
    </w:docPart>
    <w:docPart>
      <w:docPartPr>
        <w:name w:val="{dbfc9b30-ed0e-447b-9561-1b274393535e}"/>
        <w:style w:val=""/>
        <w:category>
          <w:name w:val="常规"/>
          <w:gallery w:val="placeholder"/>
        </w:category>
        <w:types>
          <w:type w:val="bbPlcHdr"/>
        </w:types>
        <w:behaviors>
          <w:behavior w:val="content"/>
        </w:behaviors>
        <w:description w:val=""/>
        <w:guid w:val="{dbfc9b30-ed0e-447b-9561-1b274393535e}"/>
      </w:docPartPr>
      <w:docPartBody>
        <w:p w14:paraId="5D5FFE04">
          <w:r>
            <w:rPr>
              <w:color w:val="808080"/>
            </w:rPr>
            <w:t>单击此处输入文字。</w:t>
          </w:r>
        </w:p>
      </w:docPartBody>
    </w:docPart>
    <w:docPart>
      <w:docPartPr>
        <w:name w:val="{23a2ed56-2092-40f7-bfc2-840158f55298}"/>
        <w:style w:val=""/>
        <w:category>
          <w:name w:val="常规"/>
          <w:gallery w:val="placeholder"/>
        </w:category>
        <w:types>
          <w:type w:val="bbPlcHdr"/>
        </w:types>
        <w:behaviors>
          <w:behavior w:val="content"/>
        </w:behaviors>
        <w:description w:val=""/>
        <w:guid w:val="{23a2ed56-2092-40f7-bfc2-840158f55298}"/>
      </w:docPartPr>
      <w:docPartBody>
        <w:p w14:paraId="0E4FE133">
          <w:r>
            <w:rPr>
              <w:color w:val="808080"/>
            </w:rPr>
            <w:t>单击此处输入文字。</w:t>
          </w:r>
        </w:p>
      </w:docPartBody>
    </w:docPart>
    <w:docPart>
      <w:docPartPr>
        <w:name w:val="{af95a6ab-73ab-4b9b-9a38-12c9994d6192}"/>
        <w:style w:val=""/>
        <w:category>
          <w:name w:val="常规"/>
          <w:gallery w:val="placeholder"/>
        </w:category>
        <w:types>
          <w:type w:val="bbPlcHdr"/>
        </w:types>
        <w:behaviors>
          <w:behavior w:val="content"/>
        </w:behaviors>
        <w:description w:val=""/>
        <w:guid w:val="{af95a6ab-73ab-4b9b-9a38-12c9994d6192}"/>
      </w:docPartPr>
      <w:docPartBody>
        <w:p w14:paraId="26FC2545">
          <w:r>
            <w:rPr>
              <w:color w:val="808080"/>
            </w:rPr>
            <w:t>单击此处输入文字。</w:t>
          </w:r>
        </w:p>
      </w:docPartBody>
    </w:docPart>
    <w:docPart>
      <w:docPartPr>
        <w:name w:val="{2c6922db-bb22-4d66-8149-07b9e2c87ad4}"/>
        <w:style w:val=""/>
        <w:category>
          <w:name w:val="常规"/>
          <w:gallery w:val="placeholder"/>
        </w:category>
        <w:types>
          <w:type w:val="bbPlcHdr"/>
        </w:types>
        <w:behaviors>
          <w:behavior w:val="content"/>
        </w:behaviors>
        <w:description w:val=""/>
        <w:guid w:val="{2c6922db-bb22-4d66-8149-07b9e2c87ad4}"/>
      </w:docPartPr>
      <w:docPartBody>
        <w:p w14:paraId="73017575">
          <w:r>
            <w:rPr>
              <w:color w:val="808080"/>
            </w:rPr>
            <w:t>单击此处输入文字。</w:t>
          </w:r>
        </w:p>
      </w:docPartBody>
    </w:docPart>
    <w:docPart>
      <w:docPartPr>
        <w:name w:val="{66896013-2606-4d21-8798-458ccc267d01}"/>
        <w:style w:val=""/>
        <w:category>
          <w:name w:val="常规"/>
          <w:gallery w:val="placeholder"/>
        </w:category>
        <w:types>
          <w:type w:val="bbPlcHdr"/>
        </w:types>
        <w:behaviors>
          <w:behavior w:val="content"/>
        </w:behaviors>
        <w:description w:val=""/>
        <w:guid w:val="{66896013-2606-4d21-8798-458ccc267d01}"/>
      </w:docPartPr>
      <w:docPartBody>
        <w:p w14:paraId="5B118014">
          <w:r>
            <w:rPr>
              <w:color w:val="808080"/>
            </w:rPr>
            <w:t>单击此处输入文字。</w:t>
          </w:r>
        </w:p>
      </w:docPartBody>
    </w:docPart>
    <w:docPart>
      <w:docPartPr>
        <w:name w:val="{d63172d7-c810-49a1-b3c5-376e0eb31d3e}"/>
        <w:style w:val=""/>
        <w:category>
          <w:name w:val="常规"/>
          <w:gallery w:val="placeholder"/>
        </w:category>
        <w:types>
          <w:type w:val="bbPlcHdr"/>
        </w:types>
        <w:behaviors>
          <w:behavior w:val="content"/>
        </w:behaviors>
        <w:description w:val=""/>
        <w:guid w:val="{d63172d7-c810-49a1-b3c5-376e0eb31d3e}"/>
      </w:docPartPr>
      <w:docPartBody>
        <w:p w14:paraId="227C7E2D">
          <w:r>
            <w:rPr>
              <w:color w:val="808080"/>
            </w:rPr>
            <w:t>单击此处输入文字。</w:t>
          </w:r>
        </w:p>
      </w:docPartBody>
    </w:docPart>
    <w:docPart>
      <w:docPartPr>
        <w:name w:val="{0fb72337-5cec-45b5-acdd-fc2875d78e79}"/>
        <w:style w:val=""/>
        <w:category>
          <w:name w:val="常规"/>
          <w:gallery w:val="placeholder"/>
        </w:category>
        <w:types>
          <w:type w:val="bbPlcHdr"/>
        </w:types>
        <w:behaviors>
          <w:behavior w:val="content"/>
        </w:behaviors>
        <w:description w:val=""/>
        <w:guid w:val="{0fb72337-5cec-45b5-acdd-fc2875d78e79}"/>
      </w:docPartPr>
      <w:docPartBody>
        <w:p w14:paraId="76E318C3">
          <w:r>
            <w:rPr>
              <w:color w:val="808080"/>
            </w:rPr>
            <w:t>单击此处输入文字。</w:t>
          </w:r>
        </w:p>
      </w:docPartBody>
    </w:docPart>
    <w:docPart>
      <w:docPartPr>
        <w:name w:val="{22e10027-4f47-4503-a443-4bf594dc7499}"/>
        <w:style w:val=""/>
        <w:category>
          <w:name w:val="常规"/>
          <w:gallery w:val="placeholder"/>
        </w:category>
        <w:types>
          <w:type w:val="bbPlcHdr"/>
        </w:types>
        <w:behaviors>
          <w:behavior w:val="content"/>
        </w:behaviors>
        <w:description w:val=""/>
        <w:guid w:val="{22e10027-4f47-4503-a443-4bf594dc7499}"/>
      </w:docPartPr>
      <w:docPartBody>
        <w:p w14:paraId="5F5A7D55">
          <w:r>
            <w:rPr>
              <w:color w:val="808080"/>
            </w:rPr>
            <w:t>单击此处输入文字。</w:t>
          </w:r>
        </w:p>
      </w:docPartBody>
    </w:docPart>
    <w:docPart>
      <w:docPartPr>
        <w:name w:val="{a55db174-6b10-4719-846f-b8a04cbaafa4}"/>
        <w:style w:val=""/>
        <w:category>
          <w:name w:val="常规"/>
          <w:gallery w:val="placeholder"/>
        </w:category>
        <w:types>
          <w:type w:val="bbPlcHdr"/>
        </w:types>
        <w:behaviors>
          <w:behavior w:val="content"/>
        </w:behaviors>
        <w:description w:val=""/>
        <w:guid w:val="{a55db174-6b10-4719-846f-b8a04cbaafa4}"/>
      </w:docPartPr>
      <w:docPartBody>
        <w:p w14:paraId="2C82EE68">
          <w:r>
            <w:rPr>
              <w:color w:val="808080"/>
            </w:rPr>
            <w:t>单击此处输入文字。</w:t>
          </w:r>
        </w:p>
      </w:docPartBody>
    </w:docPart>
    <w:docPart>
      <w:docPartPr>
        <w:name w:val="{d9f87c92-916c-49a4-b199-31b3bea5f48a}"/>
        <w:style w:val=""/>
        <w:category>
          <w:name w:val="常规"/>
          <w:gallery w:val="placeholder"/>
        </w:category>
        <w:types>
          <w:type w:val="bbPlcHdr"/>
        </w:types>
        <w:behaviors>
          <w:behavior w:val="content"/>
        </w:behaviors>
        <w:description w:val=""/>
        <w:guid w:val="{d9f87c92-916c-49a4-b199-31b3bea5f48a}"/>
      </w:docPartPr>
      <w:docPartBody>
        <w:p w14:paraId="20A11C1F">
          <w:r>
            <w:rPr>
              <w:color w:val="808080"/>
            </w:rPr>
            <w:t>单击此处输入文字。</w:t>
          </w:r>
        </w:p>
      </w:docPartBody>
    </w:docPart>
    <w:docPart>
      <w:docPartPr>
        <w:name w:val="{fc8ed43e-018a-4768-b7f1-e0758d68ab3f}"/>
        <w:style w:val=""/>
        <w:category>
          <w:name w:val="常规"/>
          <w:gallery w:val="placeholder"/>
        </w:category>
        <w:types>
          <w:type w:val="bbPlcHdr"/>
        </w:types>
        <w:behaviors>
          <w:behavior w:val="content"/>
        </w:behaviors>
        <w:description w:val=""/>
        <w:guid w:val="{fc8ed43e-018a-4768-b7f1-e0758d68ab3f}"/>
      </w:docPartPr>
      <w:docPartBody>
        <w:p w14:paraId="6703B71C">
          <w:r>
            <w:rPr>
              <w:color w:val="808080"/>
            </w:rPr>
            <w:t>单击此处输入文字。</w:t>
          </w:r>
        </w:p>
      </w:docPartBody>
    </w:docPart>
    <w:docPart>
      <w:docPartPr>
        <w:name w:val="{0c3b5537-2bed-4111-9663-eefda64efa31}"/>
        <w:style w:val=""/>
        <w:category>
          <w:name w:val="常规"/>
          <w:gallery w:val="placeholder"/>
        </w:category>
        <w:types>
          <w:type w:val="bbPlcHdr"/>
        </w:types>
        <w:behaviors>
          <w:behavior w:val="content"/>
        </w:behaviors>
        <w:description w:val=""/>
        <w:guid w:val="{0c3b5537-2bed-4111-9663-eefda64efa31}"/>
      </w:docPartPr>
      <w:docPartBody>
        <w:p w14:paraId="39B22BD7">
          <w:r>
            <w:rPr>
              <w:color w:val="808080"/>
            </w:rPr>
            <w:t>单击此处输入文字。</w:t>
          </w:r>
        </w:p>
      </w:docPartBody>
    </w:docPart>
    <w:docPart>
      <w:docPartPr>
        <w:name w:val="{1616d962-5f78-4447-a0cf-c22561641483}"/>
        <w:style w:val=""/>
        <w:category>
          <w:name w:val="常规"/>
          <w:gallery w:val="placeholder"/>
        </w:category>
        <w:types>
          <w:type w:val="bbPlcHdr"/>
        </w:types>
        <w:behaviors>
          <w:behavior w:val="content"/>
        </w:behaviors>
        <w:description w:val=""/>
        <w:guid w:val="{1616d962-5f78-4447-a0cf-c22561641483}"/>
      </w:docPartPr>
      <w:docPartBody>
        <w:p w14:paraId="51FBD581">
          <w:r>
            <w:rPr>
              <w:color w:val="808080"/>
            </w:rPr>
            <w:t>单击此处输入文字。</w:t>
          </w:r>
        </w:p>
      </w:docPartBody>
    </w:docPart>
    <w:docPart>
      <w:docPartPr>
        <w:name w:val="{8fb002f0-5eb4-4357-a677-64275d251e1d}"/>
        <w:style w:val=""/>
        <w:category>
          <w:name w:val="常规"/>
          <w:gallery w:val="placeholder"/>
        </w:category>
        <w:types>
          <w:type w:val="bbPlcHdr"/>
        </w:types>
        <w:behaviors>
          <w:behavior w:val="content"/>
        </w:behaviors>
        <w:description w:val=""/>
        <w:guid w:val="{8fb002f0-5eb4-4357-a677-64275d251e1d}"/>
      </w:docPartPr>
      <w:docPartBody>
        <w:p w14:paraId="1C34EC86">
          <w:r>
            <w:rPr>
              <w:color w:val="808080"/>
            </w:rPr>
            <w:t>单击此处输入文字。</w:t>
          </w:r>
        </w:p>
      </w:docPartBody>
    </w:docPart>
    <w:docPart>
      <w:docPartPr>
        <w:name w:val="{53b2ed6b-6af8-4852-9c2a-05ca47bf95c7}"/>
        <w:style w:val=""/>
        <w:category>
          <w:name w:val="常规"/>
          <w:gallery w:val="placeholder"/>
        </w:category>
        <w:types>
          <w:type w:val="bbPlcHdr"/>
        </w:types>
        <w:behaviors>
          <w:behavior w:val="content"/>
        </w:behaviors>
        <w:description w:val=""/>
        <w:guid w:val="{53b2ed6b-6af8-4852-9c2a-05ca47bf95c7}"/>
      </w:docPartPr>
      <w:docPartBody>
        <w:p w14:paraId="128040C5">
          <w:r>
            <w:rPr>
              <w:color w:val="808080"/>
            </w:rPr>
            <w:t>单击此处输入文字。</w:t>
          </w:r>
        </w:p>
      </w:docPartBody>
    </w:docPart>
    <w:docPart>
      <w:docPartPr>
        <w:name w:val="{8075e3d6-cebe-4443-92ee-6efdad233b77}"/>
        <w:style w:val=""/>
        <w:category>
          <w:name w:val="常规"/>
          <w:gallery w:val="placeholder"/>
        </w:category>
        <w:types>
          <w:type w:val="bbPlcHdr"/>
        </w:types>
        <w:behaviors>
          <w:behavior w:val="content"/>
        </w:behaviors>
        <w:description w:val=""/>
        <w:guid w:val="{8075e3d6-cebe-4443-92ee-6efdad233b77}"/>
      </w:docPartPr>
      <w:docPartBody>
        <w:p w14:paraId="6A82CB23">
          <w:r>
            <w:rPr>
              <w:color w:val="808080"/>
            </w:rPr>
            <w:t>单击此处输入文字。</w:t>
          </w:r>
        </w:p>
      </w:docPartBody>
    </w:docPart>
    <w:docPart>
      <w:docPartPr>
        <w:name w:val="{459a7980-b918-45fd-bafe-0750c49838ec}"/>
        <w:style w:val=""/>
        <w:category>
          <w:name w:val="常规"/>
          <w:gallery w:val="placeholder"/>
        </w:category>
        <w:types>
          <w:type w:val="bbPlcHdr"/>
        </w:types>
        <w:behaviors>
          <w:behavior w:val="content"/>
        </w:behaviors>
        <w:description w:val=""/>
        <w:guid w:val="{459a7980-b918-45fd-bafe-0750c49838ec}"/>
      </w:docPartPr>
      <w:docPartBody>
        <w:p w14:paraId="5B5057F0">
          <w:r>
            <w:rPr>
              <w:color w:val="808080"/>
            </w:rPr>
            <w:t>单击此处输入文字。</w:t>
          </w:r>
        </w:p>
      </w:docPartBody>
    </w:docPart>
    <w:docPart>
      <w:docPartPr>
        <w:name w:val="{d5e7e943-d510-49e0-8051-1b8d17fba262}"/>
        <w:style w:val=""/>
        <w:category>
          <w:name w:val="常规"/>
          <w:gallery w:val="placeholder"/>
        </w:category>
        <w:types>
          <w:type w:val="bbPlcHdr"/>
        </w:types>
        <w:behaviors>
          <w:behavior w:val="content"/>
        </w:behaviors>
        <w:description w:val=""/>
        <w:guid w:val="{d5e7e943-d510-49e0-8051-1b8d17fba262}"/>
      </w:docPartPr>
      <w:docPartBody>
        <w:p w14:paraId="37065614">
          <w:r>
            <w:rPr>
              <w:color w:val="808080"/>
            </w:rPr>
            <w:t>单击此处输入文字。</w:t>
          </w:r>
        </w:p>
      </w:docPartBody>
    </w:docPart>
    <w:docPart>
      <w:docPartPr>
        <w:name w:val="{6cecb5b9-468c-4124-945a-28dfb5c5154e}"/>
        <w:style w:val=""/>
        <w:category>
          <w:name w:val="常规"/>
          <w:gallery w:val="placeholder"/>
        </w:category>
        <w:types>
          <w:type w:val="bbPlcHdr"/>
        </w:types>
        <w:behaviors>
          <w:behavior w:val="content"/>
        </w:behaviors>
        <w:description w:val=""/>
        <w:guid w:val="{6cecb5b9-468c-4124-945a-28dfb5c5154e}"/>
      </w:docPartPr>
      <w:docPartBody>
        <w:p w14:paraId="16BEE16B">
          <w:r>
            <w:rPr>
              <w:color w:val="808080"/>
            </w:rPr>
            <w:t>单击此处输入文字。</w:t>
          </w:r>
        </w:p>
      </w:docPartBody>
    </w:docPart>
    <w:docPart>
      <w:docPartPr>
        <w:name w:val="{9091a57e-0cc9-4a1c-b3e8-cdfc64525c9e}"/>
        <w:style w:val=""/>
        <w:category>
          <w:name w:val="常规"/>
          <w:gallery w:val="placeholder"/>
        </w:category>
        <w:types>
          <w:type w:val="bbPlcHdr"/>
        </w:types>
        <w:behaviors>
          <w:behavior w:val="content"/>
        </w:behaviors>
        <w:description w:val=""/>
        <w:guid w:val="{9091a57e-0cc9-4a1c-b3e8-cdfc64525c9e}"/>
      </w:docPartPr>
      <w:docPartBody>
        <w:p w14:paraId="55BF19F0">
          <w:r>
            <w:rPr>
              <w:color w:val="808080"/>
            </w:rPr>
            <w:t>单击此处输入文字。</w:t>
          </w:r>
        </w:p>
      </w:docPartBody>
    </w:docPart>
    <w:docPart>
      <w:docPartPr>
        <w:name w:val="{e022ceec-d0e7-474e-877e-18ee87d9e1e5}"/>
        <w:style w:val=""/>
        <w:category>
          <w:name w:val="常规"/>
          <w:gallery w:val="placeholder"/>
        </w:category>
        <w:types>
          <w:type w:val="bbPlcHdr"/>
        </w:types>
        <w:behaviors>
          <w:behavior w:val="content"/>
        </w:behaviors>
        <w:description w:val=""/>
        <w:guid w:val="{e022ceec-d0e7-474e-877e-18ee87d9e1e5}"/>
      </w:docPartPr>
      <w:docPartBody>
        <w:p w14:paraId="06DB091B">
          <w:r>
            <w:rPr>
              <w:color w:val="808080"/>
            </w:rPr>
            <w:t>单击此处输入文字。</w:t>
          </w:r>
        </w:p>
      </w:docPartBody>
    </w:docPart>
    <w:docPart>
      <w:docPartPr>
        <w:name w:val="{a3de514a-fe3d-4223-8e46-3800b1d6a1df}"/>
        <w:style w:val=""/>
        <w:category>
          <w:name w:val="常规"/>
          <w:gallery w:val="placeholder"/>
        </w:category>
        <w:types>
          <w:type w:val="bbPlcHdr"/>
        </w:types>
        <w:behaviors>
          <w:behavior w:val="content"/>
        </w:behaviors>
        <w:description w:val=""/>
        <w:guid w:val="{a3de514a-fe3d-4223-8e46-3800b1d6a1df}"/>
      </w:docPartPr>
      <w:docPartBody>
        <w:p w14:paraId="01214C92">
          <w:r>
            <w:rPr>
              <w:color w:val="808080"/>
            </w:rPr>
            <w:t>单击此处输入文字。</w:t>
          </w:r>
        </w:p>
      </w:docPartBody>
    </w:docPart>
    <w:docPart>
      <w:docPartPr>
        <w:name w:val="{6ecd50b8-228f-4895-bf8e-1813004da10d}"/>
        <w:style w:val=""/>
        <w:category>
          <w:name w:val="常规"/>
          <w:gallery w:val="placeholder"/>
        </w:category>
        <w:types>
          <w:type w:val="bbPlcHdr"/>
        </w:types>
        <w:behaviors>
          <w:behavior w:val="content"/>
        </w:behaviors>
        <w:description w:val=""/>
        <w:guid w:val="{6ecd50b8-228f-4895-bf8e-1813004da10d}"/>
      </w:docPartPr>
      <w:docPartBody>
        <w:p w14:paraId="6DBE8688">
          <w:r>
            <w:rPr>
              <w:color w:val="808080"/>
            </w:rPr>
            <w:t>单击此处输入文字。</w:t>
          </w:r>
        </w:p>
      </w:docPartBody>
    </w:docPart>
    <w:docPart>
      <w:docPartPr>
        <w:name w:val="{5b238bba-dd3e-44da-a260-29cdb9356deb}"/>
        <w:style w:val=""/>
        <w:category>
          <w:name w:val="常规"/>
          <w:gallery w:val="placeholder"/>
        </w:category>
        <w:types>
          <w:type w:val="bbPlcHdr"/>
        </w:types>
        <w:behaviors>
          <w:behavior w:val="content"/>
        </w:behaviors>
        <w:description w:val=""/>
        <w:guid w:val="{5b238bba-dd3e-44da-a260-29cdb9356deb}"/>
      </w:docPartPr>
      <w:docPartBody>
        <w:p w14:paraId="42B9B232">
          <w:r>
            <w:rPr>
              <w:color w:val="808080"/>
            </w:rPr>
            <w:t>单击此处输入文字。</w:t>
          </w:r>
        </w:p>
      </w:docPartBody>
    </w:docPart>
    <w:docPart>
      <w:docPartPr>
        <w:name w:val="{b3b8123c-9c76-4912-996d-5329f9625ae8}"/>
        <w:style w:val=""/>
        <w:category>
          <w:name w:val="常规"/>
          <w:gallery w:val="placeholder"/>
        </w:category>
        <w:types>
          <w:type w:val="bbPlcHdr"/>
        </w:types>
        <w:behaviors>
          <w:behavior w:val="content"/>
        </w:behaviors>
        <w:description w:val=""/>
        <w:guid w:val="{b3b8123c-9c76-4912-996d-5329f9625ae8}"/>
      </w:docPartPr>
      <w:docPartBody>
        <w:p w14:paraId="1B6A476F">
          <w:r>
            <w:rPr>
              <w:color w:val="808080"/>
            </w:rPr>
            <w:t>单击此处输入文字。</w:t>
          </w:r>
        </w:p>
      </w:docPartBody>
    </w:docPart>
    <w:docPart>
      <w:docPartPr>
        <w:name w:val="{518216ea-2423-4ef5-8ebd-f96b8a1ce8e3}"/>
        <w:style w:val=""/>
        <w:category>
          <w:name w:val="常规"/>
          <w:gallery w:val="placeholder"/>
        </w:category>
        <w:types>
          <w:type w:val="bbPlcHdr"/>
        </w:types>
        <w:behaviors>
          <w:behavior w:val="content"/>
        </w:behaviors>
        <w:description w:val=""/>
        <w:guid w:val="{518216ea-2423-4ef5-8ebd-f96b8a1ce8e3}"/>
      </w:docPartPr>
      <w:docPartBody>
        <w:p w14:paraId="23533B14">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16</Pages>
  <Words>4886</Words>
  <Characters>5274</Characters>
  <Lines>61</Lines>
  <Paragraphs>17</Paragraphs>
  <TotalTime>1</TotalTime>
  <ScaleCrop>false</ScaleCrop>
  <LinksUpToDate>false</LinksUpToDate>
  <CharactersWithSpaces>5402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2020-08-09T09:49:00Z</dcterms:created>
  <dc:creator>曹颖</dc:creator>
  <cp:lastModifiedBy>Administrator</cp:lastModifiedBy>
  <cp:lastPrinted>2025-08-06T17:34:00Z</cp:lastPrinted>
  <dcterms:modified xsi:type="dcterms:W3CDTF">2025-10-28T07:24:37Z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04787F2533EB45DC91BCDE4AB213247F</vt:lpwstr>
  </property>
  <property fmtid="{D5CDD505-2E9C-101B-9397-08002B2CF9AE}" pid="4" name="KSOTemplateDocerSaveRecord">
    <vt:lpwstr>eyJoZGlkIjoiOWExYzFlMzljNTg2NDgwYjg3NGE4MDliY2Y5YzI1ZTkifQ==</vt:lpwstr>
  </property>
</Properties>
</file>