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eastAsia" w:ascii="Times New Roman" w:hAnsi="Times New Roman" w:eastAsia="方正小标宋简体" w:cs="Times New Roman"/>
          <w:color w:val="auto"/>
          <w:kern w:val="2"/>
          <w:sz w:val="72"/>
          <w:szCs w:val="72"/>
          <w:highlight w:val="none"/>
          <w:lang w:val="en-US" w:eastAsia="zh-CN" w:bidi="ar-SA"/>
        </w:rPr>
      </w:pPr>
      <w:bookmarkStart w:id="0" w:name="_Toc15396597"/>
      <w:bookmarkStart w:id="1" w:name="_Toc15378441"/>
      <w:bookmarkStart w:id="2" w:name="_Toc15396475"/>
      <w:bookmarkStart w:id="3" w:name="_Toc15377193"/>
      <w:bookmarkStart w:id="4" w:name="_Toc15377425"/>
      <w:bookmarkStart w:id="5" w:name="_Toc15306267"/>
      <w:bookmarkStart w:id="82" w:name="_GoBack"/>
      <w:bookmarkEnd w:id="82"/>
    </w:p>
    <w:p>
      <w:pPr>
        <w:pStyle w:val="8"/>
        <w:rPr>
          <w:rFonts w:hint="eastAsia" w:ascii="Times New Roman" w:hAnsi="Times New Roman" w:eastAsia="方正小标宋简体" w:cs="Times New Roman"/>
          <w:color w:val="auto"/>
          <w:kern w:val="2"/>
          <w:sz w:val="72"/>
          <w:szCs w:val="72"/>
          <w:highlight w:val="none"/>
          <w:lang w:val="en-US" w:eastAsia="zh-CN" w:bidi="ar-SA"/>
        </w:rPr>
      </w:pPr>
    </w:p>
    <w:p>
      <w:pPr>
        <w:pStyle w:val="8"/>
        <w:rPr>
          <w:rFonts w:hint="eastAsia" w:ascii="Times New Roman" w:hAnsi="Times New Roman" w:eastAsia="方正小标宋简体" w:cs="Times New Roman"/>
          <w:color w:val="auto"/>
          <w:kern w:val="2"/>
          <w:sz w:val="72"/>
          <w:szCs w:val="72"/>
          <w:highlight w:val="none"/>
          <w:lang w:val="en-US" w:eastAsia="zh-CN" w:bidi="ar-SA"/>
        </w:rPr>
      </w:pPr>
    </w:p>
    <w:p>
      <w:pPr>
        <w:pStyle w:val="8"/>
        <w:jc w:val="center"/>
        <w:rPr>
          <w:rFonts w:hint="eastAsia" w:ascii="Times New Roman" w:hAns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2024年度省级部门（单位）决算</w:t>
      </w:r>
    </w:p>
    <w:p>
      <w:pPr>
        <w:pStyle w:val="8"/>
        <w:jc w:val="center"/>
        <w:rPr>
          <w:rFonts w:hint="default" w:ascii="Times New Roman" w:hAns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公开文字说明范本</w:t>
      </w:r>
    </w:p>
    <w:p>
      <w:pPr>
        <w:spacing w:line="600" w:lineRule="exact"/>
        <w:jc w:val="center"/>
        <w:outlineLvl w:val="0"/>
        <w:rPr>
          <w:rFonts w:ascii="Times New Roman" w:hAnsi="Times New Roman" w:eastAsia="方正小标宋简体"/>
          <w:color w:val="auto"/>
          <w:sz w:val="72"/>
          <w:szCs w:val="72"/>
          <w:highlight w:val="none"/>
        </w:rPr>
      </w:pPr>
    </w:p>
    <w:p>
      <w:pPr>
        <w:pStyle w:val="19"/>
        <w:rPr>
          <w:rFonts w:ascii="Times New Roman" w:hAnsi="Times New Roman"/>
        </w:rPr>
        <w:sectPr>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p>
      <w:pPr>
        <w:rPr>
          <w:rFonts w:ascii="Times New Roman" w:hAnsi="Times New Roman"/>
        </w:rPr>
      </w:pPr>
    </w:p>
    <w:p>
      <w:pPr>
        <w:pStyle w:val="8"/>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8"/>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8"/>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8"/>
        <w:jc w:val="center"/>
        <w:rPr>
          <w:rFonts w:hint="eastAsia" w:ascii="Times New Roman" w:hAnsi="Times New Roman" w:eastAsia="方正小标宋简体" w:cs="Times New Roman"/>
          <w:color w:val="auto"/>
          <w:kern w:val="2"/>
          <w:sz w:val="44"/>
          <w:szCs w:val="44"/>
          <w:highlight w:val="none"/>
          <w:lang w:val="en-US" w:eastAsia="zh-CN" w:bidi="ar-SA"/>
        </w:rPr>
      </w:pPr>
    </w:p>
    <w:bookmarkEnd w:id="0"/>
    <w:bookmarkEnd w:id="1"/>
    <w:bookmarkEnd w:id="2"/>
    <w:bookmarkEnd w:id="3"/>
    <w:bookmarkEnd w:id="4"/>
    <w:p>
      <w:pPr>
        <w:pStyle w:val="8"/>
        <w:jc w:val="center"/>
        <w:rPr>
          <w:rFonts w:hint="eastAsia" w:ascii="Times New Roman" w:hAnsi="Times New Roman" w:eastAsia="方正小标宋简体" w:cs="Times New Roman"/>
          <w:color w:val="auto"/>
          <w:kern w:val="2"/>
          <w:sz w:val="44"/>
          <w:szCs w:val="44"/>
          <w:highlight w:val="none"/>
          <w:lang w:val="en-US" w:eastAsia="zh-CN" w:bidi="ar-SA"/>
        </w:rPr>
      </w:pPr>
      <w:bookmarkStart w:id="6" w:name="_Toc15396476"/>
      <w:bookmarkStart w:id="7" w:name="_Toc15377426"/>
      <w:bookmarkStart w:id="8" w:name="_Toc15378442"/>
      <w:bookmarkStart w:id="9" w:name="_Toc15396598"/>
      <w:bookmarkStart w:id="10" w:name="_Toc15377194"/>
      <w:r>
        <w:rPr>
          <w:rFonts w:hint="eastAsia" w:ascii="Times New Roman" w:hAnsi="Times New Roman" w:eastAsia="方正小标宋简体" w:cs="Times New Roman"/>
          <w:color w:val="auto"/>
          <w:kern w:val="2"/>
          <w:sz w:val="44"/>
          <w:szCs w:val="44"/>
          <w:highlight w:val="none"/>
          <w:lang w:val="en-US" w:eastAsia="zh-CN" w:bidi="ar-SA"/>
        </w:rPr>
        <w:t>2024年度四川省</w:t>
      </w:r>
      <w:bookmarkEnd w:id="5"/>
      <w:bookmarkStart w:id="11" w:name="_Toc15306268"/>
      <w:r>
        <w:rPr>
          <w:rFonts w:hint="eastAsia" w:ascii="Times New Roman" w:eastAsia="方正小标宋简体" w:cs="Times New Roman"/>
          <w:color w:val="auto"/>
          <w:kern w:val="2"/>
          <w:sz w:val="44"/>
          <w:szCs w:val="44"/>
          <w:highlight w:val="none"/>
          <w:lang w:val="en-US" w:eastAsia="zh-CN" w:bidi="ar-SA"/>
        </w:rPr>
        <w:t>XX（</w:t>
      </w:r>
      <w:r>
        <w:rPr>
          <w:rFonts w:hint="default" w:ascii="Times New Roman" w:eastAsia="方正小标宋简体" w:cs="Times New Roman"/>
          <w:color w:val="auto"/>
          <w:kern w:val="2"/>
          <w:sz w:val="44"/>
          <w:szCs w:val="44"/>
          <w:highlight w:val="none"/>
          <w:lang w:val="en" w:eastAsia="zh-CN" w:bidi="ar-SA"/>
        </w:rPr>
        <w:t>封面“部门名称”</w:t>
      </w:r>
      <w:r>
        <w:rPr>
          <w:rFonts w:hint="eastAsia" w:ascii="Times New Roman" w:eastAsia="方正小标宋简体" w:cs="Times New Roman"/>
          <w:color w:val="auto"/>
          <w:kern w:val="2"/>
          <w:sz w:val="44"/>
          <w:szCs w:val="44"/>
          <w:highlight w:val="none"/>
          <w:lang w:val="en-US" w:eastAsia="zh-CN" w:bidi="ar-SA"/>
        </w:rPr>
        <w:t>，不加部门二字）</w:t>
      </w:r>
      <w:r>
        <w:rPr>
          <w:rFonts w:hint="eastAsia" w:ascii="Times New Roman" w:hAnsi="Times New Roman" w:eastAsia="方正小标宋简体" w:cs="Times New Roman"/>
          <w:color w:val="auto"/>
          <w:kern w:val="2"/>
          <w:sz w:val="44"/>
          <w:szCs w:val="44"/>
          <w:highlight w:val="none"/>
          <w:lang w:val="en-US" w:eastAsia="zh-CN" w:bidi="ar-SA"/>
        </w:rPr>
        <w:t>部门决算</w:t>
      </w:r>
      <w:bookmarkEnd w:id="6"/>
      <w:bookmarkEnd w:id="7"/>
      <w:bookmarkEnd w:id="8"/>
      <w:bookmarkEnd w:id="9"/>
      <w:bookmarkEnd w:id="10"/>
      <w:bookmarkEnd w:id="11"/>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（注：</w:t>
      </w:r>
      <w:r>
        <w:rPr>
          <w:rFonts w:hint="eastAsia" w:eastAsia="仿宋_GB2312" w:cs="仿宋_GB2312"/>
          <w:color w:val="auto"/>
          <w:sz w:val="32"/>
          <w:szCs w:val="32"/>
          <w:highlight w:val="none"/>
          <w:lang w:val="en-US" w:eastAsia="zh-CN"/>
        </w:rPr>
        <w:t>以下为部门公开范本。单位公开内容应参照部门公开内容和报表格式，并与部门公开内容做好衔接）</w:t>
      </w:r>
    </w:p>
    <w:p>
      <w:pPr>
        <w:widowControl/>
        <w:jc w:val="center"/>
        <w:rPr>
          <w:rFonts w:ascii="Times New Roman" w:hAnsi="Times New Roman" w:eastAsia="黑体"/>
          <w:color w:val="auto"/>
          <w:sz w:val="48"/>
          <w:szCs w:val="48"/>
          <w:highlight w:val="none"/>
        </w:rPr>
      </w:pPr>
      <w:r>
        <w:rPr>
          <w:rFonts w:ascii="Times New Roman" w:hAnsi="Times New Roman" w:eastAsia="方正小标宋简体"/>
          <w:color w:val="auto"/>
          <w:sz w:val="36"/>
          <w:szCs w:val="36"/>
          <w:highlight w:val="none"/>
        </w:rPr>
        <w:br w:type="page"/>
      </w:r>
      <w:r>
        <w:rPr>
          <w:rFonts w:hint="eastAsia" w:ascii="Times New Roman" w:hAnsi="Times New Roman" w:eastAsia="黑体"/>
          <w:color w:val="auto"/>
          <w:sz w:val="48"/>
          <w:szCs w:val="48"/>
          <w:highlight w:val="none"/>
        </w:rPr>
        <w:t>目录</w:t>
      </w:r>
    </w:p>
    <w:p>
      <w:pPr>
        <w:widowControl/>
        <w:jc w:val="center"/>
        <w:rPr>
          <w:rFonts w:ascii="Times New Roman" w:hAnsi="Times New Roman" w:eastAsia="黑体" w:cstheme="minorBidi"/>
          <w:color w:val="auto"/>
          <w:sz w:val="28"/>
          <w:szCs w:val="28"/>
          <w:highlight w:val="none"/>
        </w:rPr>
      </w:pPr>
    </w:p>
    <w:p>
      <w:pPr>
        <w:pStyle w:val="1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24</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rPr>
        <w:t>日</w:t>
      </w:r>
    </w:p>
    <w:p>
      <w:pPr>
        <w:rPr>
          <w:rFonts w:ascii="Times New Roman" w:hAnsi="Times New Roman"/>
          <w:color w:val="auto"/>
          <w:highlight w:val="none"/>
        </w:rPr>
      </w:pPr>
    </w:p>
    <w:p>
      <w:pPr>
        <w:pStyle w:val="13"/>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第一部分 部门概况</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w:t>
      </w:r>
      <w:r>
        <w:rPr>
          <w:rFonts w:hint="eastAsia" w:ascii="Times New Roman" w:hAnsi="Times New Roman" w:eastAsia="仿宋_GB2312" w:cs="仿宋_GB2312"/>
          <w:color w:val="auto"/>
          <w:sz w:val="32"/>
          <w:szCs w:val="32"/>
          <w:highlight w:val="none"/>
          <w:lang w:eastAsia="zh-CN"/>
        </w:rPr>
        <w:t>部门职责</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二、机构设置</w:t>
      </w:r>
    </w:p>
    <w:p>
      <w:pPr>
        <w:pStyle w:val="13"/>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第二部分</w:t>
      </w:r>
      <w:r>
        <w:rPr>
          <w:rFonts w:hint="eastAsia" w:ascii="Times New Roman" w:hAnsi="Times New Roman" w:eastAsia="黑体" w:cs="黑体"/>
          <w:color w:val="auto"/>
          <w:sz w:val="32"/>
          <w:szCs w:val="32"/>
          <w:highlight w:val="none"/>
          <w:lang w:val="en-US" w:eastAsia="zh-CN"/>
        </w:rPr>
        <w:t xml:space="preserve"> 2024年度</w:t>
      </w:r>
      <w:r>
        <w:rPr>
          <w:rFonts w:hint="eastAsia" w:ascii="Times New Roman" w:hAnsi="Times New Roman" w:eastAsia="黑体" w:cs="黑体"/>
          <w:color w:val="auto"/>
          <w:sz w:val="32"/>
          <w:szCs w:val="32"/>
          <w:highlight w:val="none"/>
        </w:rPr>
        <w:t>部门决算情况说明</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一、收入支出决算总体情况说明</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二、收入决算情况说明</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三、支出决算情况说明</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四、财政拨款收入支出决算总体情况说明</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五、一般公共预算财政拨款支出决算情况说明</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六、一般公共预算财政拨款基本支出决算情况说明</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七、财政拨款</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三公”经费支出决算情况说明</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八、政府性基金预算支出决算情况说明</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九、</w:t>
      </w:r>
      <w:r>
        <w:rPr>
          <w:rFonts w:hint="eastAsia" w:ascii="Times New Roman" w:hAnsi="Times New Roman" w:eastAsia="仿宋_GB2312" w:cs="仿宋_GB2312"/>
          <w:color w:val="auto"/>
          <w:sz w:val="32"/>
          <w:szCs w:val="32"/>
          <w:highlight w:val="none"/>
          <w:lang w:eastAsia="zh-CN"/>
        </w:rPr>
        <w:t>国</w:t>
      </w:r>
      <w:r>
        <w:rPr>
          <w:rFonts w:hint="eastAsia" w:ascii="Times New Roman" w:hAnsi="Times New Roman" w:eastAsia="仿宋_GB2312" w:cs="仿宋_GB2312"/>
          <w:color w:val="auto"/>
          <w:sz w:val="32"/>
          <w:szCs w:val="32"/>
          <w:highlight w:val="none"/>
        </w:rPr>
        <w:t>有资本经营预算支出决算情况说明</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eastAsia="zh-CN"/>
        </w:rPr>
        <w:t>十</w:t>
      </w:r>
      <w:r>
        <w:rPr>
          <w:rFonts w:hint="eastAsia" w:ascii="Times New Roman" w:hAnsi="Times New Roman" w:eastAsia="仿宋_GB2312" w:cs="仿宋_GB2312"/>
          <w:color w:val="auto"/>
          <w:sz w:val="32"/>
          <w:szCs w:val="32"/>
          <w:highlight w:val="none"/>
        </w:rPr>
        <w:t>、其他重要事项的情况说明</w:t>
      </w:r>
    </w:p>
    <w:p>
      <w:pPr>
        <w:pStyle w:val="13"/>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第三部分 名词解释</w:t>
      </w:r>
    </w:p>
    <w:p>
      <w:pPr>
        <w:pStyle w:val="13"/>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第四部分 附件</w:t>
      </w:r>
    </w:p>
    <w:p>
      <w:pPr>
        <w:pStyle w:val="13"/>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第五部分 附表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二、收入决算表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三、支出决算表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四、财政拨款收入支出决算总表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五、财政拨款支出决算明细表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七、一般公共预算财政拨款支出决算明细表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八、一般公共预算财政拨款基本支出决算</w:t>
      </w:r>
      <w:r>
        <w:rPr>
          <w:rFonts w:hint="eastAsia" w:ascii="Times New Roman" w:hAnsi="Times New Roman" w:eastAsia="仿宋_GB2312" w:cs="仿宋_GB2312"/>
          <w:color w:val="auto"/>
          <w:sz w:val="32"/>
          <w:szCs w:val="32"/>
          <w:highlight w:val="none"/>
          <w:lang w:eastAsia="zh-CN"/>
        </w:rPr>
        <w:t>明细</w:t>
      </w:r>
      <w:r>
        <w:rPr>
          <w:rFonts w:hint="eastAsia" w:ascii="Times New Roman" w:hAnsi="Times New Roman" w:eastAsia="仿宋_GB2312" w:cs="仿宋_GB2312"/>
          <w:color w:val="auto"/>
          <w:sz w:val="32"/>
          <w:szCs w:val="32"/>
          <w:highlight w:val="none"/>
        </w:rPr>
        <w:t>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九、一般公共预算财政拨款项目支出决算表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十、政府性基金预算财政拨款收入支出决算表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十一、国有资本经营预算财政拨款收入支出决算表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十二、</w:t>
      </w:r>
      <w:r>
        <w:rPr>
          <w:rFonts w:hint="eastAsia" w:ascii="Times New Roman" w:hAnsi="Times New Roman" w:eastAsia="仿宋_GB2312" w:cs="仿宋_GB2312"/>
          <w:color w:val="auto"/>
          <w:sz w:val="32"/>
          <w:szCs w:val="32"/>
          <w:highlight w:val="none"/>
          <w:lang w:val="en-US" w:eastAsia="zh-CN"/>
        </w:rPr>
        <w:t>国有资本经营预算财政拨款支出决算表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十三、财政拨款“三公”经费支出决算表</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3" w:firstLineChars="200"/>
        <w:jc w:val="left"/>
        <w:textAlignment w:val="auto"/>
        <w:rPr>
          <w:rFonts w:hint="eastAsia" w:ascii="Times New Roman" w:hAnsi="Times New Roman" w:eastAsia="仿宋_GB2312" w:cs="仿宋_GB2312"/>
          <w:b/>
          <w:bCs/>
          <w:color w:val="auto"/>
          <w:sz w:val="32"/>
          <w:szCs w:val="32"/>
          <w:highlight w:val="none"/>
          <w:lang w:eastAsia="zh-CN"/>
        </w:rPr>
      </w:pPr>
      <w:r>
        <w:rPr>
          <w:rFonts w:hint="eastAsia" w:ascii="Times New Roman" w:hAnsi="Times New Roman" w:eastAsia="仿宋_GB2312" w:cs="仿宋_GB2312"/>
          <w:b/>
          <w:bCs/>
          <w:color w:val="auto"/>
          <w:sz w:val="32"/>
          <w:szCs w:val="32"/>
          <w:highlight w:val="none"/>
          <w:lang w:eastAsia="zh-CN"/>
        </w:rPr>
        <w:t>（</w:t>
      </w:r>
      <w:r>
        <w:rPr>
          <w:rFonts w:hint="eastAsia" w:ascii="Times New Roman" w:hAnsi="Times New Roman" w:eastAsia="仿宋_GB2312" w:cs="仿宋_GB2312"/>
          <w:b/>
          <w:bCs/>
          <w:color w:val="auto"/>
          <w:sz w:val="32"/>
          <w:szCs w:val="32"/>
          <w:highlight w:val="none"/>
        </w:rPr>
        <w:t>注：请部门根据实际注明页码</w:t>
      </w:r>
      <w:r>
        <w:rPr>
          <w:rFonts w:hint="eastAsia" w:ascii="Times New Roman" w:hAnsi="Times New Roman" w:eastAsia="仿宋_GB2312" w:cs="仿宋_GB2312"/>
          <w:b/>
          <w:bCs/>
          <w:color w:val="auto"/>
          <w:sz w:val="32"/>
          <w:szCs w:val="32"/>
          <w:highlight w:val="none"/>
          <w:lang w:eastAsia="zh-CN"/>
        </w:rPr>
        <w:t>）</w:t>
      </w:r>
    </w:p>
    <w:p>
      <w:pPr>
        <w:keepNext w:val="0"/>
        <w:keepLines w:val="0"/>
        <w:pageBreakBefore w:val="0"/>
        <w:widowControl/>
        <w:kinsoku/>
        <w:wordWrap/>
        <w:overflowPunct/>
        <w:topLinePunct w:val="0"/>
        <w:autoSpaceDE/>
        <w:autoSpaceDN/>
        <w:bidi w:val="0"/>
        <w:spacing w:line="560" w:lineRule="exact"/>
        <w:jc w:val="left"/>
        <w:textAlignment w:val="auto"/>
        <w:rPr>
          <w:rFonts w:hint="eastAsia" w:ascii="Times New Roman" w:hAnsi="Times New Roman" w:eastAsia="仿宋_GB2312" w:cs="仿宋_GB2312"/>
          <w:bCs/>
          <w:color w:val="auto"/>
          <w:kern w:val="44"/>
          <w:sz w:val="32"/>
          <w:szCs w:val="32"/>
          <w:highlight w:val="none"/>
        </w:rPr>
      </w:pPr>
      <w:bookmarkStart w:id="12" w:name="_Toc15377196"/>
      <w:bookmarkStart w:id="13" w:name="_Toc15396599"/>
      <w:r>
        <w:rPr>
          <w:rFonts w:hint="eastAsia" w:ascii="Times New Roman" w:hAnsi="Times New Roman" w:eastAsia="仿宋_GB2312" w:cs="仿宋_GB2312"/>
          <w:b/>
          <w:color w:val="auto"/>
          <w:sz w:val="32"/>
          <w:szCs w:val="32"/>
          <w:highlight w:val="none"/>
        </w:rPr>
        <w:br w:type="page"/>
      </w:r>
    </w:p>
    <w:p>
      <w:pPr>
        <w:pStyle w:val="5"/>
        <w:jc w:val="center"/>
        <w:rPr>
          <w:rStyle w:val="28"/>
          <w:rFonts w:hint="eastAsia" w:ascii="Times New Roman" w:hAnsi="Times New Roman" w:eastAsia="方正小标宋简体" w:cs="方正小标宋简体"/>
          <w:b/>
          <w:bCs w:val="0"/>
          <w:color w:val="auto"/>
          <w:highlight w:val="none"/>
        </w:rPr>
      </w:pPr>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28"/>
          <w:rFonts w:hint="eastAsia" w:ascii="Times New Roman" w:hAnsi="Times New Roman" w:eastAsia="方正小标宋简体" w:cs="方正小标宋简体"/>
          <w:b w:val="0"/>
          <w:bCs w:val="0"/>
          <w:color w:val="auto"/>
          <w:highlight w:val="none"/>
        </w:rPr>
        <w:t>部门概况</w:t>
      </w:r>
      <w:bookmarkEnd w:id="12"/>
      <w:bookmarkEnd w:id="13"/>
    </w:p>
    <w:p>
      <w:pPr>
        <w:widowControl/>
        <w:jc w:val="left"/>
        <w:rPr>
          <w:rFonts w:ascii="Times New Roman" w:hAnsi="Times New Roman" w:eastAsia="黑体"/>
          <w:color w:val="auto"/>
          <w:sz w:val="32"/>
          <w:szCs w:val="32"/>
          <w:highlight w:val="none"/>
        </w:rPr>
      </w:pPr>
    </w:p>
    <w:p>
      <w:pPr>
        <w:pStyle w:val="6"/>
        <w:rPr>
          <w:rStyle w:val="29"/>
          <w:rFonts w:hint="eastAsia" w:ascii="Times New Roman" w:hAnsi="Times New Roman" w:eastAsia="黑体"/>
          <w:b w:val="0"/>
          <w:bCs w:val="0"/>
          <w:color w:val="auto"/>
          <w:highlight w:val="none"/>
          <w:lang w:eastAsia="zh-CN"/>
        </w:rPr>
      </w:pPr>
      <w:bookmarkStart w:id="14" w:name="_Toc15377197"/>
      <w:bookmarkStart w:id="15" w:name="_Toc15396600"/>
      <w:r>
        <w:rPr>
          <w:rFonts w:hint="eastAsia" w:ascii="Times New Roman" w:hAnsi="Times New Roman" w:eastAsia="黑体"/>
          <w:b w:val="0"/>
          <w:color w:val="auto"/>
          <w:highlight w:val="none"/>
        </w:rPr>
        <w:t>一、</w:t>
      </w:r>
      <w:bookmarkEnd w:id="14"/>
      <w:bookmarkEnd w:id="15"/>
      <w:r>
        <w:rPr>
          <w:rFonts w:hint="eastAsia" w:ascii="Times New Roman" w:hAnsi="Times New Roman" w:eastAsia="黑体"/>
          <w:b w:val="0"/>
          <w:color w:val="auto"/>
          <w:highlight w:val="none"/>
          <w:lang w:eastAsia="zh-CN"/>
        </w:rPr>
        <w:t>部门职责</w:t>
      </w:r>
    </w:p>
    <w:p>
      <w:pPr>
        <w:pStyle w:val="6"/>
        <w:rPr>
          <w:rStyle w:val="29"/>
          <w:rFonts w:ascii="Times New Roman" w:hAnsi="Times New Roman"/>
          <w:b w:val="0"/>
          <w:bCs w:val="0"/>
          <w:color w:val="auto"/>
          <w:highlight w:val="none"/>
        </w:rPr>
      </w:pPr>
      <w:bookmarkStart w:id="16" w:name="_Toc15377200"/>
      <w:bookmarkStart w:id="17" w:name="_Toc15396601"/>
      <w:r>
        <w:rPr>
          <w:rFonts w:hint="eastAsia" w:ascii="Times New Roman" w:hAnsi="Times New Roman" w:eastAsia="黑体"/>
          <w:b w:val="0"/>
          <w:color w:val="auto"/>
          <w:highlight w:val="none"/>
        </w:rPr>
        <w:t>二、机</w:t>
      </w:r>
      <w:r>
        <w:rPr>
          <w:rStyle w:val="29"/>
          <w:rFonts w:hint="eastAsia" w:ascii="Times New Roman" w:hAnsi="Times New Roman" w:eastAsia="黑体"/>
          <w:b w:val="0"/>
          <w:bCs w:val="0"/>
          <w:color w:val="auto"/>
          <w:highlight w:val="none"/>
        </w:rPr>
        <w:t>构设置</w:t>
      </w:r>
      <w:bookmarkEnd w:id="16"/>
      <w:bookmarkEnd w:id="17"/>
    </w:p>
    <w:p>
      <w:pPr>
        <w:ind w:firstLine="800" w:firstLineChars="250"/>
        <w:rPr>
          <w:rFonts w:hint="eastAsia" w:ascii="Times New Roman" w:hAnsi="Times New Roman"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五通桥区住房和城乡建设局市政管理所</w:t>
      </w:r>
      <w:r>
        <w:rPr>
          <w:rFonts w:hint="eastAsia" w:ascii="Times New Roman" w:hAnsi="Times New Roman" w:eastAsia="仿宋_GB2312" w:cs="仿宋_GB2312"/>
          <w:color w:val="auto"/>
          <w:sz w:val="32"/>
          <w:szCs w:val="32"/>
          <w:highlight w:val="none"/>
        </w:rPr>
        <w:t>下属二级</w:t>
      </w:r>
      <w:r>
        <w:rPr>
          <w:rFonts w:hint="eastAsia" w:ascii="Times New Roman" w:hAnsi="Times New Roman" w:eastAsia="仿宋_GB2312" w:cs="仿宋_GB2312"/>
          <w:color w:val="auto"/>
          <w:sz w:val="32"/>
          <w:szCs w:val="32"/>
          <w:highlight w:val="none"/>
          <w:lang w:eastAsia="zh-CN"/>
        </w:rPr>
        <w:t>预算</w:t>
      </w:r>
      <w:r>
        <w:rPr>
          <w:rFonts w:hint="eastAsia" w:ascii="Times New Roman" w:hAnsi="Times New Roman" w:eastAsia="仿宋_GB2312" w:cs="仿宋_GB2312"/>
          <w:color w:val="auto"/>
          <w:sz w:val="32"/>
          <w:szCs w:val="32"/>
          <w:highlight w:val="none"/>
        </w:rPr>
        <w:t>单位**个，其中行政单位**个，参照公务员法管理的事业单位</w:t>
      </w:r>
      <w:r>
        <w:rPr>
          <w:rFonts w:hint="eastAsia" w:ascii="Times New Roman" w:hAnsi="Times New Roman" w:eastAsia="仿宋_GB2312" w:cs="仿宋_GB2312"/>
          <w:bCs/>
          <w:color w:val="auto"/>
          <w:sz w:val="32"/>
          <w:szCs w:val="32"/>
          <w:highlight w:val="none"/>
        </w:rPr>
        <w:t>**</w:t>
      </w:r>
      <w:r>
        <w:rPr>
          <w:rFonts w:hint="eastAsia" w:ascii="Times New Roman" w:hAnsi="Times New Roman" w:eastAsia="仿宋_GB2312" w:cs="仿宋_GB2312"/>
          <w:color w:val="auto"/>
          <w:sz w:val="32"/>
          <w:szCs w:val="32"/>
          <w:highlight w:val="none"/>
        </w:rPr>
        <w:t>个，其他事业单位**个。</w:t>
      </w:r>
    </w:p>
    <w:p>
      <w:pPr>
        <w:pStyle w:val="8"/>
        <w:adjustRightInd w:val="0"/>
        <w:snapToGrid w:val="0"/>
        <w:spacing w:before="93" w:line="600" w:lineRule="exact"/>
        <w:ind w:firstLine="672" w:firstLineChars="210"/>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纳入</w:t>
      </w:r>
      <w:r>
        <w:rPr>
          <w:sz w:val="32"/>
          <w:szCs w:val="32"/>
        </w:rPr>
        <w:t>五通桥区住房和城乡建设局市政管理所</w:t>
      </w:r>
      <w:r>
        <w:rPr>
          <w:rFonts w:hint="eastAsia" w:ascii="Times New Roman" w:hAnsi="Times New Roman" w:eastAsia="仿宋_GB2312" w:cs="仿宋_GB2312"/>
          <w:color w:val="auto"/>
          <w:sz w:val="32"/>
          <w:szCs w:val="32"/>
          <w:highlight w:val="none"/>
          <w:lang w:eastAsia="zh-CN"/>
        </w:rPr>
        <w:t>2024年度</w:t>
      </w:r>
      <w:r>
        <w:rPr>
          <w:rFonts w:hint="eastAsia" w:ascii="Times New Roman" w:hAnsi="Times New Roman" w:eastAsia="仿宋_GB2312" w:cs="仿宋_GB2312"/>
          <w:color w:val="auto"/>
          <w:sz w:val="32"/>
          <w:szCs w:val="32"/>
          <w:highlight w:val="none"/>
        </w:rPr>
        <w:t>部门决算编制范围的二级预算单位包括：</w:t>
      </w:r>
    </w:p>
    <w:p>
      <w:pPr>
        <w:pStyle w:val="8"/>
        <w:numPr>
          <w:ilvl w:val="0"/>
          <w:numId w:val="1"/>
        </w:numPr>
        <w:adjustRightInd w:val="0"/>
        <w:snapToGrid w:val="0"/>
        <w:spacing w:before="93" w:line="600" w:lineRule="exact"/>
        <w:outlineLvl w:val="2"/>
        <w:rPr>
          <w:rFonts w:hint="eastAsia" w:ascii="Times New Roman" w:hAnsi="Times New Roman" w:eastAsia="仿宋_GB2312" w:cs="仿宋_GB2312"/>
          <w:color w:val="auto"/>
          <w:sz w:val="32"/>
          <w:szCs w:val="32"/>
          <w:highlight w:val="none"/>
        </w:rPr>
      </w:pPr>
      <w:bookmarkStart w:id="18" w:name="_Toc15377201"/>
      <w:bookmarkStart w:id="19" w:name="_Toc15306275"/>
      <w:bookmarkStart w:id="20" w:name="_Toc15377432"/>
      <w:bookmarkStart w:id="21" w:name="_Toc15378448"/>
      <w:r>
        <w:rPr>
          <w:rFonts w:hint="eastAsia" w:ascii="Times New Roman" w:hAnsi="Times New Roman" w:eastAsia="仿宋_GB2312" w:cs="仿宋_GB2312"/>
          <w:color w:val="auto"/>
          <w:sz w:val="32"/>
          <w:szCs w:val="32"/>
          <w:highlight w:val="none"/>
        </w:rPr>
        <w:t>***</w:t>
      </w:r>
      <w:bookmarkEnd w:id="18"/>
      <w:bookmarkEnd w:id="19"/>
      <w:bookmarkEnd w:id="20"/>
      <w:bookmarkEnd w:id="21"/>
    </w:p>
    <w:p>
      <w:pPr>
        <w:pStyle w:val="8"/>
        <w:numPr>
          <w:ilvl w:val="0"/>
          <w:numId w:val="1"/>
        </w:numPr>
        <w:adjustRightInd w:val="0"/>
        <w:snapToGrid w:val="0"/>
        <w:spacing w:before="93" w:line="600" w:lineRule="exact"/>
        <w:outlineLvl w:val="2"/>
        <w:rPr>
          <w:rFonts w:hint="eastAsia" w:ascii="Times New Roman" w:hAnsi="Times New Roman" w:eastAsia="仿宋_GB2312" w:cs="仿宋_GB2312"/>
          <w:color w:val="auto"/>
          <w:sz w:val="32"/>
          <w:szCs w:val="32"/>
          <w:highlight w:val="none"/>
        </w:rPr>
      </w:pPr>
      <w:bookmarkStart w:id="22" w:name="_Toc15306276"/>
      <w:bookmarkStart w:id="23" w:name="_Toc15377433"/>
      <w:bookmarkStart w:id="24" w:name="_Toc15377202"/>
      <w:bookmarkStart w:id="25" w:name="_Toc15378449"/>
      <w:r>
        <w:rPr>
          <w:rFonts w:hint="eastAsia" w:ascii="Times New Roman" w:hAnsi="Times New Roman" w:eastAsia="仿宋_GB2312" w:cs="仿宋_GB2312"/>
          <w:color w:val="auto"/>
          <w:sz w:val="32"/>
          <w:szCs w:val="32"/>
          <w:highlight w:val="none"/>
        </w:rPr>
        <w:t>***</w:t>
      </w:r>
      <w:bookmarkEnd w:id="22"/>
      <w:bookmarkEnd w:id="23"/>
      <w:bookmarkEnd w:id="24"/>
      <w:bookmarkEnd w:id="25"/>
    </w:p>
    <w:p>
      <w:pPr>
        <w:pStyle w:val="8"/>
        <w:numPr>
          <w:ilvl w:val="0"/>
          <w:numId w:val="1"/>
        </w:numPr>
        <w:adjustRightInd w:val="0"/>
        <w:snapToGrid w:val="0"/>
        <w:spacing w:before="93" w:line="600" w:lineRule="exact"/>
        <w:outlineLvl w:val="2"/>
        <w:rPr>
          <w:rFonts w:hint="eastAsia" w:ascii="Times New Roman" w:hAnsi="Times New Roman" w:eastAsia="仿宋_GB2312" w:cs="仿宋_GB2312"/>
          <w:color w:val="auto"/>
          <w:sz w:val="32"/>
          <w:szCs w:val="32"/>
          <w:highlight w:val="none"/>
        </w:rPr>
      </w:pPr>
      <w:bookmarkStart w:id="26" w:name="_Toc15377434"/>
      <w:bookmarkStart w:id="27" w:name="_Toc15306277"/>
      <w:bookmarkStart w:id="28" w:name="_Toc15377203"/>
      <w:bookmarkStart w:id="29" w:name="_Toc15378450"/>
      <w:r>
        <w:rPr>
          <w:rFonts w:hint="eastAsia" w:ascii="Times New Roman" w:hAnsi="Times New Roman" w:eastAsia="仿宋_GB2312" w:cs="仿宋_GB2312"/>
          <w:color w:val="auto"/>
          <w:sz w:val="32"/>
          <w:szCs w:val="32"/>
          <w:highlight w:val="none"/>
        </w:rPr>
        <w:t>***</w:t>
      </w:r>
      <w:bookmarkEnd w:id="26"/>
      <w:bookmarkEnd w:id="27"/>
      <w:bookmarkEnd w:id="28"/>
      <w:bookmarkEnd w:id="29"/>
    </w:p>
    <w:p>
      <w:pPr>
        <w:pStyle w:val="8"/>
        <w:adjustRightInd w:val="0"/>
        <w:snapToGrid w:val="0"/>
        <w:spacing w:before="93" w:line="600" w:lineRule="exact"/>
        <w:ind w:firstLine="1120" w:firstLineChars="350"/>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w:t>
      </w:r>
    </w:p>
    <w:p>
      <w:pPr>
        <w:widowControl/>
        <w:jc w:val="left"/>
        <w:rPr>
          <w:rFonts w:ascii="Times New Roman" w:hAnsi="Times New Roman" w:eastAsia="仿宋"/>
          <w:color w:val="auto"/>
          <w:kern w:val="0"/>
          <w:sz w:val="32"/>
          <w:szCs w:val="32"/>
          <w:highlight w:val="none"/>
        </w:rPr>
      </w:pPr>
      <w:r>
        <w:rPr>
          <w:rFonts w:ascii="Times New Roman" w:hAnsi="Times New Roman" w:eastAsia="仿宋"/>
          <w:color w:val="auto"/>
          <w:sz w:val="32"/>
          <w:szCs w:val="32"/>
          <w:highlight w:val="none"/>
        </w:rPr>
        <w:br w:type="page"/>
      </w:r>
    </w:p>
    <w:p>
      <w:pPr>
        <w:pStyle w:val="5"/>
        <w:jc w:val="center"/>
        <w:rPr>
          <w:rFonts w:hint="eastAsia" w:ascii="Times New Roman" w:hAnsi="Times New Roman" w:eastAsia="方正小标宋简体" w:cs="方正小标宋简体"/>
          <w:b w:val="0"/>
          <w:color w:val="auto"/>
          <w:highlight w:val="none"/>
        </w:rPr>
      </w:pPr>
      <w:bookmarkStart w:id="30" w:name="_Toc15377204"/>
      <w:bookmarkStart w:id="31" w:name="_Toc15396602"/>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ascii="Times New Roman" w:hAnsi="Times New Roman" w:eastAsia="方正小标宋简体" w:cs="方正小标宋简体"/>
          <w:b w:val="0"/>
          <w:color w:val="auto"/>
          <w:highlight w:val="none"/>
        </w:rPr>
        <w:t>部门决算情况说明</w:t>
      </w:r>
      <w:bookmarkEnd w:id="30"/>
      <w:bookmarkEnd w:id="31"/>
    </w:p>
    <w:p>
      <w:pPr>
        <w:rPr>
          <w:rFonts w:ascii="Times New Roman" w:hAnsi="Times New Roman"/>
          <w:color w:val="auto"/>
          <w:highlight w:val="none"/>
        </w:rPr>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9"/>
          <w:rFonts w:hint="eastAsia" w:ascii="Times New Roman" w:hAnsi="Times New Roman" w:eastAsia="黑体"/>
          <w:b w:val="0"/>
          <w:color w:val="auto"/>
          <w:highlight w:val="none"/>
        </w:rPr>
      </w:pPr>
      <w:bookmarkStart w:id="32" w:name="_Toc15377205"/>
      <w:bookmarkStart w:id="33" w:name="_Toc15396603"/>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29"/>
          <w:rFonts w:hint="eastAsia" w:ascii="Times New Roman" w:hAnsi="Times New Roman" w:eastAsia="黑体"/>
          <w:b w:val="0"/>
          <w:color w:val="auto"/>
          <w:highlight w:val="none"/>
        </w:rPr>
        <w:t>入支出决算总体情况说明</w:t>
      </w:r>
      <w:bookmarkEnd w:id="32"/>
      <w:bookmarkEnd w:id="33"/>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2024年度收入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w:t>
      </w:r>
      <w:r>
        <w:rPr>
          <w:rFonts w:hint="eastAsia" w:ascii="Times New Roman" w:hAnsi="Times New Roman" w:eastAsia="仿宋_GB2312" w:cs="仿宋_GB2312"/>
          <w:color w:val="auto"/>
          <w:sz w:val="32"/>
          <w:szCs w:val="32"/>
          <w:highlight w:val="none"/>
          <w:lang w:eastAsia="zh-CN"/>
        </w:rPr>
        <w:t>均为</w:t>
      </w:r>
      <w:r>
        <w:rPr>
          <w:rFonts w:hint="eastAsia" w:ascii="仿宋_GB2312" w:hAnsi="仿宋_GB2312" w:eastAsia="仿宋_GB2312" w:cs="仿宋_GB2312"/>
          <w:sz w:val="32"/>
          <w:szCs w:val="32"/>
        </w:rPr>
        <w:t>506.22</w:t>
      </w:r>
      <w:r>
        <w:rPr>
          <w:rFonts w:hint="eastAsia" w:ascii="Times New Roman" w:hAnsi="Times New Roman" w:eastAsia="仿宋_GB2312" w:cs="仿宋_GB2312"/>
          <w:color w:val="auto"/>
          <w:sz w:val="32"/>
          <w:szCs w:val="32"/>
          <w:highlight w:val="none"/>
        </w:rPr>
        <w:t>万元。与</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eastAsia="zh-CN"/>
        </w:rPr>
        <w:t>度</w:t>
      </w:r>
      <w:r>
        <w:rPr>
          <w:rFonts w:hint="eastAsia" w:ascii="Times New Roman" w:hAnsi="Times New Roman" w:eastAsia="仿宋_GB2312" w:cs="仿宋_GB2312"/>
          <w:color w:val="auto"/>
          <w:sz w:val="32"/>
          <w:szCs w:val="32"/>
          <w:highlight w:val="none"/>
        </w:rPr>
        <w:t>相比，</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总计各增加/减少**万元，增长/下降**%。主要变动原因是……</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决算总计变动情况图）（柱状图）</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34" w:name="_Toc15396604"/>
      <w:bookmarkStart w:id="35" w:name="_Toc15377206"/>
      <w:r>
        <w:rPr>
          <w:rFonts w:hint="eastAsia" w:ascii="Times New Roman" w:hAnsi="Times New Roman" w:eastAsia="黑体"/>
          <w:color w:val="auto"/>
          <w:sz w:val="32"/>
          <w:szCs w:val="32"/>
          <w:highlight w:val="none"/>
          <w:lang w:eastAsia="zh-CN"/>
        </w:rPr>
        <w:t>二、收入决算情况说明</w:t>
      </w:r>
      <w:bookmarkEnd w:id="34"/>
      <w:bookmarkEnd w:id="35"/>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506.22万元，其中：一般公共预算财政拨款收入504.86</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99.73</w:t>
      </w:r>
      <w:r>
        <w:rPr>
          <w:rFonts w:hint="eastAsia" w:ascii="仿宋_GB2312" w:hAnsi="仿宋_GB2312" w:eastAsia="仿宋_GB2312" w:cs="仿宋_GB2312"/>
          <w:color w:val="auto"/>
          <w:sz w:val="32"/>
          <w:szCs w:val="32"/>
          <w:highlight w:val="none"/>
          <w:lang w:eastAsia="zh-CN"/>
        </w:rPr>
        <w:t>%；政府性基金预算财政拨款收入</w:t>
      </w:r>
      <w:r>
        <w:rPr>
          <w:rFonts w:hint="eastAsia" w:ascii="仿宋_GB2312" w:hAnsi="仿宋_GB2312" w:eastAsia="仿宋_GB2312" w:cs="仿宋_GB2312"/>
          <w:sz w:val="32"/>
          <w:szCs w:val="32"/>
        </w:rPr>
        <w:t>1.36</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0.26%</w:t>
      </w:r>
      <w:r>
        <w:rPr>
          <w:rFonts w:hint="eastAsia" w:ascii="仿宋_GB2312" w:hAnsi="仿宋_GB2312" w:eastAsia="仿宋_GB2312" w:cs="仿宋_GB2312"/>
          <w:color w:val="auto"/>
          <w:sz w:val="32"/>
          <w:szCs w:val="32"/>
          <w:highlight w:val="none"/>
          <w:lang w:eastAsia="zh-CN"/>
        </w:rPr>
        <w:t>%；国有资本经营预算财政拨款收入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%；上级补助收入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%；事业收入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%；附属单位上缴收入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%；其他收入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r>
        <w:rPr>
          <w:rFonts w:hint="eastAsia" w:ascii="Times New Roman" w:hAnsi="Times New Roman" w:eastAsia="仿宋_GB2312" w:cs="仿宋_GB2312"/>
          <w:b/>
          <w:bCs/>
          <w:color w:val="auto"/>
          <w:sz w:val="32"/>
          <w:szCs w:val="32"/>
          <w:highlight w:val="none"/>
          <w:lang w:eastAsia="zh-CN"/>
        </w:rPr>
        <w:t>（注：仅罗列本部门涉及的收入）</w:t>
      </w:r>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（图2：收入决算结构图）（饼状图）</w:t>
      </w:r>
    </w:p>
    <w:p>
      <w:pPr>
        <w:ind w:firstLine="800" w:firstLineChars="250"/>
        <w:rPr>
          <w:rFonts w:hint="eastAsia" w:ascii="Times New Roman" w:hAnsi="Times New Roman" w:eastAsia="仿宋_GB2312" w:cs="仿宋_GB2312"/>
          <w:color w:val="auto"/>
          <w:sz w:val="32"/>
          <w:szCs w:val="32"/>
          <w:highlight w:val="none"/>
          <w:lang w:eastAsia="zh-CN"/>
        </w:rPr>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9"/>
          <w:rFonts w:hint="eastAsia" w:ascii="Times New Roman" w:hAnsi="Times New Roman" w:eastAsia="黑体"/>
          <w:b w:val="0"/>
          <w:color w:val="auto"/>
          <w:highlight w:val="none"/>
        </w:rPr>
      </w:pPr>
      <w:bookmarkStart w:id="36" w:name="_Toc15396605"/>
      <w:bookmarkStart w:id="37" w:name="_Toc15377207"/>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29"/>
          <w:rFonts w:hint="eastAsia" w:ascii="Times New Roman" w:hAnsi="Times New Roman" w:eastAsia="黑体"/>
          <w:b w:val="0"/>
          <w:color w:val="auto"/>
          <w:highlight w:val="none"/>
        </w:rPr>
        <w:t>出决算情况说明</w:t>
      </w:r>
      <w:bookmarkEnd w:id="36"/>
      <w:bookmarkEnd w:id="37"/>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506.22</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394.47</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77.92</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111.75</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22.07</w:t>
      </w:r>
      <w:r>
        <w:rPr>
          <w:rFonts w:hint="eastAsia" w:ascii="仿宋_GB2312" w:hAnsi="仿宋_GB2312" w:eastAsia="仿宋_GB2312" w:cs="仿宋_GB2312"/>
          <w:color w:val="auto"/>
          <w:sz w:val="32"/>
          <w:szCs w:val="32"/>
          <w:highlight w:val="none"/>
          <w:lang w:eastAsia="zh-CN"/>
        </w:rPr>
        <w:t>%；上缴上级支出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%；对附属单位补助支出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r>
        <w:rPr>
          <w:rFonts w:hint="eastAsia" w:ascii="Times New Roman" w:hAnsi="Times New Roman" w:eastAsia="仿宋_GB2312" w:cs="仿宋_GB2312"/>
          <w:b/>
          <w:bCs/>
          <w:color w:val="auto"/>
          <w:sz w:val="32"/>
          <w:szCs w:val="32"/>
          <w:highlight w:val="none"/>
          <w:lang w:eastAsia="zh-CN"/>
        </w:rPr>
        <w:t>（注：仅罗列本部门涉及的支出）</w:t>
      </w:r>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（图3：支出决算结构图）（饼状图）</w:t>
      </w:r>
    </w:p>
    <w:p>
      <w:pPr>
        <w:ind w:firstLine="800" w:firstLineChars="250"/>
        <w:rPr>
          <w:rFonts w:hint="eastAsia" w:ascii="Times New Roman" w:hAnsi="Times New Roman" w:eastAsia="仿宋_GB2312" w:cs="仿宋_GB2312"/>
          <w:color w:val="auto"/>
          <w:sz w:val="32"/>
          <w:szCs w:val="32"/>
          <w:highlight w:val="none"/>
          <w:lang w:eastAsia="zh-CN"/>
        </w:rPr>
      </w:pPr>
    </w:p>
    <w:p>
      <w:pPr>
        <w:spacing w:line="600" w:lineRule="exact"/>
        <w:ind w:firstLine="640" w:firstLineChars="200"/>
        <w:outlineLvl w:val="1"/>
        <w:rPr>
          <w:rStyle w:val="29"/>
          <w:rFonts w:ascii="Times New Roman" w:hAnsi="Times New Roman" w:eastAsia="黑体"/>
          <w:b w:val="0"/>
          <w:color w:val="auto"/>
          <w:highlight w:val="none"/>
        </w:rPr>
      </w:pPr>
      <w:bookmarkStart w:id="38" w:name="_Toc15377208"/>
      <w:bookmarkStart w:id="39" w:name="_Toc15396606"/>
      <w:r>
        <w:rPr>
          <w:rFonts w:hint="eastAsia" w:ascii="Times New Roman" w:hAnsi="Times New Roman" w:eastAsia="黑体"/>
          <w:color w:val="auto"/>
          <w:sz w:val="32"/>
          <w:szCs w:val="32"/>
          <w:highlight w:val="none"/>
        </w:rPr>
        <w:t>四、财</w:t>
      </w:r>
      <w:r>
        <w:rPr>
          <w:rStyle w:val="29"/>
          <w:rFonts w:hint="eastAsia" w:ascii="Times New Roman" w:hAnsi="Times New Roman" w:eastAsia="黑体"/>
          <w:b w:val="0"/>
          <w:color w:val="auto"/>
          <w:highlight w:val="none"/>
        </w:rPr>
        <w:t>政拨款收入支出决算总体情况说明</w:t>
      </w:r>
      <w:bookmarkEnd w:id="38"/>
      <w:bookmarkEnd w:id="39"/>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2024年度财政拨款收入、支出总计均为</w:t>
      </w:r>
      <w:r>
        <w:rPr>
          <w:rFonts w:hint="eastAsia" w:ascii="仿宋_GB2312" w:hAnsi="仿宋_GB2312" w:eastAsia="仿宋_GB2312" w:cs="仿宋_GB2312"/>
          <w:sz w:val="32"/>
          <w:szCs w:val="32"/>
        </w:rPr>
        <w:t>506.22</w:t>
      </w:r>
      <w:r>
        <w:rPr>
          <w:rFonts w:hint="eastAsia" w:ascii="Times New Roman" w:hAnsi="Times New Roman" w:eastAsia="仿宋_GB2312" w:cs="仿宋_GB2312"/>
          <w:color w:val="auto"/>
          <w:kern w:val="2"/>
          <w:sz w:val="32"/>
          <w:szCs w:val="32"/>
          <w:highlight w:val="none"/>
          <w:lang w:val="en-US" w:eastAsia="zh-CN" w:bidi="ar-SA"/>
        </w:rPr>
        <w:t>万元。与2023年度相比，财政拨款收入总计、支出总计各增加/减少**万元，增长/下降**%。主要变动原因是……</w:t>
      </w:r>
    </w:p>
    <w:p>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（图4：财政拨款收、支决算总计变动情况）（柱状图）</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0" w:firstLineChars="200"/>
        <w:outlineLvl w:val="1"/>
        <w:rPr>
          <w:rStyle w:val="29"/>
          <w:rFonts w:ascii="Times New Roman" w:hAnsi="Times New Roman" w:eastAsia="黑体"/>
          <w:b w:val="0"/>
          <w:color w:val="auto"/>
          <w:highlight w:val="none"/>
        </w:rPr>
      </w:pPr>
      <w:bookmarkStart w:id="40" w:name="_Toc15377209"/>
      <w:bookmarkStart w:id="41" w:name="_Toc15396607"/>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般公共预算财政拨款支出决算情况说明</w:t>
      </w:r>
      <w:bookmarkEnd w:id="40"/>
      <w:bookmarkEnd w:id="41"/>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2"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42"/>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504.86</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99.73</w:t>
      </w:r>
      <w:r>
        <w:rPr>
          <w:rFonts w:hint="eastAsia" w:ascii="仿宋_GB2312" w:hAnsi="仿宋_GB2312" w:eastAsia="仿宋_GB2312" w:cs="仿宋_GB2312"/>
          <w:color w:val="auto"/>
          <w:kern w:val="2"/>
          <w:sz w:val="32"/>
          <w:szCs w:val="32"/>
          <w:highlight w:val="none"/>
          <w:lang w:val="en-US" w:eastAsia="zh-CN" w:bidi="ar-SA"/>
        </w:rPr>
        <w:t>%。与2023年度相比，一般公共预算财政拨款支出增加/减少**万元，增长/下降**%。主要变动原因是……</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（图5：一般公共预算财政拨款支出决算变动情况）（柱状图）</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3"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43"/>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504.86</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，主要用于以下方面</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一般公共服务支出**万元，占**%；教育支出**万元，占**%；科学技术支出**万元，占**%；文化旅游体育与传媒支出**万元，占**%；社会保障和就业支出**万元，占**%；卫生健康支出**万元，占**%；住房保障支出**万元，占**%；……</w:t>
      </w:r>
      <w:r>
        <w:rPr>
          <w:rFonts w:hint="eastAsia" w:ascii="Times New Roman" w:hAnsi="Times New Roman" w:eastAsia="仿宋_GB2312" w:cs="仿宋_GB2312"/>
          <w:b/>
          <w:bCs/>
          <w:color w:val="auto"/>
          <w:kern w:val="2"/>
          <w:sz w:val="32"/>
          <w:szCs w:val="32"/>
          <w:highlight w:val="none"/>
          <w:lang w:val="en-US" w:eastAsia="zh-CN" w:bidi="ar-SA"/>
        </w:rPr>
        <w:t>（注：仅罗列本部门涉及的全部功能分类科目，至类级）</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（图6：一般公共预算财政拨款支出决算结构）（饼状图）</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4"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44"/>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45" w:name="_Toc15377213"/>
      <w:bookmarkStart w:id="46" w:name="_Toc15377444"/>
      <w:bookmarkStart w:id="47" w:name="_Toc15378460"/>
      <w:r>
        <w:rPr>
          <w:rFonts w:hint="eastAsia" w:ascii="Times New Roman" w:hAnsi="Times New Roman" w:eastAsia="仿宋_GB2312" w:cs="仿宋_GB2312"/>
          <w:color w:val="auto"/>
          <w:kern w:val="2"/>
          <w:sz w:val="32"/>
          <w:szCs w:val="32"/>
          <w:highlight w:val="none"/>
          <w:lang w:val="en-US" w:eastAsia="zh-CN" w:bidi="ar-SA"/>
        </w:rPr>
        <w:t>2024年度一般公共预算财政拨款支出决算数为</w:t>
      </w:r>
      <w:r>
        <w:rPr>
          <w:rFonts w:hint="eastAsia" w:ascii="仿宋_GB2312" w:hAnsi="仿宋_GB2312" w:eastAsia="仿宋_GB2312" w:cs="仿宋_GB2312"/>
          <w:sz w:val="32"/>
          <w:szCs w:val="32"/>
        </w:rPr>
        <w:t>504.86</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完成预算**%。其中：</w:t>
      </w:r>
      <w:bookmarkEnd w:id="45"/>
      <w:bookmarkEnd w:id="46"/>
      <w:bookmarkEnd w:id="47"/>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一般公共服务（类）***（款）***（项）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支出决算为**万元，完成预算**%，决算数小于/等于预算数的主要原因是……</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2.教育（类）***（款）***（项）: 支出决算为**万元，完成预算**%，决算数小于/等于预算数的主要原因是……</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3.科学技术（类）***（款）***（项）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支出决算为**万元，完成预算**%，决算数小于/等于预算数的主要原因是……</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4.文化旅游体育与传媒（类）***（款）***（项）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支出决算为**万元，完成预算**%，决算数小于/等于预算数的主要原因是……</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5.社会保障和就业（类）***（款）***（项）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支出决算为**万元，完成预算**%，决算数小于/等于预算数的主要原因是……</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6.卫生健康（类）***（款）***（项）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支出决算为**万元，完成预算**%，决算数小于/等于预算数的主要原因是……</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（注：仅罗列本部门涉及的全部功能分类科目，至项级。上述“预算”口径为全年预算数。增减变动原因为决算数&lt;项级&gt;和全年预算数&lt;项级&gt;比较，与预算数持平可以不写原因）</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tabs>
          <w:tab w:val="right" w:pos="8306"/>
        </w:tabs>
        <w:spacing w:line="600" w:lineRule="exact"/>
        <w:ind w:firstLine="640"/>
        <w:outlineLvl w:val="1"/>
        <w:rPr>
          <w:rStyle w:val="29"/>
          <w:rFonts w:ascii="Times New Roman" w:hAnsi="Times New Roman"/>
          <w:color w:val="auto"/>
          <w:highlight w:val="none"/>
        </w:rPr>
      </w:pPr>
      <w:bookmarkStart w:id="48" w:name="_Toc15396608"/>
      <w:bookmarkStart w:id="49" w:name="_Toc15377214"/>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般公共预算财政拨款基本支出决算情况说明</w:t>
      </w:r>
      <w:bookmarkEnd w:id="48"/>
      <w:bookmarkEnd w:id="49"/>
      <w:r>
        <w:rPr>
          <w:rStyle w:val="29"/>
          <w:rFonts w:ascii="Times New Roman" w:hAnsi="Times New Roman" w:eastAsia="黑体"/>
          <w:b w:val="0"/>
          <w:color w:val="auto"/>
          <w:highlight w:val="none"/>
        </w:rPr>
        <w:tab/>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w:t>
      </w:r>
      <w:r>
        <w:rPr>
          <w:rFonts w:hint="eastAsia" w:ascii="仿宋_GB2312" w:hAnsi="仿宋_GB2312" w:eastAsia="仿宋_GB2312" w:cs="仿宋_GB2312"/>
          <w:sz w:val="32"/>
          <w:szCs w:val="32"/>
        </w:rPr>
        <w:t>394.47</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元，其中：</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ascii="仿宋_GB2312" w:hAnsi="仿宋_GB2312" w:eastAsia="仿宋_GB2312" w:cs="仿宋_GB2312"/>
          <w:sz w:val="32"/>
          <w:szCs w:val="32"/>
        </w:rPr>
        <w:t>374.97</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公用经费</w:t>
      </w:r>
      <w:r>
        <w:rPr>
          <w:rFonts w:hint="eastAsia" w:ascii="仿宋_GB2312" w:hAnsi="仿宋_GB2312" w:eastAsia="仿宋_GB2312" w:cs="仿宋_GB2312"/>
          <w:sz w:val="32"/>
          <w:szCs w:val="32"/>
        </w:rPr>
        <w:t>19.49</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（注：仅罗列本部门实际支出涉及的经济分类科目）</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0"/>
        <w:outlineLvl w:val="1"/>
        <w:rPr>
          <w:rStyle w:val="29"/>
          <w:rFonts w:ascii="Times New Roman" w:hAnsi="Times New Roman" w:eastAsia="黑体"/>
          <w:b w:val="0"/>
          <w:color w:val="auto"/>
          <w:highlight w:val="none"/>
        </w:rPr>
      </w:pPr>
      <w:bookmarkStart w:id="50" w:name="_Toc15396609"/>
      <w:bookmarkStart w:id="51" w:name="_Toc15377215"/>
      <w:r>
        <w:rPr>
          <w:rFonts w:hint="eastAsia" w:ascii="Times New Roman" w:hAnsi="Times New Roman" w:eastAsia="黑体"/>
          <w:color w:val="auto"/>
          <w:sz w:val="32"/>
          <w:szCs w:val="32"/>
          <w:highlight w:val="none"/>
        </w:rPr>
        <w:t>七、</w:t>
      </w:r>
      <w:r>
        <w:rPr>
          <w:rStyle w:val="29"/>
          <w:rFonts w:hint="eastAsia" w:ascii="Times New Roman" w:hAnsi="Times New Roman" w:eastAsia="黑体"/>
          <w:b w:val="0"/>
          <w:color w:val="auto"/>
          <w:highlight w:val="none"/>
        </w:rPr>
        <w:t>财政拨款</w:t>
      </w:r>
      <w:r>
        <w:rPr>
          <w:rStyle w:val="29"/>
          <w:rFonts w:hint="eastAsia" w:ascii="Times New Roman" w:hAnsi="Times New Roman" w:eastAsia="黑体"/>
          <w:color w:val="auto"/>
          <w:highlight w:val="none"/>
        </w:rPr>
        <w:t>“</w:t>
      </w:r>
      <w:r>
        <w:rPr>
          <w:rStyle w:val="29"/>
          <w:rFonts w:hint="eastAsia" w:ascii="Times New Roman" w:hAnsi="Times New Roman" w:eastAsia="黑体"/>
          <w:b w:val="0"/>
          <w:color w:val="auto"/>
          <w:highlight w:val="none"/>
        </w:rPr>
        <w:t>三公”经费支出决算情况说明</w:t>
      </w:r>
      <w:bookmarkEnd w:id="50"/>
      <w:bookmarkEnd w:id="51"/>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52"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52"/>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较上年度增加/减少**万元，增长/下降**%。决算数小于预算数（或与预算数持平）的主要原因是……</w:t>
      </w:r>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（注：上述“预算”口径为全年预算数，包括一般公共预算和政府性基金预算财政拨款支出决算情况）</w:t>
      </w:r>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53"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53"/>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2024年度“三公”经费财政拨款支出决算中，因公出国（境）费支出决算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万元，占**%；公务用车购置及运行维护费支出决算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万元，占**%；公务接待费支出决算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万元，占**%。具体情况如下：</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（图7：“三公”经费财政拨款支出结构）（饼状图）</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1.因公出国（境）经费支出**万元，完成预算**%。</w:t>
      </w:r>
      <w:r>
        <w:rPr>
          <w:rFonts w:hint="eastAsia" w:ascii="Times New Roman" w:hAnsi="Times New Roman" w:eastAsia="仿宋_GB2312" w:cs="仿宋_GB2312"/>
          <w:color w:val="auto"/>
          <w:kern w:val="2"/>
          <w:sz w:val="32"/>
          <w:szCs w:val="32"/>
          <w:highlight w:val="none"/>
          <w:lang w:val="en-US" w:eastAsia="zh-CN" w:bidi="ar-SA"/>
        </w:rPr>
        <w:t>全年安排因公出国（境）团</w:t>
      </w:r>
      <w:r>
        <w:rPr>
          <w:rFonts w:hint="eastAsia" w:ascii="仿宋_GB2312" w:hAnsi="仿宋_GB2312" w:eastAsia="仿宋_GB2312" w:cs="仿宋_GB2312"/>
          <w:color w:val="auto"/>
          <w:kern w:val="2"/>
          <w:sz w:val="32"/>
          <w:szCs w:val="32"/>
          <w:highlight w:val="none"/>
          <w:lang w:val="en-US" w:eastAsia="zh-CN" w:bidi="ar-SA"/>
        </w:rPr>
        <w:t>组</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次，出国（境）</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人</w:t>
      </w:r>
      <w:r>
        <w:rPr>
          <w:rFonts w:hint="eastAsia" w:ascii="Times New Roman" w:hAnsi="Times New Roman" w:eastAsia="仿宋_GB2312" w:cs="仿宋_GB2312"/>
          <w:color w:val="auto"/>
          <w:kern w:val="2"/>
          <w:sz w:val="32"/>
          <w:szCs w:val="32"/>
          <w:highlight w:val="none"/>
          <w:lang w:val="en-US" w:eastAsia="zh-CN" w:bidi="ar-SA"/>
        </w:rPr>
        <w:t>。因公出国（境）支出决算比2023年增加/减少**万元，增长/下降**%。主要原因是……</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开支内容包括：……（团组名称、出访地点、取得成效等）</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2.公务用车购置及运行维护费支出</w:t>
      </w:r>
      <w:r>
        <w:rPr>
          <w:rFonts w:hint="eastAsia" w:ascii="仿宋_GB2312" w:hAnsi="仿宋_GB2312" w:eastAsia="仿宋_GB2312" w:cs="仿宋_GB2312"/>
          <w:b/>
          <w:bCs/>
          <w:color w:val="auto"/>
          <w:kern w:val="2"/>
          <w:sz w:val="32"/>
          <w:szCs w:val="32"/>
          <w:highlight w:val="none"/>
          <w:lang w:val="en-US" w:eastAsia="zh-CN" w:bidi="ar-SA"/>
        </w:rPr>
        <w:t>0万</w:t>
      </w:r>
      <w:r>
        <w:rPr>
          <w:rFonts w:hint="eastAsia" w:ascii="Times New Roman" w:hAnsi="Times New Roman" w:eastAsia="仿宋_GB2312" w:cs="仿宋_GB2312"/>
          <w:b/>
          <w:bCs/>
          <w:color w:val="auto"/>
          <w:kern w:val="2"/>
          <w:sz w:val="32"/>
          <w:szCs w:val="32"/>
          <w:highlight w:val="none"/>
          <w:lang w:val="en-US" w:eastAsia="zh-CN" w:bidi="ar-SA"/>
        </w:rPr>
        <w:t>元</w:t>
      </w:r>
      <w:r>
        <w:rPr>
          <w:rFonts w:hint="eastAsia"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b/>
          <w:bCs/>
          <w:color w:val="auto"/>
          <w:kern w:val="2"/>
          <w:sz w:val="32"/>
          <w:szCs w:val="32"/>
          <w:highlight w:val="none"/>
          <w:lang w:val="en-US" w:eastAsia="zh-CN" w:bidi="ar-SA"/>
        </w:rPr>
        <w:t>完成预算**%。</w:t>
      </w:r>
      <w:r>
        <w:rPr>
          <w:rFonts w:hint="eastAsia" w:ascii="Times New Roman" w:hAnsi="Times New Roman" w:eastAsia="仿宋_GB2312" w:cs="仿宋_GB2312"/>
          <w:color w:val="auto"/>
          <w:kern w:val="2"/>
          <w:sz w:val="32"/>
          <w:szCs w:val="32"/>
          <w:highlight w:val="none"/>
          <w:lang w:val="en-US" w:eastAsia="zh-CN" w:bidi="ar-SA"/>
        </w:rPr>
        <w:t>公务用车购置及运行维护费支出决算比2023年度增加/减少**万元，增长/下降**%。主要原因是……</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其中：公务用车购置支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万元。全年按规定更新购置公务用车**辆，其中：轿车**辆、金额**万元，越野车**辆、金额**万元，载客汽车**辆、金额**万元，主要用于……。截至2024年12月31日，单位共有公务用车**辆，其中：轿车**辆、越野车**辆、载客汽车**辆。</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公务用车运行维护费支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万元。主要用于……（具体工作）所需的公务用车燃料费、维修费、过路过桥费、保险费等支出。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3.公务接待费支出</w:t>
      </w:r>
      <w:r>
        <w:rPr>
          <w:rFonts w:hint="eastAsia" w:ascii="仿宋_GB2312" w:hAnsi="仿宋_GB2312" w:eastAsia="仿宋_GB2312" w:cs="仿宋_GB2312"/>
          <w:b/>
          <w:bCs/>
          <w:color w:val="auto"/>
          <w:kern w:val="2"/>
          <w:sz w:val="32"/>
          <w:szCs w:val="32"/>
          <w:highlight w:val="none"/>
          <w:lang w:val="en-US" w:eastAsia="zh-CN" w:bidi="ar-SA"/>
        </w:rPr>
        <w:t>0万</w:t>
      </w:r>
      <w:r>
        <w:rPr>
          <w:rFonts w:hint="eastAsia" w:ascii="Times New Roman" w:hAnsi="Times New Roman" w:eastAsia="仿宋_GB2312" w:cs="仿宋_GB2312"/>
          <w:b/>
          <w:bCs/>
          <w:color w:val="auto"/>
          <w:kern w:val="2"/>
          <w:sz w:val="32"/>
          <w:szCs w:val="32"/>
          <w:highlight w:val="none"/>
          <w:lang w:val="en-US" w:eastAsia="zh-CN" w:bidi="ar-SA"/>
        </w:rPr>
        <w:t>元，完成预算**%。</w:t>
      </w:r>
      <w:r>
        <w:rPr>
          <w:rFonts w:hint="eastAsia" w:ascii="Times New Roman" w:hAnsi="Times New Roman" w:eastAsia="仿宋_GB2312" w:cs="仿宋_GB2312"/>
          <w:color w:val="auto"/>
          <w:kern w:val="2"/>
          <w:sz w:val="32"/>
          <w:szCs w:val="32"/>
          <w:highlight w:val="none"/>
          <w:lang w:val="en-US" w:eastAsia="zh-CN" w:bidi="ar-SA"/>
        </w:rPr>
        <w:t>公务接待费支出决算比2023年度增加/减少**万元，增长/下降**%。主要原因是……。其中：</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国内公务接待支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元，主要用于……(执行公务、开展业务活动开支的交通费、住宿费、用餐费等)。国内公务接</w:t>
      </w:r>
      <w:r>
        <w:rPr>
          <w:rFonts w:hint="eastAsia" w:ascii="仿宋_GB2312" w:hAnsi="仿宋_GB2312" w:eastAsia="仿宋_GB2312" w:cs="仿宋_GB2312"/>
          <w:color w:val="auto"/>
          <w:kern w:val="2"/>
          <w:sz w:val="32"/>
          <w:szCs w:val="32"/>
          <w:highlight w:val="none"/>
          <w:lang w:val="en-US" w:eastAsia="zh-CN" w:bidi="ar-SA"/>
        </w:rPr>
        <w:t>待</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批次，</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人次（不包括陪同人员），共计支出**万元，具体内容包括：……（接待具体项目、金额）。</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外事接待支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万元，主要用于……（具体项目）。外事接待</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批次，</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人次（不包括陪同人员），共计支出**万</w:t>
      </w:r>
      <w:r>
        <w:rPr>
          <w:rFonts w:hint="eastAsia" w:ascii="Times New Roman" w:hAnsi="Times New Roman" w:eastAsia="仿宋_GB2312" w:cs="仿宋_GB2312"/>
          <w:color w:val="auto"/>
          <w:kern w:val="2"/>
          <w:sz w:val="32"/>
          <w:szCs w:val="32"/>
          <w:highlight w:val="none"/>
          <w:lang w:val="en-US" w:eastAsia="zh-CN" w:bidi="ar-SA"/>
        </w:rPr>
        <w:t>元。</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54" w:name="_Toc15377218"/>
      <w:bookmarkStart w:id="55" w:name="_Toc15396610"/>
    </w:p>
    <w:p>
      <w:pPr>
        <w:spacing w:line="600" w:lineRule="exact"/>
        <w:ind w:firstLine="640"/>
        <w:outlineLvl w:val="1"/>
        <w:rPr>
          <w:rStyle w:val="29"/>
          <w:rFonts w:ascii="Times New Roman" w:hAnsi="Times New Roman" w:eastAsia="黑体"/>
          <w:color w:val="auto"/>
          <w:highlight w:val="none"/>
        </w:rPr>
      </w:pPr>
      <w:r>
        <w:rPr>
          <w:rFonts w:hint="eastAsia" w:ascii="Times New Roman" w:hAnsi="Times New Roman" w:eastAsia="黑体"/>
          <w:color w:val="auto"/>
          <w:sz w:val="32"/>
          <w:szCs w:val="32"/>
          <w:highlight w:val="none"/>
        </w:rPr>
        <w:t>八、</w:t>
      </w:r>
      <w:r>
        <w:rPr>
          <w:rStyle w:val="29"/>
          <w:rFonts w:hint="eastAsia" w:ascii="Times New Roman" w:hAnsi="Times New Roman" w:eastAsia="黑体"/>
          <w:b w:val="0"/>
          <w:color w:val="auto"/>
          <w:highlight w:val="none"/>
        </w:rPr>
        <w:t>政府性基金预算支出决算情况说明</w:t>
      </w:r>
      <w:bookmarkEnd w:id="54"/>
      <w:bookmarkEnd w:id="55"/>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2024年度政府性基金预算财政拨款支出</w:t>
      </w:r>
      <w:r>
        <w:rPr>
          <w:rFonts w:hint="eastAsia" w:ascii="仿宋_GB2312" w:hAnsi="仿宋_GB2312" w:eastAsia="仿宋_GB2312" w:cs="仿宋_GB2312"/>
          <w:sz w:val="32"/>
          <w:szCs w:val="32"/>
        </w:rPr>
        <w:t>1.36</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0.26</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。与2023年度相比，政府性基金预算财政拨款支出增加/减少**万元，增长/下降**%。主要变动原因是……</w:t>
      </w:r>
      <w:r>
        <w:rPr>
          <w:rFonts w:hint="eastAsia" w:ascii="Times New Roman" w:hAnsi="Times New Roman" w:eastAsia="仿宋_GB2312" w:cs="仿宋_GB2312"/>
          <w:b/>
          <w:bCs/>
          <w:color w:val="auto"/>
          <w:kern w:val="2"/>
          <w:sz w:val="32"/>
          <w:szCs w:val="32"/>
          <w:highlight w:val="none"/>
          <w:lang w:val="en-US" w:eastAsia="zh-CN" w:bidi="ar-SA"/>
        </w:rPr>
        <w:t>（注：支出数与上年持平可以不写原因）</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ind w:left="630" w:leftChars="0"/>
        <w:outlineLvl w:val="1"/>
        <w:rPr>
          <w:rStyle w:val="29"/>
          <w:rFonts w:ascii="Times New Roman" w:hAnsi="Times New Roman" w:eastAsia="黑体"/>
          <w:b w:val="0"/>
          <w:color w:val="auto"/>
          <w:highlight w:val="none"/>
        </w:rPr>
      </w:pPr>
      <w:bookmarkStart w:id="56" w:name="_Toc15396611"/>
      <w:bookmarkStart w:id="57" w:name="_Toc15377219"/>
      <w:r>
        <w:rPr>
          <w:rStyle w:val="29"/>
          <w:rFonts w:hint="eastAsia" w:ascii="Times New Roman" w:hAnsi="Times New Roman" w:eastAsia="黑体"/>
          <w:b w:val="0"/>
          <w:color w:val="auto"/>
          <w:highlight w:val="none"/>
          <w:lang w:eastAsia="zh-CN"/>
        </w:rPr>
        <w:t>九、</w:t>
      </w:r>
      <w:r>
        <w:rPr>
          <w:rStyle w:val="29"/>
          <w:rFonts w:hint="eastAsia" w:ascii="Times New Roman" w:hAnsi="Times New Roman" w:eastAsia="黑体"/>
          <w:b w:val="0"/>
          <w:color w:val="auto"/>
          <w:highlight w:val="none"/>
        </w:rPr>
        <w:t>国有资本经营预算支出决算情况说明</w:t>
      </w:r>
      <w:bookmarkEnd w:id="56"/>
      <w:bookmarkEnd w:id="57"/>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2024年度国有资本经营预算财政拨款支出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。与2023年度相比，国有资本经营预算财政拨款支出增加/减少**万元，增长/下降**%。主要变动原因是……</w:t>
      </w:r>
      <w:r>
        <w:rPr>
          <w:rFonts w:hint="eastAsia" w:ascii="Times New Roman" w:hAnsi="Times New Roman" w:eastAsia="仿宋_GB2312" w:cs="仿宋_GB2312"/>
          <w:b/>
          <w:bCs/>
          <w:color w:val="auto"/>
          <w:kern w:val="2"/>
          <w:sz w:val="32"/>
          <w:szCs w:val="32"/>
          <w:highlight w:val="none"/>
          <w:lang w:val="en-US" w:eastAsia="zh-CN" w:bidi="ar-SA"/>
        </w:rPr>
        <w:t>（注：支出数与上年持平可以不写原因）</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ind w:left="630" w:leftChars="0"/>
        <w:outlineLvl w:val="1"/>
        <w:rPr>
          <w:rStyle w:val="29"/>
          <w:rFonts w:hint="eastAsia" w:ascii="Times New Roman" w:hAnsi="Times New Roman" w:eastAsia="黑体"/>
          <w:b w:val="0"/>
          <w:color w:val="auto"/>
          <w:highlight w:val="none"/>
        </w:rPr>
      </w:pPr>
      <w:bookmarkStart w:id="58" w:name="_Toc15396612"/>
      <w:bookmarkStart w:id="59" w:name="_Toc15377221"/>
      <w:r>
        <w:rPr>
          <w:rStyle w:val="29"/>
          <w:rFonts w:hint="eastAsia" w:ascii="Times New Roman" w:hAnsi="Times New Roman" w:eastAsia="黑体"/>
          <w:b w:val="0"/>
          <w:color w:val="auto"/>
          <w:highlight w:val="none"/>
          <w:lang w:eastAsia="zh-CN"/>
        </w:rPr>
        <w:t>十、</w:t>
      </w:r>
      <w:r>
        <w:rPr>
          <w:rStyle w:val="29"/>
          <w:rFonts w:hint="eastAsia" w:ascii="Times New Roman" w:hAnsi="Times New Roman" w:eastAsia="黑体"/>
          <w:b w:val="0"/>
          <w:color w:val="auto"/>
          <w:highlight w:val="none"/>
        </w:rPr>
        <w:t>其他重要事项的情况说明</w:t>
      </w:r>
      <w:bookmarkEnd w:id="58"/>
      <w:bookmarkEnd w:id="59"/>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60" w:name="_Toc15377222"/>
      <w:r>
        <w:rPr>
          <w:rFonts w:hint="eastAsia" w:ascii="Times New Roman" w:hAnsi="Times New Roman" w:eastAsia="楷体_GB2312" w:cs="楷体_GB2312"/>
          <w:b/>
          <w:color w:val="auto"/>
          <w:sz w:val="32"/>
          <w:szCs w:val="32"/>
          <w:highlight w:val="none"/>
        </w:rPr>
        <w:t>（一）机关运行经费支出情况</w:t>
      </w:r>
      <w:bookmarkEnd w:id="60"/>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rPr>
        <w:t>五通桥区住房和城乡建设局市政管理所</w:t>
      </w:r>
      <w:r>
        <w:rPr>
          <w:rFonts w:hint="eastAsia" w:ascii="仿宋_GB2312" w:hAnsi="仿宋_GB2312" w:eastAsia="仿宋_GB2312" w:cs="仿宋_GB2312"/>
          <w:color w:val="auto"/>
          <w:kern w:val="2"/>
          <w:sz w:val="32"/>
          <w:szCs w:val="32"/>
          <w:highlight w:val="none"/>
          <w:lang w:val="en-US" w:eastAsia="zh-CN" w:bidi="ar-SA"/>
        </w:rPr>
        <w:t>机关运行经费支出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元，比2023年度增加/减少**万元，增长/下降**%（或与2023年度决算数持平）。主要原因是……</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61" w:name="_Toc15377223"/>
      <w:r>
        <w:rPr>
          <w:rFonts w:hint="eastAsia" w:ascii="Times New Roman" w:hAnsi="Times New Roman" w:eastAsia="楷体_GB2312" w:cs="楷体_GB2312"/>
          <w:b/>
          <w:color w:val="auto"/>
          <w:sz w:val="32"/>
          <w:szCs w:val="32"/>
          <w:highlight w:val="none"/>
        </w:rPr>
        <w:t>（二）政府采购支出情况</w:t>
      </w:r>
      <w:bookmarkEnd w:id="61"/>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sz w:val="32"/>
          <w:szCs w:val="32"/>
        </w:rPr>
        <w:t>五通桥区住房和城乡建设局市政管理所</w:t>
      </w:r>
      <w:r>
        <w:rPr>
          <w:rFonts w:hint="eastAsia" w:ascii="仿宋_GB2312" w:hAnsi="仿宋_GB2312" w:eastAsia="仿宋_GB2312" w:cs="仿宋_GB2312"/>
          <w:color w:val="auto"/>
          <w:kern w:val="2"/>
          <w:sz w:val="32"/>
          <w:szCs w:val="32"/>
          <w:highlight w:val="none"/>
          <w:lang w:val="en-US" w:eastAsia="zh-CN" w:bidi="ar-SA"/>
        </w:rPr>
        <w:t>政府采购支出总额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万元，其中：政府采购货物支出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万元、政府采购工程支出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万元、政府采购服务支出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万元。主要用于……（具体工作）。授予中小企业合同金额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%，其中：授予小微企业合同金额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62" w:name="_Toc15377224"/>
      <w:r>
        <w:rPr>
          <w:rFonts w:hint="eastAsia" w:ascii="Times New Roman" w:hAnsi="Times New Roman" w:eastAsia="楷体_GB2312" w:cs="楷体_GB2312"/>
          <w:b/>
          <w:color w:val="auto"/>
          <w:sz w:val="32"/>
          <w:szCs w:val="32"/>
          <w:highlight w:val="none"/>
        </w:rPr>
        <w:t>（三）国有资产占有使用情况</w:t>
      </w:r>
      <w:bookmarkEnd w:id="62"/>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截至2024年12月31日，</w:t>
      </w:r>
      <w:r>
        <w:rPr>
          <w:rFonts w:hint="eastAsia" w:ascii="仿宋_GB2312" w:hAnsi="仿宋_GB2312" w:eastAsia="仿宋_GB2312" w:cs="仿宋_GB2312"/>
          <w:sz w:val="32"/>
          <w:szCs w:val="32"/>
        </w:rPr>
        <w:t>五通桥区住房和城乡建设局市政管理所</w:t>
      </w:r>
      <w:r>
        <w:rPr>
          <w:rFonts w:hint="eastAsia" w:ascii="仿宋_GB2312" w:hAnsi="仿宋_GB2312" w:eastAsia="仿宋_GB2312" w:cs="仿宋_GB2312"/>
          <w:color w:val="auto"/>
          <w:kern w:val="2"/>
          <w:sz w:val="32"/>
          <w:szCs w:val="32"/>
          <w:highlight w:val="none"/>
          <w:lang w:val="en-US" w:eastAsia="zh-CN" w:bidi="ar-SA"/>
        </w:rPr>
        <w:t>共有车辆</w:t>
      </w:r>
      <w:r>
        <w:rPr>
          <w:rFonts w:hint="eastAsia" w:ascii="仿宋_GB2312" w:hAnsi="仿宋_GB2312" w:eastAsia="仿宋_GB2312" w:cs="仿宋_GB2312"/>
          <w:sz w:val="32"/>
          <w:szCs w:val="32"/>
        </w:rPr>
        <w:t>3</w:t>
      </w:r>
      <w:r>
        <w:rPr>
          <w:rFonts w:hint="eastAsia" w:ascii="仿宋_GB2312" w:hAnsi="仿宋_GB2312" w:eastAsia="仿宋_GB2312" w:cs="仿宋_GB2312"/>
          <w:color w:val="auto"/>
          <w:kern w:val="2"/>
          <w:sz w:val="32"/>
          <w:szCs w:val="32"/>
          <w:highlight w:val="none"/>
          <w:lang w:val="en-US" w:eastAsia="zh-CN" w:bidi="ar-SA"/>
        </w:rPr>
        <w:t>辆，其中：主要负责人用车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辆、机要通信用车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辆、应急保障用车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辆、其他用车</w:t>
      </w:r>
      <w:r>
        <w:rPr>
          <w:rFonts w:hint="eastAsia" w:ascii="仿宋_GB2312" w:hAnsi="仿宋_GB2312" w:eastAsia="仿宋_GB2312" w:cs="仿宋_GB2312"/>
          <w:sz w:val="32"/>
          <w:szCs w:val="32"/>
        </w:rPr>
        <w:t>2</w:t>
      </w:r>
      <w:r>
        <w:rPr>
          <w:rFonts w:hint="eastAsia" w:ascii="仿宋_GB2312" w:hAnsi="仿宋_GB2312" w:eastAsia="仿宋_GB2312" w:cs="仿宋_GB2312"/>
          <w:color w:val="auto"/>
          <w:kern w:val="2"/>
          <w:sz w:val="32"/>
          <w:szCs w:val="32"/>
          <w:highlight w:val="none"/>
          <w:lang w:val="en-US" w:eastAsia="zh-CN" w:bidi="ar-SA"/>
        </w:rPr>
        <w:t>辆，其他用车主要是用于……。单价100万元（含）以上设备（不含车辆）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台（套）</w:t>
      </w:r>
      <w:r>
        <w:rPr>
          <w:rFonts w:hint="eastAsia" w:ascii="Times New Roman" w:hAnsi="Times New Roman"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根据预算绩效管理要求，***在2024年度预算编制阶段，组织对***（项目名称）等***个项目开展了预算事前绩效评估，对***个项目编制了绩效目标，预算执行过程中，选取***个项目开展绩效监控。</w:t>
      </w:r>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组织对2024年度一般公共预算、政府性基金预算、国有资本经营预算、社会保险基金预算以及资本资产、债券资金等全面开展绩效自评，形成***部门整体（含部门预算项目）绩效自评报告、***等专项预算项目绩效自评报告，其中，***部门整体（含部门预算项目）绩效自评得分为***分，绩效自评综述……；***专项预算项目绩效自评得分为***分，绩效自评综述……。绩效自评报告详见附件。</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eastAsia="仿宋_GB2312" w:cs="仿宋_GB2312"/>
          <w:b/>
          <w:bCs/>
          <w:color w:val="auto"/>
          <w:kern w:val="2"/>
          <w:sz w:val="32"/>
          <w:szCs w:val="32"/>
          <w:highlight w:val="none"/>
          <w:lang w:val="en-US" w:eastAsia="zh-CN" w:bidi="ar-SA"/>
        </w:rPr>
        <w:t>注：</w:t>
      </w:r>
      <w:r>
        <w:rPr>
          <w:rFonts w:hint="eastAsia" w:ascii="Times New Roman" w:hAnsi="Times New Roman" w:eastAsia="仿宋_GB2312" w:cs="仿宋_GB2312"/>
          <w:b/>
          <w:bCs/>
          <w:color w:val="auto"/>
          <w:kern w:val="2"/>
          <w:sz w:val="32"/>
          <w:szCs w:val="32"/>
          <w:highlight w:val="none"/>
          <w:lang w:val="en-US" w:eastAsia="zh-CN" w:bidi="ar-SA"/>
        </w:rPr>
        <w:t>如不涉及，可根据实际修改表述。）</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63" w:name="_Toc15377225"/>
      <w:bookmarkStart w:id="64" w:name="_Toc15396613"/>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63"/>
      <w:bookmarkEnd w:id="64"/>
    </w:p>
    <w:p>
      <w:pPr>
        <w:spacing w:line="600" w:lineRule="exact"/>
        <w:jc w:val="left"/>
        <w:rPr>
          <w:rFonts w:ascii="Times New Roman" w:hAnsi="Times New Roman"/>
          <w:b/>
          <w:color w:val="auto"/>
          <w:sz w:val="44"/>
          <w:szCs w:val="44"/>
          <w:highlight w:val="none"/>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1.财政拨款收入：指单位从同级财政部门取得的财政预算资金。</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2.事业收入：指事业单位开展专业业务活动及辅助活动取得的收入。如……（二级预算单位事业收入情况）等。</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3.经营收入：指事业单位在专业业务活动及其辅助活动之外开展非独立核算经营活动取得的收入。如……（二级预算单位经营收入情况）等。</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 xml:space="preserve">4.其他收入：指单位取得的除上述收入以外的各项收入。主要是……（收入类型）等。 </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 xml:space="preserve">5.使用非财政拨款结余（含专用结余）：指事业单位使用以前年度积累的非财政拨款结余弥补当年收支差额的金额。 </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 xml:space="preserve">6.年初结转和结余：指以前年度尚未完成、结转到本年按有关规定继续使用的资金。 </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7.结余分配：指事业单位按照会计制度规定缴纳的所得税、提取的专用结余以及转入非财政拨款结余的金额等。</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8.年末结转和结余：指单位按有关规定结转到下年或以后年度继续使用的资金。</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9.一般公共服务（类）……（款）……（项）：指……</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10.外交（类）……（款）……（项）：指……</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11.公共安全（类）……（款）……（项）：指……</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12.教育（类）……（款）……（项）：指……</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13.科学技术（类）……（款）……（项）：指……</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14.文化旅游体育与传媒（类）……（款）……（项）：指……</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15.社会保障和就业（类）……（款）……（项）：指……</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16.卫生健康（类）……（款）……（项）：指……</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17.节能环保（类）……（款）……（项）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指……</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18.城乡社区（类）……（款）……（项）：指……</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19.农林水（类）……（款）……（项）：指……</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20.交通运输（类）……（款）……（项）：指……</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21.资源勘探工业信息等（类）……（款）……（项）：指……</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22.商业服务业（类）……（款）……（项）：指……</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23.金融（类）……（款）……（项）：指……</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24.自然资源海洋气象等（类）……（款）……（项）：指……</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25.住房保障（类）……（款）……（项）：指……</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26.粮油物资储备（类）……（款）……（项）：指……</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w:t>
      </w:r>
      <w:r>
        <w:rPr>
          <w:rFonts w:hint="eastAsia" w:eastAsia="仿宋_GB2312" w:cs="仿宋_GB2312"/>
          <w:b/>
          <w:bCs/>
          <w:color w:val="auto"/>
          <w:kern w:val="2"/>
          <w:sz w:val="32"/>
          <w:szCs w:val="32"/>
          <w:highlight w:val="none"/>
          <w:lang w:val="en-US" w:eastAsia="zh-CN" w:bidi="ar-SA"/>
        </w:rPr>
        <w:t>注：</w:t>
      </w:r>
      <w:r>
        <w:rPr>
          <w:rFonts w:hint="eastAsia" w:ascii="Times New Roman" w:hAnsi="Times New Roman" w:eastAsia="仿宋_GB2312" w:cs="仿宋_GB2312"/>
          <w:b/>
          <w:bCs/>
          <w:color w:val="auto"/>
          <w:kern w:val="2"/>
          <w:sz w:val="32"/>
          <w:szCs w:val="32"/>
          <w:highlight w:val="none"/>
          <w:lang w:val="en-US" w:eastAsia="zh-CN" w:bidi="ar-SA"/>
        </w:rPr>
        <w:t>解释本部门决算报表中涉及的全部功能分类科目至项级，不涉及的科目请自行删除。请参照</w:t>
      </w:r>
      <w:r>
        <w:rPr>
          <w:rFonts w:hint="eastAsia"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b/>
          <w:bCs/>
          <w:color w:val="auto"/>
          <w:kern w:val="2"/>
          <w:sz w:val="32"/>
          <w:szCs w:val="32"/>
          <w:highlight w:val="none"/>
          <w:lang w:val="en-US" w:eastAsia="zh-CN" w:bidi="ar-SA"/>
        </w:rPr>
        <w:t>202</w:t>
      </w:r>
      <w:r>
        <w:rPr>
          <w:rFonts w:hint="eastAsia" w:eastAsia="仿宋_GB2312" w:cs="仿宋_GB2312"/>
          <w:b/>
          <w:bCs/>
          <w:color w:val="auto"/>
          <w:kern w:val="2"/>
          <w:sz w:val="32"/>
          <w:szCs w:val="32"/>
          <w:highlight w:val="none"/>
          <w:lang w:val="en-US" w:eastAsia="zh-CN" w:bidi="ar-SA"/>
        </w:rPr>
        <w:t>4</w:t>
      </w:r>
      <w:r>
        <w:rPr>
          <w:rFonts w:hint="eastAsia" w:ascii="Times New Roman" w:hAnsi="Times New Roman" w:eastAsia="仿宋_GB2312" w:cs="仿宋_GB2312"/>
          <w:b/>
          <w:bCs/>
          <w:color w:val="auto"/>
          <w:kern w:val="2"/>
          <w:sz w:val="32"/>
          <w:szCs w:val="32"/>
          <w:highlight w:val="none"/>
          <w:lang w:val="en-US" w:eastAsia="zh-CN" w:bidi="ar-SA"/>
        </w:rPr>
        <w:t>年政府收支分类科目</w:t>
      </w:r>
      <w:r>
        <w:rPr>
          <w:rFonts w:hint="eastAsia"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b/>
          <w:bCs/>
          <w:color w:val="auto"/>
          <w:kern w:val="2"/>
          <w:sz w:val="32"/>
          <w:szCs w:val="32"/>
          <w:highlight w:val="none"/>
          <w:lang w:val="en-US" w:eastAsia="zh-CN" w:bidi="ar-SA"/>
        </w:rPr>
        <w:t>增减内容）</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27.基本支出：指为保障机构正常运转、完成日常工作任务而发生的人员支出和公用支出。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 xml:space="preserve">28.项目支出：指在基本支出之外为完成特定行政任务和事业发展目标所发生的支出。 </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29.经营支出：指事业单位在专业业务活动及其辅助活动之外开展非独立核算经营活动发生的支出。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30.</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三公</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31.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32.……</w:t>
      </w:r>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（注：名词解释部分请根据各部门实际列支情况罗列，并根据本部门职责职能增减名词解释内容）</w:t>
      </w:r>
    </w:p>
    <w:p>
      <w:pPr>
        <w:spacing w:line="600" w:lineRule="exact"/>
        <w:jc w:val="center"/>
        <w:rPr>
          <w:rStyle w:val="28"/>
          <w:rFonts w:hint="eastAsia" w:ascii="Times New Roman" w:hAnsi="Times New Roman" w:eastAsia="黑体"/>
          <w:b w:val="0"/>
          <w:color w:val="auto"/>
          <w:highlight w:val="none"/>
          <w:lang w:eastAsia="zh-CN"/>
        </w:rPr>
      </w:pPr>
      <w:bookmarkStart w:id="65" w:name="_Toc15377226"/>
      <w:r>
        <w:rPr>
          <w:rFonts w:hint="eastAsia" w:ascii="Times New Roman" w:hAnsi="Times New Roman" w:eastAsia="仿宋_GB2312" w:cs="仿宋_GB2312"/>
          <w:color w:val="auto"/>
          <w:kern w:val="2"/>
          <w:sz w:val="32"/>
          <w:szCs w:val="32"/>
          <w:highlight w:val="none"/>
          <w:lang w:val="en-US" w:eastAsia="zh-CN" w:bidi="ar-SA"/>
        </w:rPr>
        <w:br w:type="page"/>
      </w:r>
      <w:bookmarkStart w:id="66" w:name="_Toc15396614"/>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66"/>
    </w:p>
    <w:p>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黑体"/>
          <w:color w:val="FF0000"/>
          <w:sz w:val="32"/>
          <w:szCs w:val="32"/>
          <w:highlight w:val="none"/>
        </w:rPr>
      </w:pPr>
    </w:p>
    <w:p>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方正小标宋简体"/>
          <w:color w:val="auto"/>
          <w:sz w:val="44"/>
          <w:szCs w:val="44"/>
          <w:highlight w:val="none"/>
          <w:lang w:val="en-US" w:eastAsia="zh-CN"/>
        </w:rPr>
      </w:pPr>
      <w:r>
        <w:rPr>
          <w:rFonts w:hint="eastAsia" w:ascii="Times New Roman" w:hAnsi="Times New Roman" w:eastAsia="黑体" w:cs="黑体"/>
          <w:color w:val="auto"/>
          <w:sz w:val="32"/>
          <w:szCs w:val="32"/>
          <w:highlight w:val="none"/>
        </w:rPr>
        <w:t>附件</w:t>
      </w:r>
      <w:r>
        <w:rPr>
          <w:rFonts w:hint="eastAsia" w:ascii="Times New Roman" w:hAnsi="Times New Roman" w:eastAsia="黑体" w:cs="黑体"/>
          <w:color w:val="auto"/>
          <w:sz w:val="32"/>
          <w:szCs w:val="32"/>
          <w:highlight w:val="none"/>
          <w:lang w:val="en-US" w:eastAsia="zh-CN"/>
        </w:rPr>
        <w:t>1</w:t>
      </w:r>
    </w:p>
    <w:p>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p>
    <w:p>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r>
        <w:rPr>
          <w:rFonts w:hint="default" w:ascii="Times New Roman" w:hAnsi="Times New Roman" w:eastAsia="方正小标宋简体" w:cs="Times New Roman"/>
          <w:b w:val="0"/>
          <w:bCs/>
          <w:sz w:val="44"/>
          <w:szCs w:val="44"/>
          <w:highlight w:val="none"/>
          <w:shd w:val="clear" w:color="auto" w:fill="FFFFFF"/>
        </w:rPr>
        <w:t>部门</w:t>
      </w:r>
      <w:r>
        <w:rPr>
          <w:rFonts w:hint="default" w:ascii="Times New Roman" w:hAnsi="Times New Roman" w:eastAsia="方正小标宋简体" w:cs="Times New Roman"/>
          <w:b w:val="0"/>
          <w:bCs/>
          <w:sz w:val="44"/>
          <w:szCs w:val="44"/>
          <w:highlight w:val="none"/>
          <w:shd w:val="clear" w:color="auto" w:fill="FFFFFF"/>
          <w:lang w:eastAsia="zh-CN"/>
        </w:rPr>
        <w:t>预算</w:t>
      </w:r>
      <w:r>
        <w:rPr>
          <w:rFonts w:hint="default" w:ascii="Times New Roman" w:hAnsi="Times New Roman" w:eastAsia="方正小标宋简体" w:cs="Times New Roman"/>
          <w:b w:val="0"/>
          <w:bCs/>
          <w:sz w:val="44"/>
          <w:szCs w:val="44"/>
          <w:highlight w:val="none"/>
          <w:shd w:val="clear" w:color="auto" w:fill="FFFFFF"/>
        </w:rPr>
        <w:t>绩效</w:t>
      </w:r>
      <w:r>
        <w:rPr>
          <w:rFonts w:hint="eastAsia" w:ascii="Times New Roman" w:hAnsi="Times New Roman" w:eastAsia="方正小标宋简体" w:cs="Times New Roman"/>
          <w:b w:val="0"/>
          <w:bCs/>
          <w:sz w:val="44"/>
          <w:szCs w:val="44"/>
          <w:highlight w:val="none"/>
          <w:shd w:val="clear" w:color="auto" w:fill="FFFFFF"/>
          <w:lang w:eastAsia="zh-CN"/>
        </w:rPr>
        <w:t>评价</w:t>
      </w:r>
      <w:r>
        <w:rPr>
          <w:rFonts w:hint="default" w:ascii="Times New Roman" w:hAnsi="Times New Roman" w:eastAsia="方正小标宋简体" w:cs="Times New Roman"/>
          <w:b w:val="0"/>
          <w:bCs/>
          <w:sz w:val="44"/>
          <w:szCs w:val="44"/>
          <w:highlight w:val="none"/>
          <w:shd w:val="clear" w:color="auto" w:fill="FFFFFF"/>
        </w:rPr>
        <w:t>报告范本</w:t>
      </w:r>
    </w:p>
    <w:p>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仿宋_GB2312" w:cs="Times New Roman"/>
          <w:sz w:val="32"/>
          <w:szCs w:val="32"/>
          <w:highlight w:val="none"/>
          <w:shd w:val="clear" w:color="auto" w:fill="FFFFFF"/>
        </w:rPr>
      </w:pPr>
      <w:r>
        <w:rPr>
          <w:rFonts w:hint="default" w:ascii="Times New Roman" w:hAnsi="Times New Roman" w:eastAsia="仿宋_GB2312" w:cs="Times New Roman"/>
          <w:sz w:val="32"/>
          <w:szCs w:val="32"/>
          <w:highlight w:val="none"/>
          <w:shd w:val="clear" w:color="auto" w:fill="FFFFFF"/>
        </w:rPr>
        <w:t>（报告范围包括机关和下属单位）</w:t>
      </w:r>
    </w:p>
    <w:p>
      <w:pPr>
        <w:keepNext w:val="0"/>
        <w:keepLines w:val="0"/>
        <w:pageBreakBefore w:val="0"/>
        <w:widowControl/>
        <w:kinsoku/>
        <w:wordWrap/>
        <w:overflowPunct/>
        <w:topLinePunct w:val="0"/>
        <w:autoSpaceDE/>
        <w:autoSpaceDN/>
        <w:bidi w:val="0"/>
        <w:adjustRightInd w:val="0"/>
        <w:snapToGrid w:val="0"/>
        <w:spacing w:line="578" w:lineRule="exact"/>
        <w:ind w:firstLine="480" w:firstLineChars="200"/>
        <w:contextualSpacing/>
        <w:jc w:val="left"/>
        <w:textAlignment w:val="auto"/>
        <w:outlineLvl w:val="9"/>
        <w:rPr>
          <w:rFonts w:hint="default" w:ascii="Times New Roman" w:hAnsi="Times New Roman" w:eastAsia="黑体" w:cs="Times New Roman"/>
          <w:color w:val="000000"/>
          <w:kern w:val="0"/>
          <w:sz w:val="24"/>
          <w:szCs w:val="32"/>
          <w:highlight w:val="none"/>
          <w:shd w:val="clear" w:color="auto" w:fill="FFFFFF"/>
        </w:rPr>
      </w:pP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lang w:val="zh-CN"/>
        </w:rPr>
      </w:pPr>
      <w:r>
        <w:rPr>
          <w:rFonts w:hint="eastAsia" w:ascii="Times New Roman" w:hAnsi="Times New Roman" w:eastAsia="黑体" w:cs="Times New Roman"/>
          <w:color w:val="000000"/>
          <w:kern w:val="0"/>
          <w:sz w:val="32"/>
          <w:szCs w:val="32"/>
          <w:highlight w:val="none"/>
          <w:shd w:val="clear" w:color="auto" w:fill="FFFFFF"/>
          <w:lang w:val="zh-CN"/>
        </w:rPr>
        <w:t>一、</w:t>
      </w:r>
      <w:r>
        <w:rPr>
          <w:rFonts w:hint="default" w:ascii="Times New Roman" w:hAnsi="Times New Roman" w:eastAsia="黑体" w:cs="Times New Roman"/>
          <w:color w:val="000000"/>
          <w:kern w:val="0"/>
          <w:sz w:val="32"/>
          <w:szCs w:val="32"/>
          <w:highlight w:val="none"/>
          <w:shd w:val="clear" w:color="auto" w:fill="FFFFFF"/>
          <w:lang w:val="zh-CN"/>
        </w:rPr>
        <w:t>部门（单位）基本情况</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cs="Times New Roman"/>
          <w:szCs w:val="32"/>
        </w:rPr>
      </w:pPr>
      <w:r>
        <w:rPr>
          <w:rFonts w:hint="eastAsia" w:ascii="Times New Roman" w:hAnsi="Times New Roman" w:eastAsia="楷体_GB2312" w:cs="楷体_GB2312"/>
          <w:b/>
          <w:color w:val="auto"/>
          <w:sz w:val="32"/>
          <w:szCs w:val="32"/>
          <w:highlight w:val="none"/>
          <w:lang w:val="zh-CN"/>
        </w:rPr>
        <w:t>（一）</w:t>
      </w:r>
      <w:r>
        <w:rPr>
          <w:rFonts w:hint="default" w:ascii="Times New Roman" w:hAnsi="Times New Roman" w:eastAsia="楷体_GB2312" w:cs="楷体_GB2312"/>
          <w:b/>
          <w:color w:val="auto"/>
          <w:sz w:val="32"/>
          <w:szCs w:val="32"/>
          <w:highlight w:val="none"/>
          <w:lang w:val="zh-CN"/>
        </w:rPr>
        <w:t>机构组成。</w:t>
      </w:r>
      <w:r>
        <w:rPr>
          <w:rFonts w:hint="eastAsia" w:ascii="Times New Roman" w:hAnsi="Times New Roman" w:eastAsia="仿宋_GB2312" w:cs="仿宋_GB2312"/>
          <w:color w:val="auto"/>
          <w:kern w:val="2"/>
          <w:sz w:val="32"/>
          <w:szCs w:val="32"/>
          <w:highlight w:val="none"/>
          <w:lang w:val="en-US" w:eastAsia="zh-CN" w:bidi="ar-SA"/>
        </w:rPr>
        <w:t>***内设</w:t>
      </w:r>
      <w:r>
        <w:rPr>
          <w:rFonts w:hint="default" w:ascii="Times New Roman" w:hAnsi="Times New Roman" w:eastAsia="仿宋_GB2312" w:cs="仿宋_GB2312"/>
          <w:color w:val="auto"/>
          <w:kern w:val="2"/>
          <w:sz w:val="32"/>
          <w:szCs w:val="32"/>
          <w:highlight w:val="none"/>
          <w:lang w:val="en-US" w:eastAsia="zh-CN" w:bidi="ar-SA"/>
        </w:rPr>
        <w:t>处室</w:t>
      </w:r>
      <w:r>
        <w:rPr>
          <w:rFonts w:hint="eastAsia" w:ascii="Times New Roman" w:hAnsi="Times New Roman" w:eastAsia="仿宋_GB2312" w:cs="仿宋_GB2312"/>
          <w:color w:val="auto"/>
          <w:kern w:val="2"/>
          <w:sz w:val="32"/>
          <w:szCs w:val="32"/>
          <w:highlight w:val="none"/>
          <w:lang w:val="en-US" w:eastAsia="zh-CN" w:bidi="ar-SA"/>
        </w:rPr>
        <w:t>及下属单位情况</w:t>
      </w:r>
      <w:r>
        <w:rPr>
          <w:rFonts w:hint="default" w:ascii="Times New Roman" w:hAnsi="Times New Roman" w:eastAsia="仿宋_GB2312" w:cs="仿宋_GB2312"/>
          <w:color w:val="auto"/>
          <w:kern w:val="2"/>
          <w:sz w:val="32"/>
          <w:szCs w:val="32"/>
          <w:highlight w:val="none"/>
          <w:lang w:val="en-US" w:eastAsia="zh-CN" w:bidi="ar-SA"/>
        </w:rPr>
        <w:t>。</w:t>
      </w:r>
    </w:p>
    <w:p>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Cs w:val="32"/>
          <w:highlight w:val="none"/>
          <w:shd w:val="clear" w:color="auto" w:fill="FFFFFF"/>
          <w:lang w:val="zh-CN"/>
        </w:rPr>
      </w:pPr>
      <w:r>
        <w:rPr>
          <w:rFonts w:hint="default" w:ascii="Times New Roman" w:hAnsi="Times New Roman" w:eastAsia="楷体_GB2312" w:cs="楷体_GB2312"/>
          <w:b/>
          <w:color w:val="auto"/>
          <w:sz w:val="32"/>
          <w:szCs w:val="32"/>
          <w:highlight w:val="none"/>
          <w:lang w:val="zh-CN"/>
        </w:rPr>
        <w:t>（二）机构职能</w:t>
      </w:r>
      <w:r>
        <w:rPr>
          <w:rFonts w:hint="eastAsia" w:ascii="Times New Roman" w:hAnsi="Times New Roman" w:eastAsia="楷体_GB2312" w:cs="楷体_GB2312"/>
          <w:b/>
          <w:color w:val="auto"/>
          <w:sz w:val="32"/>
          <w:szCs w:val="32"/>
          <w:highlight w:val="none"/>
          <w:lang w:val="zh-CN"/>
        </w:rPr>
        <w:t>。</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Times New Roman"/>
          <w:sz w:val="32"/>
          <w:szCs w:val="32"/>
          <w:lang w:val="en-US" w:eastAsia="zh-CN"/>
        </w:rPr>
        <w:t>职责和功能。</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cs="Times New Roman"/>
          <w:szCs w:val="32"/>
        </w:rPr>
      </w:pP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三</w:t>
      </w:r>
      <w:r>
        <w:rPr>
          <w:rFonts w:hint="default" w:ascii="Times New Roman" w:hAnsi="Times New Roman" w:eastAsia="楷体_GB2312" w:cs="Times New Roman"/>
          <w:b/>
          <w:bCs/>
          <w:color w:val="000000"/>
          <w:kern w:val="0"/>
          <w:sz w:val="32"/>
          <w:szCs w:val="32"/>
          <w:highlight w:val="none"/>
          <w:shd w:val="clear" w:color="auto" w:fill="FFFFFF"/>
          <w:lang w:val="zh-CN"/>
        </w:rPr>
        <w:t>）人员概况</w:t>
      </w:r>
      <w:r>
        <w:rPr>
          <w:rFonts w:hint="eastAsia" w:ascii="Times New Roman" w:hAnsi="Times New Roman" w:eastAsia="楷体_GB2312" w:cs="Times New Roman"/>
          <w:b/>
          <w:bCs/>
          <w:color w:val="000000"/>
          <w:kern w:val="0"/>
          <w:sz w:val="32"/>
          <w:szCs w:val="32"/>
          <w:highlight w:val="none"/>
          <w:shd w:val="clear" w:color="auto" w:fill="FFFFFF"/>
          <w:lang w:val="zh-CN"/>
        </w:rPr>
        <w:t>。</w:t>
      </w:r>
      <w:r>
        <w:rPr>
          <w:rFonts w:hint="default" w:ascii="Times New Roman" w:hAnsi="Times New Roman" w:eastAsia="仿宋_GB2312" w:cs="Times New Roman"/>
          <w:sz w:val="32"/>
          <w:szCs w:val="32"/>
          <w:lang w:val="en-US" w:eastAsia="zh-CN"/>
        </w:rPr>
        <w:t>截至202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年末，</w:t>
      </w:r>
      <w:r>
        <w:rPr>
          <w:rFonts w:hint="eastAsia" w:ascii="Times New Roman" w:hAnsi="Times New Roman" w:eastAsia="仿宋_GB2312" w:cs="仿宋_GB2312"/>
          <w:color w:val="auto"/>
          <w:kern w:val="2"/>
          <w:sz w:val="32"/>
          <w:szCs w:val="32"/>
          <w:highlight w:val="none"/>
          <w:lang w:val="en-US" w:eastAsia="zh-CN" w:bidi="ar-SA"/>
        </w:rPr>
        <w:t>***</w:t>
      </w:r>
      <w:r>
        <w:rPr>
          <w:rFonts w:hint="default" w:ascii="Times New Roman" w:hAnsi="Times New Roman" w:eastAsia="仿宋_GB2312" w:cs="Times New Roman"/>
          <w:sz w:val="32"/>
          <w:szCs w:val="32"/>
          <w:lang w:val="en-US" w:eastAsia="zh-CN"/>
        </w:rPr>
        <w:t>及下属单位编制</w:t>
      </w:r>
      <w:r>
        <w:rPr>
          <w:rFonts w:hint="eastAsia" w:ascii="Times New Roman" w:hAnsi="Times New Roman" w:eastAsia="仿宋_GB2312" w:cs="Times New Roman"/>
          <w:sz w:val="32"/>
          <w:szCs w:val="32"/>
          <w:lang w:val="en-US" w:eastAsia="zh-CN"/>
        </w:rPr>
        <w:t>情况、</w:t>
      </w:r>
      <w:r>
        <w:rPr>
          <w:rFonts w:hint="default" w:ascii="Times New Roman" w:hAnsi="Times New Roman" w:eastAsia="仿宋_GB2312" w:cs="Times New Roman"/>
          <w:sz w:val="32"/>
          <w:szCs w:val="32"/>
          <w:lang w:val="en-US" w:eastAsia="zh-CN"/>
        </w:rPr>
        <w:t>年末实有人数</w:t>
      </w:r>
      <w:r>
        <w:rPr>
          <w:rFonts w:hint="eastAsia" w:ascii="Times New Roman" w:hAnsi="Times New Roman" w:eastAsia="仿宋_GB2312" w:cs="Times New Roman"/>
          <w:sz w:val="32"/>
          <w:szCs w:val="32"/>
          <w:lang w:val="en-US" w:eastAsia="zh-CN"/>
        </w:rPr>
        <w:t>情况。</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lang w:val="zh-CN" w:eastAsia="zh-CN"/>
        </w:rPr>
      </w:pPr>
      <w:r>
        <w:rPr>
          <w:rFonts w:hint="default" w:ascii="Times New Roman" w:hAnsi="Times New Roman" w:eastAsia="黑体" w:cs="Times New Roman"/>
          <w:color w:val="000000"/>
          <w:kern w:val="0"/>
          <w:sz w:val="32"/>
          <w:szCs w:val="32"/>
          <w:highlight w:val="none"/>
          <w:shd w:val="clear" w:color="auto" w:fill="FFFFFF"/>
          <w:lang w:val="zh-CN" w:eastAsia="zh-CN"/>
        </w:rPr>
        <w:t>二、部门资金收支情况</w:t>
      </w:r>
    </w:p>
    <w:p>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Cs w:val="32"/>
          <w:highlight w:val="none"/>
          <w:shd w:val="clear" w:color="auto" w:fill="FFFFFF"/>
          <w:lang w:val="en-US"/>
        </w:rPr>
      </w:pPr>
      <w:r>
        <w:rPr>
          <w:rFonts w:hint="default" w:ascii="Times New Roman" w:hAnsi="Times New Roman" w:eastAsia="楷体_GB2312" w:cs="Times New Roman"/>
          <w:b/>
          <w:bCs/>
          <w:color w:val="000000"/>
          <w:kern w:val="0"/>
          <w:sz w:val="32"/>
          <w:szCs w:val="32"/>
          <w:highlight w:val="none"/>
          <w:shd w:val="clear" w:color="auto" w:fill="FFFFFF"/>
          <w:lang w:val="zh-CN"/>
        </w:rPr>
        <w:t>（一）</w:t>
      </w:r>
      <w:r>
        <w:rPr>
          <w:rFonts w:hint="eastAsia" w:ascii="Times New Roman" w:hAnsi="Times New Roman" w:eastAsia="楷体_GB2312" w:cs="Times New Roman"/>
          <w:b/>
          <w:bCs/>
          <w:color w:val="000000"/>
          <w:kern w:val="0"/>
          <w:sz w:val="32"/>
          <w:szCs w:val="32"/>
          <w:highlight w:val="none"/>
          <w:shd w:val="clear" w:color="auto" w:fill="FFFFFF"/>
          <w:lang w:val="zh-CN"/>
        </w:rPr>
        <w:t>收入情况</w:t>
      </w: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Times New Roman"/>
          <w:sz w:val="32"/>
          <w:szCs w:val="32"/>
          <w:lang w:val="en-US" w:eastAsia="zh-CN"/>
        </w:rPr>
        <w:t>2024年年初预算收入情况、决算报表收入情况。</w:t>
      </w:r>
    </w:p>
    <w:p>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cs="Times New Roman"/>
          <w:szCs w:val="32"/>
          <w:lang w:val="zh-CN" w:eastAsia="zh-CN"/>
        </w:rPr>
      </w:pP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二</w:t>
      </w: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支出情况</w:t>
      </w: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Times New Roman"/>
          <w:sz w:val="32"/>
          <w:szCs w:val="32"/>
          <w:lang w:val="en-US" w:eastAsia="zh-CN"/>
        </w:rPr>
        <w:t>2024年年初预算支出情况、决算报表支出情况。</w:t>
      </w:r>
    </w:p>
    <w:p>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仿宋_GB2312" w:cs="Times New Roman"/>
          <w:b w:val="0"/>
          <w:bCs w:val="0"/>
          <w:color w:val="000000"/>
          <w:kern w:val="0"/>
          <w:szCs w:val="32"/>
          <w:highlight w:val="none"/>
          <w:shd w:val="clear" w:color="auto" w:fill="FFFFFF"/>
          <w:lang w:val="zh-CN" w:eastAsia="zh-CN"/>
        </w:rPr>
      </w:pP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三</w:t>
      </w:r>
      <w:r>
        <w:rPr>
          <w:rFonts w:hint="default" w:ascii="Times New Roman" w:hAnsi="Times New Roman" w:eastAsia="楷体_GB2312" w:cs="Times New Roman"/>
          <w:b/>
          <w:bCs/>
          <w:color w:val="000000"/>
          <w:kern w:val="0"/>
          <w:sz w:val="32"/>
          <w:szCs w:val="32"/>
          <w:highlight w:val="none"/>
          <w:shd w:val="clear" w:color="auto" w:fill="FFFFFF"/>
          <w:lang w:val="zh-CN"/>
        </w:rPr>
        <w:t>）结余分配和结转结余情况</w:t>
      </w:r>
      <w:r>
        <w:rPr>
          <w:rFonts w:hint="eastAsia" w:ascii="Times New Roman" w:hAnsi="Times New Roman" w:eastAsia="楷体_GB2312" w:cs="Times New Roman"/>
          <w:b/>
          <w:bCs/>
          <w:color w:val="000000"/>
          <w:kern w:val="0"/>
          <w:sz w:val="32"/>
          <w:szCs w:val="32"/>
          <w:highlight w:val="none"/>
          <w:shd w:val="clear" w:color="auto" w:fill="FFFFFF"/>
          <w:lang w:val="zh-CN" w:eastAsia="zh-CN"/>
        </w:rPr>
        <w:t>。</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Times New Roman"/>
          <w:sz w:val="32"/>
          <w:szCs w:val="32"/>
          <w:lang w:val="en-US" w:eastAsia="zh-CN"/>
        </w:rPr>
        <w:t>2024年决算报表</w:t>
      </w:r>
      <w:r>
        <w:rPr>
          <w:rFonts w:hint="default" w:ascii="Times New Roman" w:hAnsi="Times New Roman" w:eastAsia="仿宋_GB2312" w:cs="Times New Roman"/>
          <w:sz w:val="32"/>
          <w:szCs w:val="32"/>
          <w:lang w:val="en-US" w:eastAsia="zh-CN"/>
        </w:rPr>
        <w:t>结转结余</w:t>
      </w:r>
      <w:r>
        <w:rPr>
          <w:rFonts w:hint="eastAsia" w:ascii="Times New Roman" w:hAnsi="Times New Roman" w:eastAsia="仿宋_GB2312" w:cs="Times New Roman"/>
          <w:sz w:val="32"/>
          <w:szCs w:val="32"/>
          <w:lang w:val="en-US" w:eastAsia="zh-CN"/>
        </w:rPr>
        <w:t>情况</w:t>
      </w:r>
      <w:r>
        <w:rPr>
          <w:rFonts w:hint="default" w:ascii="Times New Roman" w:hAnsi="Times New Roman" w:eastAsia="仿宋_GB2312" w:cs="Times New Roman"/>
          <w:sz w:val="32"/>
          <w:szCs w:val="32"/>
          <w:lang w:val="en-US"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lang w:val="zh-CN" w:eastAsia="zh-CN"/>
        </w:rPr>
      </w:pPr>
      <w:r>
        <w:rPr>
          <w:rFonts w:hint="default" w:ascii="Times New Roman" w:hAnsi="Times New Roman" w:eastAsia="黑体" w:cs="Times New Roman"/>
          <w:color w:val="000000"/>
          <w:kern w:val="0"/>
          <w:sz w:val="32"/>
          <w:szCs w:val="32"/>
          <w:highlight w:val="none"/>
          <w:shd w:val="clear" w:color="auto" w:fill="FFFFFF"/>
          <w:lang w:val="zh-CN" w:eastAsia="zh-CN"/>
        </w:rPr>
        <w:t>三、部门预算绩效分析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仿宋_GB2312" w:cs="仿宋_GB2312"/>
          <w:color w:val="auto"/>
          <w:kern w:val="2"/>
          <w:sz w:val="32"/>
          <w:szCs w:val="32"/>
          <w:highlight w:val="none"/>
          <w:lang w:val="zh-CN" w:eastAsia="zh-CN" w:bidi="ar-SA"/>
        </w:rPr>
      </w:pPr>
      <w:r>
        <w:rPr>
          <w:rFonts w:hint="default" w:ascii="Times New Roman" w:hAnsi="Times New Roman" w:eastAsia="楷体_GB2312" w:cs="Times New Roman"/>
          <w:b/>
          <w:bCs/>
          <w:color w:val="000000"/>
          <w:kern w:val="0"/>
          <w:sz w:val="32"/>
          <w:szCs w:val="32"/>
          <w:highlight w:val="none"/>
          <w:shd w:val="clear" w:color="auto" w:fill="FFFFFF"/>
          <w:lang w:val="zh-CN"/>
        </w:rPr>
        <w:t>（一）</w:t>
      </w:r>
      <w:r>
        <w:rPr>
          <w:rFonts w:hint="eastAsia" w:ascii="Times New Roman" w:hAnsi="Times New Roman" w:eastAsia="楷体_GB2312" w:cs="Times New Roman"/>
          <w:b/>
          <w:bCs/>
          <w:color w:val="000000"/>
          <w:kern w:val="0"/>
          <w:sz w:val="32"/>
          <w:szCs w:val="32"/>
          <w:highlight w:val="none"/>
          <w:shd w:val="clear" w:color="auto" w:fill="FFFFFF"/>
          <w:lang w:val="zh-CN"/>
        </w:rPr>
        <w:t>部门预算</w:t>
      </w:r>
      <w:r>
        <w:rPr>
          <w:rFonts w:hint="default" w:ascii="Times New Roman" w:hAnsi="Times New Roman" w:eastAsia="楷体_GB2312" w:cs="Times New Roman"/>
          <w:b/>
          <w:bCs/>
          <w:color w:val="000000"/>
          <w:kern w:val="0"/>
          <w:sz w:val="32"/>
          <w:szCs w:val="32"/>
          <w:highlight w:val="none"/>
          <w:shd w:val="clear" w:color="auto" w:fill="FFFFFF"/>
          <w:lang w:val="zh-CN"/>
        </w:rPr>
        <w:t>总体绩效分析。</w:t>
      </w:r>
      <w:r>
        <w:rPr>
          <w:rFonts w:hint="default" w:ascii="Times New Roman" w:hAnsi="Times New Roman" w:eastAsia="仿宋_GB2312" w:cs="仿宋_GB2312"/>
          <w:color w:val="auto"/>
          <w:kern w:val="2"/>
          <w:sz w:val="32"/>
          <w:szCs w:val="32"/>
          <w:highlight w:val="none"/>
          <w:lang w:val="zh-CN" w:eastAsia="zh-CN" w:bidi="ar-SA"/>
        </w:rPr>
        <w:t>根据部门预算绩效评价指标体系</w:t>
      </w:r>
      <w:r>
        <w:rPr>
          <w:rFonts w:hint="eastAsia" w:ascii="Times New Roman" w:hAnsi="Times New Roman" w:eastAsia="仿宋_GB2312" w:cs="仿宋_GB2312"/>
          <w:color w:val="auto"/>
          <w:kern w:val="2"/>
          <w:sz w:val="32"/>
          <w:szCs w:val="32"/>
          <w:highlight w:val="none"/>
          <w:lang w:val="zh-CN" w:eastAsia="zh-CN" w:bidi="ar-SA"/>
        </w:rPr>
        <w:t>“</w:t>
      </w:r>
      <w:r>
        <w:rPr>
          <w:rFonts w:hint="default" w:ascii="Times New Roman" w:hAnsi="Times New Roman" w:eastAsia="仿宋_GB2312" w:cs="仿宋_GB2312"/>
          <w:color w:val="auto"/>
          <w:kern w:val="2"/>
          <w:sz w:val="32"/>
          <w:szCs w:val="32"/>
          <w:highlight w:val="none"/>
          <w:lang w:val="zh-CN" w:eastAsia="zh-CN" w:bidi="ar-SA"/>
        </w:rPr>
        <w:t>总体绩效</w:t>
      </w:r>
      <w:r>
        <w:rPr>
          <w:rFonts w:hint="eastAsia" w:ascii="Times New Roman" w:hAnsi="Times New Roman" w:eastAsia="仿宋_GB2312" w:cs="仿宋_GB2312"/>
          <w:color w:val="auto"/>
          <w:kern w:val="2"/>
          <w:sz w:val="32"/>
          <w:szCs w:val="32"/>
          <w:highlight w:val="none"/>
          <w:lang w:val="zh-CN" w:eastAsia="zh-CN" w:bidi="ar-SA"/>
        </w:rPr>
        <w:t>”</w:t>
      </w:r>
      <w:r>
        <w:rPr>
          <w:rFonts w:hint="default" w:ascii="Times New Roman" w:hAnsi="Times New Roman" w:eastAsia="仿宋_GB2312" w:cs="仿宋_GB2312"/>
          <w:color w:val="auto"/>
          <w:kern w:val="2"/>
          <w:sz w:val="32"/>
          <w:szCs w:val="32"/>
          <w:highlight w:val="none"/>
          <w:lang w:val="zh-CN" w:eastAsia="zh-CN" w:bidi="ar-SA"/>
        </w:rPr>
        <w:t>涉及</w:t>
      </w:r>
      <w:r>
        <w:rPr>
          <w:rFonts w:hint="eastAsia" w:ascii="Times New Roman" w:hAnsi="Times New Roman" w:eastAsia="仿宋_GB2312" w:cs="仿宋_GB2312"/>
          <w:color w:val="auto"/>
          <w:kern w:val="2"/>
          <w:sz w:val="32"/>
          <w:szCs w:val="32"/>
          <w:highlight w:val="none"/>
          <w:lang w:val="zh-CN" w:eastAsia="zh-CN" w:bidi="ar-SA"/>
        </w:rPr>
        <w:t>二、三级</w:t>
      </w:r>
      <w:r>
        <w:rPr>
          <w:rFonts w:hint="default" w:ascii="Times New Roman" w:hAnsi="Times New Roman" w:eastAsia="仿宋_GB2312" w:cs="仿宋_GB2312"/>
          <w:color w:val="auto"/>
          <w:kern w:val="2"/>
          <w:sz w:val="32"/>
          <w:szCs w:val="32"/>
          <w:highlight w:val="none"/>
          <w:lang w:val="zh-CN" w:eastAsia="zh-CN" w:bidi="ar-SA"/>
        </w:rPr>
        <w:t>指标进行</w:t>
      </w:r>
      <w:r>
        <w:rPr>
          <w:rFonts w:hint="eastAsia" w:ascii="Times New Roman" w:hAnsi="Times New Roman" w:eastAsia="仿宋_GB2312" w:cs="仿宋_GB2312"/>
          <w:color w:val="auto"/>
          <w:kern w:val="2"/>
          <w:sz w:val="32"/>
          <w:szCs w:val="32"/>
          <w:highlight w:val="none"/>
          <w:lang w:val="zh-CN" w:eastAsia="zh-CN" w:bidi="ar-SA"/>
        </w:rPr>
        <w:t>逐项</w:t>
      </w:r>
      <w:r>
        <w:rPr>
          <w:rFonts w:hint="default" w:ascii="Times New Roman" w:hAnsi="Times New Roman" w:eastAsia="仿宋_GB2312" w:cs="仿宋_GB2312"/>
          <w:color w:val="auto"/>
          <w:kern w:val="2"/>
          <w:sz w:val="32"/>
          <w:szCs w:val="32"/>
          <w:highlight w:val="none"/>
          <w:lang w:val="zh-CN" w:eastAsia="zh-CN" w:bidi="ar-SA"/>
        </w:rPr>
        <w:t>绩效分析</w:t>
      </w:r>
      <w:r>
        <w:rPr>
          <w:rFonts w:hint="eastAsia" w:ascii="Times New Roman" w:hAnsi="Times New Roman" w:eastAsia="仿宋_GB2312" w:cs="仿宋_GB2312"/>
          <w:color w:val="auto"/>
          <w:kern w:val="2"/>
          <w:sz w:val="32"/>
          <w:szCs w:val="32"/>
          <w:highlight w:val="none"/>
          <w:lang w:val="zh-CN" w:eastAsia="zh-CN" w:bidi="ar-SA"/>
        </w:rPr>
        <w:t>并评分</w:t>
      </w:r>
      <w:r>
        <w:rPr>
          <w:rFonts w:hint="default" w:ascii="Times New Roman" w:hAnsi="Times New Roman" w:eastAsia="仿宋_GB2312" w:cs="仿宋_GB2312"/>
          <w:color w:val="auto"/>
          <w:kern w:val="2"/>
          <w:sz w:val="32"/>
          <w:szCs w:val="32"/>
          <w:highlight w:val="none"/>
          <w:lang w:val="zh-CN" w:eastAsia="zh-CN" w:bidi="ar-SA"/>
        </w:rPr>
        <w:t>，依次包括履职效能、预算管理、财务管理、资产管理、采购管理等情况。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履职效能。部门整体绩效目标中选定3-5个核心职能目标，对职能目标完成效果情况绩效分析。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2.</w:t>
      </w:r>
      <w:r>
        <w:rPr>
          <w:rFonts w:hint="default" w:ascii="Times New Roman" w:hAnsi="Times New Roman" w:eastAsia="仿宋_GB2312" w:cs="仿宋_GB2312"/>
          <w:color w:val="auto"/>
          <w:kern w:val="2"/>
          <w:sz w:val="32"/>
          <w:szCs w:val="32"/>
          <w:highlight w:val="none"/>
          <w:lang w:val="zh-CN" w:eastAsia="zh-CN" w:bidi="ar-SA"/>
        </w:rPr>
        <w:t>预算管理</w:t>
      </w:r>
      <w:r>
        <w:rPr>
          <w:rFonts w:hint="eastAsia" w:ascii="Times New Roman" w:hAnsi="Times New Roman" w:eastAsia="仿宋_GB2312" w:cs="仿宋_GB2312"/>
          <w:color w:val="auto"/>
          <w:kern w:val="2"/>
          <w:sz w:val="32"/>
          <w:szCs w:val="32"/>
          <w:highlight w:val="none"/>
          <w:lang w:val="zh-CN" w:eastAsia="zh-CN" w:bidi="ar-SA"/>
        </w:rPr>
        <w:t>。围绕预算编制质量、单位收入统筹、支出执行进度、预算年终结余、严控一般性支出</w:t>
      </w:r>
      <w:r>
        <w:rPr>
          <w:rFonts w:hint="default" w:ascii="Times New Roman" w:hAnsi="Times New Roman" w:eastAsia="仿宋_GB2312" w:cs="仿宋_GB2312"/>
          <w:color w:val="auto"/>
          <w:kern w:val="2"/>
          <w:sz w:val="32"/>
          <w:szCs w:val="32"/>
          <w:highlight w:val="none"/>
          <w:lang w:val="zh-CN" w:eastAsia="zh-CN" w:bidi="ar-SA"/>
        </w:rPr>
        <w:t>进行绩效分析</w:t>
      </w:r>
      <w:r>
        <w:rPr>
          <w:rFonts w:hint="eastAsia" w:ascii="Times New Roman" w:hAnsi="Times New Roman" w:eastAsia="仿宋_GB2312" w:cs="仿宋_GB2312"/>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3.</w:t>
      </w:r>
      <w:r>
        <w:rPr>
          <w:rFonts w:hint="default" w:ascii="Times New Roman" w:hAnsi="Times New Roman" w:eastAsia="仿宋_GB2312" w:cs="仿宋_GB2312"/>
          <w:color w:val="auto"/>
          <w:kern w:val="2"/>
          <w:sz w:val="32"/>
          <w:szCs w:val="32"/>
          <w:highlight w:val="none"/>
          <w:lang w:val="zh-CN" w:eastAsia="zh-CN" w:bidi="ar-SA"/>
        </w:rPr>
        <w:t>财务管理</w:t>
      </w:r>
      <w:r>
        <w:rPr>
          <w:rFonts w:hint="eastAsia" w:ascii="Times New Roman" w:hAnsi="Times New Roman" w:eastAsia="仿宋_GB2312" w:cs="仿宋_GB2312"/>
          <w:color w:val="auto"/>
          <w:kern w:val="2"/>
          <w:sz w:val="32"/>
          <w:szCs w:val="32"/>
          <w:highlight w:val="none"/>
          <w:lang w:val="zh-CN" w:eastAsia="zh-CN" w:bidi="ar-SA"/>
        </w:rPr>
        <w:t>。围绕财务管理制度、财务岗位设置、资金使用规范</w:t>
      </w:r>
      <w:r>
        <w:rPr>
          <w:rFonts w:hint="default" w:ascii="Times New Roman" w:hAnsi="Times New Roman" w:eastAsia="仿宋_GB2312" w:cs="仿宋_GB2312"/>
          <w:color w:val="auto"/>
          <w:kern w:val="2"/>
          <w:sz w:val="32"/>
          <w:szCs w:val="32"/>
          <w:highlight w:val="none"/>
          <w:lang w:val="zh-CN" w:eastAsia="zh-CN" w:bidi="ar-SA"/>
        </w:rPr>
        <w:t>进行绩效分析</w:t>
      </w:r>
      <w:r>
        <w:rPr>
          <w:rFonts w:hint="eastAsia" w:ascii="Times New Roman" w:hAnsi="Times New Roman" w:eastAsia="仿宋_GB2312" w:cs="仿宋_GB2312"/>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4.</w:t>
      </w:r>
      <w:r>
        <w:rPr>
          <w:rFonts w:hint="default" w:ascii="Times New Roman" w:hAnsi="Times New Roman" w:eastAsia="仿宋_GB2312" w:cs="仿宋_GB2312"/>
          <w:color w:val="auto"/>
          <w:kern w:val="2"/>
          <w:sz w:val="32"/>
          <w:szCs w:val="32"/>
          <w:highlight w:val="none"/>
          <w:lang w:val="zh-CN" w:eastAsia="zh-CN" w:bidi="ar-SA"/>
        </w:rPr>
        <w:t>资产管理</w:t>
      </w:r>
      <w:r>
        <w:rPr>
          <w:rFonts w:hint="eastAsia" w:ascii="Times New Roman" w:hAnsi="Times New Roman" w:eastAsia="仿宋_GB2312" w:cs="仿宋_GB2312"/>
          <w:color w:val="auto"/>
          <w:kern w:val="2"/>
          <w:sz w:val="32"/>
          <w:szCs w:val="32"/>
          <w:highlight w:val="none"/>
          <w:lang w:val="zh-CN" w:eastAsia="zh-CN" w:bidi="ar-SA"/>
        </w:rPr>
        <w:t>。围绕人均资产变化率、资产利用率、资产盘活率</w:t>
      </w:r>
      <w:r>
        <w:rPr>
          <w:rFonts w:hint="default" w:ascii="Times New Roman" w:hAnsi="Times New Roman" w:eastAsia="仿宋_GB2312" w:cs="仿宋_GB2312"/>
          <w:color w:val="auto"/>
          <w:kern w:val="2"/>
          <w:sz w:val="32"/>
          <w:szCs w:val="32"/>
          <w:highlight w:val="none"/>
          <w:lang w:val="zh-CN" w:eastAsia="zh-CN" w:bidi="ar-SA"/>
        </w:rPr>
        <w:t>进行绩效分析</w:t>
      </w:r>
      <w:r>
        <w:rPr>
          <w:rFonts w:hint="eastAsia" w:ascii="Times New Roman" w:hAnsi="Times New Roman" w:eastAsia="仿宋_GB2312" w:cs="仿宋_GB2312"/>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5.</w:t>
      </w:r>
      <w:r>
        <w:rPr>
          <w:rFonts w:hint="default" w:ascii="Times New Roman" w:hAnsi="Times New Roman" w:eastAsia="仿宋_GB2312" w:cs="仿宋_GB2312"/>
          <w:color w:val="auto"/>
          <w:kern w:val="2"/>
          <w:sz w:val="32"/>
          <w:szCs w:val="32"/>
          <w:highlight w:val="none"/>
          <w:lang w:val="zh-CN" w:eastAsia="zh-CN" w:bidi="ar-SA"/>
        </w:rPr>
        <w:t>采购管理</w:t>
      </w:r>
      <w:r>
        <w:rPr>
          <w:rFonts w:hint="eastAsia" w:ascii="Times New Roman" w:hAnsi="Times New Roman" w:eastAsia="仿宋_GB2312" w:cs="仿宋_GB2312"/>
          <w:color w:val="auto"/>
          <w:kern w:val="2"/>
          <w:sz w:val="32"/>
          <w:szCs w:val="32"/>
          <w:highlight w:val="none"/>
          <w:lang w:val="zh-CN" w:eastAsia="zh-CN" w:bidi="ar-SA"/>
        </w:rPr>
        <w:t>。围绕支持中小企业发展、采购执行率</w:t>
      </w:r>
      <w:r>
        <w:rPr>
          <w:rFonts w:hint="default" w:ascii="Times New Roman" w:hAnsi="Times New Roman" w:eastAsia="仿宋_GB2312" w:cs="仿宋_GB2312"/>
          <w:color w:val="auto"/>
          <w:kern w:val="2"/>
          <w:sz w:val="32"/>
          <w:szCs w:val="32"/>
          <w:highlight w:val="none"/>
          <w:lang w:val="zh-CN" w:eastAsia="zh-CN" w:bidi="ar-SA"/>
        </w:rPr>
        <w:t>进行绩效分析</w:t>
      </w:r>
      <w:r>
        <w:rPr>
          <w:rFonts w:hint="eastAsia" w:ascii="Times New Roman" w:hAnsi="Times New Roman" w:eastAsia="仿宋_GB2312" w:cs="仿宋_GB2312"/>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3" w:firstLineChars="200"/>
        <w:contextualSpacing/>
        <w:jc w:val="both"/>
        <w:textAlignment w:val="auto"/>
        <w:outlineLvl w:val="9"/>
        <w:rPr>
          <w:rFonts w:hint="default" w:ascii="Times New Roman" w:hAnsi="Times New Roman" w:eastAsia="仿宋_GB2312" w:cs="仿宋_GB2312"/>
          <w:color w:val="auto"/>
          <w:kern w:val="2"/>
          <w:sz w:val="32"/>
          <w:szCs w:val="32"/>
          <w:highlight w:val="none"/>
          <w:lang w:val="en-US" w:eastAsia="zh-CN" w:bidi="ar-SA"/>
        </w:rPr>
      </w:pPr>
      <w:r>
        <w:rPr>
          <w:rFonts w:hint="default" w:ascii="Times New Roman" w:hAnsi="Times New Roman" w:eastAsia="楷体_GB2312" w:cs="Times New Roman"/>
          <w:b/>
          <w:bCs/>
          <w:color w:val="000000"/>
          <w:kern w:val="0"/>
          <w:sz w:val="32"/>
          <w:szCs w:val="32"/>
          <w:highlight w:val="none"/>
          <w:shd w:val="clear" w:color="auto" w:fill="FFFFFF"/>
          <w:lang w:val="zh-CN"/>
        </w:rPr>
        <w:t>（二）部门预算项目绩效分析。</w:t>
      </w:r>
      <w:r>
        <w:rPr>
          <w:rFonts w:hint="eastAsia" w:ascii="Times New Roman" w:hAnsi="Times New Roman" w:eastAsia="仿宋_GB2312" w:cs="仿宋_GB2312"/>
          <w:color w:val="auto"/>
          <w:kern w:val="2"/>
          <w:sz w:val="32"/>
          <w:szCs w:val="32"/>
          <w:highlight w:val="none"/>
          <w:lang w:val="zh-CN" w:eastAsia="zh-CN" w:bidi="ar-SA"/>
        </w:rPr>
        <w:t>填报以下数据，并</w:t>
      </w:r>
      <w:r>
        <w:rPr>
          <w:rFonts w:hint="default" w:ascii="Times New Roman" w:hAnsi="Times New Roman" w:eastAsia="仿宋_GB2312" w:cs="仿宋_GB2312"/>
          <w:color w:val="auto"/>
          <w:kern w:val="2"/>
          <w:sz w:val="32"/>
          <w:szCs w:val="32"/>
          <w:highlight w:val="none"/>
          <w:lang w:val="zh-CN" w:eastAsia="zh-CN" w:bidi="ar-SA"/>
        </w:rPr>
        <w:t>根据部门预算绩效评价指标体系</w:t>
      </w:r>
      <w:r>
        <w:rPr>
          <w:rFonts w:hint="eastAsia" w:ascii="Times New Roman" w:hAnsi="Times New Roman" w:eastAsia="仿宋_GB2312" w:cs="仿宋_GB2312"/>
          <w:color w:val="auto"/>
          <w:kern w:val="2"/>
          <w:sz w:val="32"/>
          <w:szCs w:val="32"/>
          <w:highlight w:val="none"/>
          <w:lang w:val="zh-CN" w:eastAsia="zh-CN" w:bidi="ar-SA"/>
        </w:rPr>
        <w:t>“</w:t>
      </w:r>
      <w:r>
        <w:rPr>
          <w:rFonts w:hint="default" w:ascii="Times New Roman" w:hAnsi="Times New Roman" w:eastAsia="仿宋_GB2312" w:cs="仿宋_GB2312"/>
          <w:color w:val="auto"/>
          <w:kern w:val="2"/>
          <w:sz w:val="32"/>
          <w:szCs w:val="32"/>
          <w:highlight w:val="none"/>
          <w:lang w:val="zh-CN" w:eastAsia="zh-CN" w:bidi="ar-SA"/>
        </w:rPr>
        <w:t>项目绩效</w:t>
      </w:r>
      <w:r>
        <w:rPr>
          <w:rFonts w:hint="eastAsia" w:ascii="Times New Roman" w:hAnsi="Times New Roman" w:eastAsia="仿宋_GB2312" w:cs="仿宋_GB2312"/>
          <w:color w:val="auto"/>
          <w:kern w:val="2"/>
          <w:sz w:val="32"/>
          <w:szCs w:val="32"/>
          <w:highlight w:val="none"/>
          <w:lang w:val="zh-CN" w:eastAsia="zh-CN" w:bidi="ar-SA"/>
        </w:rPr>
        <w:t>”</w:t>
      </w:r>
      <w:r>
        <w:rPr>
          <w:rFonts w:hint="default" w:ascii="Times New Roman" w:hAnsi="Times New Roman" w:eastAsia="仿宋_GB2312" w:cs="仿宋_GB2312"/>
          <w:color w:val="auto"/>
          <w:kern w:val="2"/>
          <w:sz w:val="32"/>
          <w:szCs w:val="32"/>
          <w:highlight w:val="none"/>
          <w:lang w:val="zh-CN" w:eastAsia="zh-CN" w:bidi="ar-SA"/>
        </w:rPr>
        <w:t>涉及</w:t>
      </w:r>
      <w:r>
        <w:rPr>
          <w:rFonts w:hint="eastAsia" w:ascii="Times New Roman" w:hAnsi="Times New Roman" w:eastAsia="仿宋_GB2312" w:cs="仿宋_GB2312"/>
          <w:color w:val="auto"/>
          <w:kern w:val="2"/>
          <w:sz w:val="32"/>
          <w:szCs w:val="32"/>
          <w:highlight w:val="none"/>
          <w:lang w:val="zh-CN" w:eastAsia="zh-CN" w:bidi="ar-SA"/>
        </w:rPr>
        <w:t>二、三级</w:t>
      </w:r>
      <w:r>
        <w:rPr>
          <w:rFonts w:hint="default" w:ascii="Times New Roman" w:hAnsi="Times New Roman" w:eastAsia="仿宋_GB2312" w:cs="仿宋_GB2312"/>
          <w:color w:val="auto"/>
          <w:kern w:val="2"/>
          <w:sz w:val="32"/>
          <w:szCs w:val="32"/>
          <w:highlight w:val="none"/>
          <w:lang w:val="zh-CN" w:eastAsia="zh-CN" w:bidi="ar-SA"/>
        </w:rPr>
        <w:t>指标进行</w:t>
      </w:r>
      <w:r>
        <w:rPr>
          <w:rFonts w:hint="eastAsia" w:ascii="Times New Roman" w:hAnsi="Times New Roman" w:eastAsia="仿宋_GB2312" w:cs="仿宋_GB2312"/>
          <w:color w:val="auto"/>
          <w:kern w:val="2"/>
          <w:sz w:val="32"/>
          <w:szCs w:val="32"/>
          <w:highlight w:val="none"/>
          <w:lang w:val="zh-CN" w:eastAsia="zh-CN" w:bidi="ar-SA"/>
        </w:rPr>
        <w:t>逐项</w:t>
      </w:r>
      <w:r>
        <w:rPr>
          <w:rFonts w:hint="default" w:ascii="Times New Roman" w:hAnsi="Times New Roman" w:eastAsia="仿宋_GB2312" w:cs="仿宋_GB2312"/>
          <w:color w:val="auto"/>
          <w:kern w:val="2"/>
          <w:sz w:val="32"/>
          <w:szCs w:val="32"/>
          <w:highlight w:val="none"/>
          <w:lang w:val="zh-CN" w:eastAsia="zh-CN" w:bidi="ar-SA"/>
        </w:rPr>
        <w:t>绩效分析</w:t>
      </w:r>
      <w:r>
        <w:rPr>
          <w:rFonts w:hint="eastAsia" w:ascii="Times New Roman" w:hAnsi="Times New Roman" w:eastAsia="仿宋_GB2312" w:cs="仿宋_GB2312"/>
          <w:color w:val="auto"/>
          <w:kern w:val="2"/>
          <w:sz w:val="32"/>
          <w:szCs w:val="32"/>
          <w:highlight w:val="none"/>
          <w:lang w:val="zh-CN" w:eastAsia="zh-CN" w:bidi="ar-SA"/>
        </w:rPr>
        <w:t>并评分</w:t>
      </w:r>
      <w:r>
        <w:rPr>
          <w:rFonts w:hint="default" w:ascii="Times New Roman" w:hAnsi="Times New Roman" w:eastAsia="仿宋_GB2312" w:cs="仿宋_GB2312"/>
          <w:color w:val="auto"/>
          <w:kern w:val="2"/>
          <w:sz w:val="32"/>
          <w:szCs w:val="32"/>
          <w:highlight w:val="none"/>
          <w:lang w:val="zh-CN" w:eastAsia="zh-CN" w:bidi="ar-SA"/>
        </w:rPr>
        <w:t>，依次包括项目</w:t>
      </w:r>
      <w:r>
        <w:rPr>
          <w:rFonts w:hint="default" w:ascii="Times New Roman" w:hAnsi="Times New Roman" w:eastAsia="仿宋_GB2312" w:cs="仿宋_GB2312"/>
          <w:color w:val="auto"/>
          <w:kern w:val="2"/>
          <w:sz w:val="32"/>
          <w:szCs w:val="32"/>
          <w:highlight w:val="none"/>
          <w:lang w:val="en-US" w:eastAsia="zh-CN" w:bidi="ar-SA"/>
        </w:rPr>
        <w:t>决策、项目执行、目标实现等情况</w:t>
      </w:r>
      <w:r>
        <w:rPr>
          <w:rFonts w:hint="eastAsia" w:ascii="Times New Roman" w:hAnsi="Times New Roman" w:eastAsia="仿宋_GB2312" w:cs="仿宋_GB2312"/>
          <w:color w:val="auto"/>
          <w:kern w:val="2"/>
          <w:sz w:val="32"/>
          <w:szCs w:val="32"/>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outlineLvl w:val="9"/>
        <w:rPr>
          <w:rFonts w:hint="default" w:ascii="Times New Roman" w:hAnsi="Times New Roman" w:eastAsia="仿宋_GB2312" w:cs="仿宋_GB2312"/>
          <w:color w:val="auto"/>
          <w:kern w:val="2"/>
          <w:sz w:val="32"/>
          <w:szCs w:val="32"/>
          <w:highlight w:val="none"/>
          <w:lang w:val="zh-CN" w:eastAsia="zh-CN" w:bidi="ar-SA"/>
        </w:rPr>
      </w:pPr>
      <w:r>
        <w:rPr>
          <w:rFonts w:hint="default" w:ascii="Times New Roman" w:hAnsi="Times New Roman" w:eastAsia="仿宋_GB2312" w:cs="仿宋_GB2312"/>
          <w:color w:val="auto"/>
          <w:kern w:val="2"/>
          <w:sz w:val="32"/>
          <w:szCs w:val="32"/>
          <w:highlight w:val="none"/>
          <w:lang w:val="en-US" w:eastAsia="zh-CN" w:bidi="ar-SA"/>
        </w:rPr>
        <w:t>常年项目绩效分析。</w:t>
      </w:r>
      <w:r>
        <w:rPr>
          <w:rFonts w:hint="default" w:ascii="Times New Roman" w:hAnsi="Times New Roman" w:eastAsia="仿宋_GB2312" w:cs="仿宋_GB2312"/>
          <w:color w:val="auto"/>
          <w:kern w:val="2"/>
          <w:sz w:val="32"/>
          <w:szCs w:val="32"/>
          <w:highlight w:val="none"/>
          <w:lang w:val="zh-CN" w:eastAsia="zh-CN" w:bidi="ar-SA"/>
        </w:rPr>
        <w:t>该类项目总数</w:t>
      </w:r>
      <w:r>
        <w:rPr>
          <w:rFonts w:hint="eastAsia" w:ascii="Times New Roman" w:hAnsi="Times New Roman" w:eastAsia="仿宋_GB2312" w:cs="仿宋_GB2312"/>
          <w:color w:val="auto"/>
          <w:kern w:val="2"/>
          <w:sz w:val="32"/>
          <w:szCs w:val="32"/>
          <w:highlight w:val="none"/>
          <w:lang w:val="en-US" w:eastAsia="zh-CN" w:bidi="ar-SA"/>
        </w:rPr>
        <w:t>***</w:t>
      </w:r>
      <w:r>
        <w:rPr>
          <w:rFonts w:hint="default" w:ascii="Times New Roman" w:hAnsi="Times New Roman" w:eastAsia="仿宋_GB2312" w:cs="仿宋_GB2312"/>
          <w:color w:val="auto"/>
          <w:kern w:val="2"/>
          <w:sz w:val="32"/>
          <w:szCs w:val="32"/>
          <w:highlight w:val="none"/>
          <w:lang w:val="zh-CN" w:eastAsia="zh-CN" w:bidi="ar-SA"/>
        </w:rPr>
        <w:t>个，涉及预算总金额</w:t>
      </w:r>
      <w:r>
        <w:rPr>
          <w:rFonts w:hint="eastAsia" w:ascii="Times New Roman" w:hAnsi="Times New Roman" w:eastAsia="仿宋_GB2312" w:cs="仿宋_GB2312"/>
          <w:color w:val="auto"/>
          <w:kern w:val="2"/>
          <w:sz w:val="32"/>
          <w:szCs w:val="32"/>
          <w:highlight w:val="none"/>
          <w:lang w:val="en-US" w:eastAsia="zh-CN" w:bidi="ar-SA"/>
        </w:rPr>
        <w:t>***</w:t>
      </w:r>
      <w:r>
        <w:rPr>
          <w:rFonts w:hint="default" w:ascii="Times New Roman" w:hAnsi="Times New Roman" w:eastAsia="仿宋_GB2312" w:cs="仿宋_GB2312"/>
          <w:color w:val="auto"/>
          <w:kern w:val="2"/>
          <w:sz w:val="32"/>
          <w:szCs w:val="32"/>
          <w:highlight w:val="none"/>
          <w:lang w:val="zh-CN" w:eastAsia="zh-CN" w:bidi="ar-SA"/>
        </w:rPr>
        <w:t>万元，1</w:t>
      </w:r>
      <w:r>
        <w:rPr>
          <w:rFonts w:hint="eastAsia" w:ascii="Times New Roman" w:hAnsi="Times New Roman" w:eastAsia="仿宋_GB2312" w:cs="仿宋_GB2312"/>
          <w:color w:val="auto"/>
          <w:kern w:val="2"/>
          <w:sz w:val="32"/>
          <w:szCs w:val="32"/>
          <w:highlight w:val="none"/>
          <w:lang w:val="zh-CN" w:eastAsia="zh-CN" w:bidi="ar-SA"/>
        </w:rPr>
        <w:t>—</w:t>
      </w:r>
      <w:r>
        <w:rPr>
          <w:rFonts w:hint="default" w:ascii="Times New Roman" w:hAnsi="Times New Roman" w:eastAsia="仿宋_GB2312" w:cs="仿宋_GB2312"/>
          <w:color w:val="auto"/>
          <w:kern w:val="2"/>
          <w:sz w:val="32"/>
          <w:szCs w:val="32"/>
          <w:highlight w:val="none"/>
          <w:lang w:val="zh-CN" w:eastAsia="zh-CN" w:bidi="ar-SA"/>
        </w:rPr>
        <w:t>1</w:t>
      </w:r>
      <w:r>
        <w:rPr>
          <w:rFonts w:hint="default" w:ascii="Times New Roman" w:hAnsi="Times New Roman" w:eastAsia="仿宋_GB2312" w:cs="仿宋_GB2312"/>
          <w:color w:val="auto"/>
          <w:kern w:val="2"/>
          <w:sz w:val="32"/>
          <w:szCs w:val="32"/>
          <w:highlight w:val="none"/>
          <w:lang w:val="en-US" w:eastAsia="zh-CN" w:bidi="ar-SA"/>
        </w:rPr>
        <w:t>2</w:t>
      </w:r>
      <w:r>
        <w:rPr>
          <w:rFonts w:hint="default" w:ascii="Times New Roman" w:hAnsi="Times New Roman" w:eastAsia="仿宋_GB2312" w:cs="仿宋_GB2312"/>
          <w:color w:val="auto"/>
          <w:kern w:val="2"/>
          <w:sz w:val="32"/>
          <w:szCs w:val="32"/>
          <w:highlight w:val="none"/>
          <w:lang w:val="zh-CN" w:eastAsia="zh-CN" w:bidi="ar-SA"/>
        </w:rPr>
        <w:t>月预算执行总体进度为</w:t>
      </w:r>
      <w:r>
        <w:rPr>
          <w:rFonts w:hint="eastAsia" w:ascii="Times New Roman" w:hAnsi="Times New Roman" w:eastAsia="仿宋_GB2312" w:cs="仿宋_GB2312"/>
          <w:color w:val="auto"/>
          <w:kern w:val="2"/>
          <w:sz w:val="32"/>
          <w:szCs w:val="32"/>
          <w:highlight w:val="none"/>
          <w:lang w:val="en-US" w:eastAsia="zh-CN" w:bidi="ar-SA"/>
        </w:rPr>
        <w:t>***</w:t>
      </w:r>
      <w:r>
        <w:rPr>
          <w:rFonts w:hint="default" w:ascii="Times New Roman" w:hAnsi="Times New Roman" w:eastAsia="仿宋_GB2312" w:cs="仿宋_GB2312"/>
          <w:color w:val="auto"/>
          <w:kern w:val="2"/>
          <w:sz w:val="32"/>
          <w:szCs w:val="32"/>
          <w:highlight w:val="none"/>
          <w:lang w:val="zh-CN" w:eastAsia="zh-CN" w:bidi="ar-SA"/>
        </w:rPr>
        <w:t>%，其中：预算结余率大于</w:t>
      </w:r>
      <w:r>
        <w:rPr>
          <w:rFonts w:hint="default" w:ascii="Times New Roman" w:hAnsi="Times New Roman" w:eastAsia="仿宋_GB2312" w:cs="仿宋_GB2312"/>
          <w:color w:val="auto"/>
          <w:kern w:val="2"/>
          <w:sz w:val="32"/>
          <w:szCs w:val="32"/>
          <w:highlight w:val="none"/>
          <w:lang w:val="en-US" w:eastAsia="zh-CN" w:bidi="ar-SA"/>
        </w:rPr>
        <w:t>10%</w:t>
      </w:r>
      <w:r>
        <w:rPr>
          <w:rFonts w:hint="default" w:ascii="Times New Roman" w:hAnsi="Times New Roman" w:eastAsia="仿宋_GB2312" w:cs="仿宋_GB2312"/>
          <w:color w:val="auto"/>
          <w:kern w:val="2"/>
          <w:sz w:val="32"/>
          <w:szCs w:val="32"/>
          <w:highlight w:val="none"/>
          <w:lang w:val="zh-CN" w:eastAsia="zh-CN" w:bidi="ar-SA"/>
        </w:rPr>
        <w:t>的项目共计</w:t>
      </w:r>
      <w:r>
        <w:rPr>
          <w:rFonts w:hint="eastAsia" w:ascii="Times New Roman" w:hAnsi="Times New Roman" w:eastAsia="仿宋_GB2312" w:cs="仿宋_GB2312"/>
          <w:color w:val="auto"/>
          <w:kern w:val="2"/>
          <w:sz w:val="32"/>
          <w:szCs w:val="32"/>
          <w:highlight w:val="none"/>
          <w:lang w:val="en-US" w:eastAsia="zh-CN" w:bidi="ar-SA"/>
        </w:rPr>
        <w:t>***</w:t>
      </w:r>
      <w:r>
        <w:rPr>
          <w:rFonts w:hint="default" w:ascii="Times New Roman" w:hAnsi="Times New Roman" w:eastAsia="仿宋_GB2312" w:cs="仿宋_GB2312"/>
          <w:color w:val="auto"/>
          <w:kern w:val="2"/>
          <w:sz w:val="32"/>
          <w:szCs w:val="32"/>
          <w:highlight w:val="none"/>
          <w:lang w:val="zh-CN" w:eastAsia="zh-CN" w:bidi="ar-SA"/>
        </w:rPr>
        <w:t>个。</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outlineLvl w:val="9"/>
        <w:rPr>
          <w:rFonts w:hint="default" w:ascii="Times New Roman" w:hAnsi="Times New Roman" w:eastAsia="仿宋_GB2312" w:cs="仿宋_GB2312"/>
          <w:color w:val="auto"/>
          <w:kern w:val="2"/>
          <w:sz w:val="32"/>
          <w:szCs w:val="32"/>
          <w:highlight w:val="none"/>
          <w:lang w:val="zh-CN" w:eastAsia="zh-CN" w:bidi="ar-SA"/>
        </w:rPr>
      </w:pPr>
      <w:r>
        <w:rPr>
          <w:rFonts w:hint="default" w:ascii="Times New Roman" w:hAnsi="Times New Roman" w:eastAsia="仿宋_GB2312" w:cs="仿宋_GB2312"/>
          <w:color w:val="auto"/>
          <w:kern w:val="2"/>
          <w:sz w:val="32"/>
          <w:szCs w:val="32"/>
          <w:highlight w:val="none"/>
          <w:lang w:val="en-US" w:eastAsia="zh-CN" w:bidi="ar-SA"/>
        </w:rPr>
        <w:t>阶段</w:t>
      </w:r>
      <w:r>
        <w:rPr>
          <w:rFonts w:hint="eastAsia" w:ascii="Times New Roman" w:hAnsi="Times New Roman" w:eastAsia="仿宋_GB2312" w:cs="仿宋_GB2312"/>
          <w:color w:val="auto"/>
          <w:kern w:val="2"/>
          <w:sz w:val="32"/>
          <w:szCs w:val="32"/>
          <w:highlight w:val="none"/>
          <w:lang w:val="en-US" w:eastAsia="zh-CN" w:bidi="ar-SA"/>
        </w:rPr>
        <w:t>（</w:t>
      </w:r>
      <w:r>
        <w:rPr>
          <w:rFonts w:hint="default" w:ascii="Times New Roman" w:hAnsi="Times New Roman" w:eastAsia="仿宋_GB2312" w:cs="仿宋_GB2312"/>
          <w:color w:val="auto"/>
          <w:kern w:val="2"/>
          <w:sz w:val="32"/>
          <w:szCs w:val="32"/>
          <w:highlight w:val="none"/>
          <w:lang w:val="en-US" w:eastAsia="zh-CN" w:bidi="ar-SA"/>
        </w:rPr>
        <w:t>一次性</w:t>
      </w:r>
      <w:r>
        <w:rPr>
          <w:rFonts w:hint="eastAsia" w:ascii="Times New Roman" w:hAnsi="Times New Roman" w:eastAsia="仿宋_GB2312" w:cs="仿宋_GB2312"/>
          <w:color w:val="auto"/>
          <w:kern w:val="2"/>
          <w:sz w:val="32"/>
          <w:szCs w:val="32"/>
          <w:highlight w:val="none"/>
          <w:lang w:val="en-US" w:eastAsia="zh-CN" w:bidi="ar-SA"/>
        </w:rPr>
        <w:t>）</w:t>
      </w:r>
      <w:r>
        <w:rPr>
          <w:rFonts w:hint="default" w:ascii="Times New Roman" w:hAnsi="Times New Roman" w:eastAsia="仿宋_GB2312" w:cs="仿宋_GB2312"/>
          <w:color w:val="auto"/>
          <w:kern w:val="2"/>
          <w:sz w:val="32"/>
          <w:szCs w:val="32"/>
          <w:highlight w:val="none"/>
          <w:lang w:val="en-US" w:eastAsia="zh-CN" w:bidi="ar-SA"/>
        </w:rPr>
        <w:t>项目绩效分析。</w:t>
      </w:r>
      <w:r>
        <w:rPr>
          <w:rFonts w:hint="default" w:ascii="Times New Roman" w:hAnsi="Times New Roman" w:eastAsia="仿宋_GB2312" w:cs="仿宋_GB2312"/>
          <w:color w:val="auto"/>
          <w:kern w:val="2"/>
          <w:sz w:val="32"/>
          <w:szCs w:val="32"/>
          <w:highlight w:val="none"/>
          <w:lang w:val="zh-CN" w:eastAsia="zh-CN" w:bidi="ar-SA"/>
        </w:rPr>
        <w:t>该类项目总数</w:t>
      </w:r>
      <w:r>
        <w:rPr>
          <w:rFonts w:hint="eastAsia" w:ascii="Times New Roman" w:hAnsi="Times New Roman" w:eastAsia="仿宋_GB2312" w:cs="仿宋_GB2312"/>
          <w:color w:val="auto"/>
          <w:kern w:val="2"/>
          <w:sz w:val="32"/>
          <w:szCs w:val="32"/>
          <w:highlight w:val="none"/>
          <w:lang w:val="en-US" w:eastAsia="zh-CN" w:bidi="ar-SA"/>
        </w:rPr>
        <w:t>***</w:t>
      </w:r>
      <w:r>
        <w:rPr>
          <w:rFonts w:hint="default" w:ascii="Times New Roman" w:hAnsi="Times New Roman" w:eastAsia="仿宋_GB2312" w:cs="仿宋_GB2312"/>
          <w:color w:val="auto"/>
          <w:kern w:val="2"/>
          <w:sz w:val="32"/>
          <w:szCs w:val="32"/>
          <w:highlight w:val="none"/>
          <w:lang w:val="zh-CN" w:eastAsia="zh-CN" w:bidi="ar-SA"/>
        </w:rPr>
        <w:t>个，涉及预算总金额</w:t>
      </w:r>
      <w:r>
        <w:rPr>
          <w:rFonts w:hint="eastAsia" w:ascii="Times New Roman" w:hAnsi="Times New Roman" w:eastAsia="仿宋_GB2312" w:cs="仿宋_GB2312"/>
          <w:color w:val="auto"/>
          <w:kern w:val="2"/>
          <w:sz w:val="32"/>
          <w:szCs w:val="32"/>
          <w:highlight w:val="none"/>
          <w:lang w:val="en-US" w:eastAsia="zh-CN" w:bidi="ar-SA"/>
        </w:rPr>
        <w:t>***</w:t>
      </w:r>
      <w:r>
        <w:rPr>
          <w:rFonts w:hint="default" w:ascii="Times New Roman" w:hAnsi="Times New Roman" w:eastAsia="仿宋_GB2312" w:cs="仿宋_GB2312"/>
          <w:color w:val="auto"/>
          <w:kern w:val="2"/>
          <w:sz w:val="32"/>
          <w:szCs w:val="32"/>
          <w:highlight w:val="none"/>
          <w:lang w:val="zh-CN" w:eastAsia="zh-CN" w:bidi="ar-SA"/>
        </w:rPr>
        <w:t>万元，1</w:t>
      </w:r>
      <w:r>
        <w:rPr>
          <w:rFonts w:hint="eastAsia" w:ascii="Times New Roman" w:hAnsi="Times New Roman" w:eastAsia="仿宋_GB2312" w:cs="仿宋_GB2312"/>
          <w:color w:val="auto"/>
          <w:kern w:val="2"/>
          <w:sz w:val="32"/>
          <w:szCs w:val="32"/>
          <w:highlight w:val="none"/>
          <w:lang w:val="zh-CN" w:eastAsia="zh-CN" w:bidi="ar-SA"/>
        </w:rPr>
        <w:t>—</w:t>
      </w:r>
      <w:r>
        <w:rPr>
          <w:rFonts w:hint="default" w:ascii="Times New Roman" w:hAnsi="Times New Roman" w:eastAsia="仿宋_GB2312" w:cs="仿宋_GB2312"/>
          <w:color w:val="auto"/>
          <w:kern w:val="2"/>
          <w:sz w:val="32"/>
          <w:szCs w:val="32"/>
          <w:highlight w:val="none"/>
          <w:lang w:val="zh-CN" w:eastAsia="zh-CN" w:bidi="ar-SA"/>
        </w:rPr>
        <w:t>1</w:t>
      </w:r>
      <w:r>
        <w:rPr>
          <w:rFonts w:hint="default" w:ascii="Times New Roman" w:hAnsi="Times New Roman" w:eastAsia="仿宋_GB2312" w:cs="仿宋_GB2312"/>
          <w:color w:val="auto"/>
          <w:kern w:val="2"/>
          <w:sz w:val="32"/>
          <w:szCs w:val="32"/>
          <w:highlight w:val="none"/>
          <w:lang w:val="en-US" w:eastAsia="zh-CN" w:bidi="ar-SA"/>
        </w:rPr>
        <w:t>2</w:t>
      </w:r>
      <w:r>
        <w:rPr>
          <w:rFonts w:hint="default" w:ascii="Times New Roman" w:hAnsi="Times New Roman" w:eastAsia="仿宋_GB2312" w:cs="仿宋_GB2312"/>
          <w:color w:val="auto"/>
          <w:kern w:val="2"/>
          <w:sz w:val="32"/>
          <w:szCs w:val="32"/>
          <w:highlight w:val="none"/>
          <w:lang w:val="zh-CN" w:eastAsia="zh-CN" w:bidi="ar-SA"/>
        </w:rPr>
        <w:t>月预算执行总体进度为</w:t>
      </w:r>
      <w:r>
        <w:rPr>
          <w:rFonts w:hint="eastAsia" w:ascii="Times New Roman" w:hAnsi="Times New Roman" w:eastAsia="仿宋_GB2312" w:cs="仿宋_GB2312"/>
          <w:color w:val="auto"/>
          <w:kern w:val="2"/>
          <w:sz w:val="32"/>
          <w:szCs w:val="32"/>
          <w:highlight w:val="none"/>
          <w:lang w:val="en-US" w:eastAsia="zh-CN" w:bidi="ar-SA"/>
        </w:rPr>
        <w:t>***</w:t>
      </w:r>
      <w:r>
        <w:rPr>
          <w:rFonts w:hint="default" w:ascii="Times New Roman" w:hAnsi="Times New Roman" w:eastAsia="仿宋_GB2312" w:cs="仿宋_GB2312"/>
          <w:color w:val="auto"/>
          <w:kern w:val="2"/>
          <w:sz w:val="32"/>
          <w:szCs w:val="32"/>
          <w:highlight w:val="none"/>
          <w:lang w:val="zh-CN" w:eastAsia="zh-CN" w:bidi="ar-SA"/>
        </w:rPr>
        <w:t>%，其中：预算结余率大于</w:t>
      </w:r>
      <w:r>
        <w:rPr>
          <w:rFonts w:hint="default" w:ascii="Times New Roman" w:hAnsi="Times New Roman" w:eastAsia="仿宋_GB2312" w:cs="仿宋_GB2312"/>
          <w:color w:val="auto"/>
          <w:kern w:val="2"/>
          <w:sz w:val="32"/>
          <w:szCs w:val="32"/>
          <w:highlight w:val="none"/>
          <w:lang w:val="en-US" w:eastAsia="zh-CN" w:bidi="ar-SA"/>
        </w:rPr>
        <w:t>10%</w:t>
      </w:r>
      <w:r>
        <w:rPr>
          <w:rFonts w:hint="default" w:ascii="Times New Roman" w:hAnsi="Times New Roman" w:eastAsia="仿宋_GB2312" w:cs="仿宋_GB2312"/>
          <w:color w:val="auto"/>
          <w:kern w:val="2"/>
          <w:sz w:val="32"/>
          <w:szCs w:val="32"/>
          <w:highlight w:val="none"/>
          <w:lang w:val="zh-CN" w:eastAsia="zh-CN" w:bidi="ar-SA"/>
        </w:rPr>
        <w:t>的项目共计</w:t>
      </w:r>
      <w:r>
        <w:rPr>
          <w:rFonts w:hint="eastAsia" w:ascii="Times New Roman" w:hAnsi="Times New Roman" w:eastAsia="仿宋_GB2312" w:cs="仿宋_GB2312"/>
          <w:color w:val="auto"/>
          <w:kern w:val="2"/>
          <w:sz w:val="32"/>
          <w:szCs w:val="32"/>
          <w:highlight w:val="none"/>
          <w:lang w:val="en-US" w:eastAsia="zh-CN" w:bidi="ar-SA"/>
        </w:rPr>
        <w:t>***</w:t>
      </w:r>
      <w:r>
        <w:rPr>
          <w:rFonts w:hint="default" w:ascii="Times New Roman" w:hAnsi="Times New Roman" w:eastAsia="仿宋_GB2312" w:cs="仿宋_GB2312"/>
          <w:color w:val="auto"/>
          <w:kern w:val="2"/>
          <w:sz w:val="32"/>
          <w:szCs w:val="32"/>
          <w:highlight w:val="none"/>
          <w:lang w:val="zh-CN" w:eastAsia="zh-CN" w:bidi="ar-SA"/>
        </w:rPr>
        <w:t>个。</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项目决策。围绕决策程序、目标设置、项目入库</w:t>
      </w:r>
      <w:r>
        <w:rPr>
          <w:rFonts w:hint="default" w:ascii="Times New Roman" w:hAnsi="Times New Roman" w:eastAsia="仿宋_GB2312" w:cs="仿宋_GB2312"/>
          <w:color w:val="auto"/>
          <w:kern w:val="2"/>
          <w:sz w:val="32"/>
          <w:szCs w:val="32"/>
          <w:highlight w:val="none"/>
          <w:lang w:val="zh-CN" w:eastAsia="zh-CN" w:bidi="ar-SA"/>
        </w:rPr>
        <w:t>进行绩效分析</w:t>
      </w:r>
      <w:r>
        <w:rPr>
          <w:rFonts w:hint="eastAsia" w:ascii="Times New Roman" w:hAnsi="Times New Roman" w:eastAsia="仿宋_GB2312" w:cs="仿宋_GB2312"/>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2.项目执行</w:t>
      </w:r>
      <w:r>
        <w:rPr>
          <w:rFonts w:hint="eastAsia" w:ascii="Times New Roman" w:hAnsi="Times New Roman" w:eastAsia="仿宋_GB2312" w:cs="仿宋_GB2312"/>
          <w:color w:val="auto"/>
          <w:kern w:val="2"/>
          <w:sz w:val="32"/>
          <w:szCs w:val="32"/>
          <w:highlight w:val="none"/>
          <w:lang w:val="zh-CN" w:eastAsia="zh-CN" w:bidi="ar-SA"/>
        </w:rPr>
        <w:t>。围绕资金执行同向、项目调整、执行结果</w:t>
      </w:r>
      <w:r>
        <w:rPr>
          <w:rFonts w:hint="default" w:ascii="Times New Roman" w:hAnsi="Times New Roman" w:eastAsia="仿宋_GB2312" w:cs="仿宋_GB2312"/>
          <w:color w:val="auto"/>
          <w:kern w:val="2"/>
          <w:sz w:val="32"/>
          <w:szCs w:val="32"/>
          <w:highlight w:val="none"/>
          <w:lang w:val="zh-CN" w:eastAsia="zh-CN" w:bidi="ar-SA"/>
        </w:rPr>
        <w:t>进行绩效分析</w:t>
      </w:r>
      <w:r>
        <w:rPr>
          <w:rFonts w:hint="eastAsia" w:ascii="Times New Roman" w:hAnsi="Times New Roman" w:eastAsia="仿宋_GB2312" w:cs="仿宋_GB2312"/>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zh-CN" w:eastAsia="zh-CN" w:bidi="ar-SA"/>
        </w:rPr>
        <w:t>目标实现。围绕目标完成、目标偏离、实现效果</w:t>
      </w:r>
      <w:r>
        <w:rPr>
          <w:rFonts w:hint="default" w:ascii="Times New Roman" w:hAnsi="Times New Roman" w:eastAsia="仿宋_GB2312" w:cs="仿宋_GB2312"/>
          <w:color w:val="auto"/>
          <w:kern w:val="2"/>
          <w:sz w:val="32"/>
          <w:szCs w:val="32"/>
          <w:highlight w:val="none"/>
          <w:lang w:val="zh-CN" w:eastAsia="zh-CN" w:bidi="ar-SA"/>
        </w:rPr>
        <w:t>进行绩效分析</w:t>
      </w:r>
      <w:r>
        <w:rPr>
          <w:rFonts w:hint="eastAsia" w:ascii="Times New Roman" w:hAnsi="Times New Roman"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snapToGrid w:val="0"/>
        <w:spacing w:line="60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省级部门对2024年度一般公共预算、政府性基金预算、国有资本经营预算安排的常年项目、阶段项目绩效目标完成情况，以及债券资金、政府购买服务有关情况进行梳理阐述</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snapToGrid w:val="0"/>
        <w:spacing w:line="600" w:lineRule="exact"/>
        <w:ind w:firstLine="643" w:firstLineChars="200"/>
        <w:textAlignment w:val="auto"/>
        <w:rPr>
          <w:rFonts w:hint="default" w:ascii="Times New Roman" w:hAnsi="Times New Roman" w:eastAsia="仿宋_GB2312" w:cs="Times New Roman"/>
          <w:sz w:val="32"/>
          <w:szCs w:val="32"/>
          <w:highlight w:val="none"/>
          <w:u w:val="none"/>
          <w:lang w:bidi="ar"/>
        </w:rPr>
      </w:pPr>
      <w:r>
        <w:rPr>
          <w:rFonts w:hint="default" w:ascii="Times New Roman" w:hAnsi="Times New Roman" w:eastAsia="楷体_GB2312" w:cs="Times New Roman"/>
          <w:b/>
          <w:bCs/>
          <w:color w:val="000000"/>
          <w:kern w:val="0"/>
          <w:sz w:val="32"/>
          <w:szCs w:val="32"/>
          <w:highlight w:val="none"/>
          <w:shd w:val="clear" w:color="auto" w:fill="FFFFFF"/>
          <w:lang w:val="zh-CN" w:eastAsia="zh-CN"/>
        </w:rPr>
        <w:t>（</w:t>
      </w:r>
      <w:r>
        <w:rPr>
          <w:rFonts w:hint="eastAsia" w:eastAsia="楷体_GB2312" w:cs="Times New Roman"/>
          <w:b/>
          <w:bCs/>
          <w:color w:val="000000"/>
          <w:kern w:val="0"/>
          <w:sz w:val="32"/>
          <w:szCs w:val="32"/>
          <w:highlight w:val="none"/>
          <w:shd w:val="clear" w:color="auto" w:fill="FFFFFF"/>
          <w:lang w:val="en-US" w:eastAsia="zh-CN"/>
        </w:rPr>
        <w:t>三</w:t>
      </w:r>
      <w:r>
        <w:rPr>
          <w:rFonts w:hint="default" w:ascii="Times New Roman" w:hAnsi="Times New Roman" w:eastAsia="楷体_GB2312" w:cs="Times New Roman"/>
          <w:b/>
          <w:bCs/>
          <w:color w:val="000000"/>
          <w:kern w:val="0"/>
          <w:sz w:val="32"/>
          <w:szCs w:val="32"/>
          <w:highlight w:val="none"/>
          <w:shd w:val="clear" w:color="auto" w:fill="FFFFFF"/>
          <w:lang w:val="zh-CN" w:eastAsia="zh-CN"/>
        </w:rPr>
        <w:t>）绩效结果应用情况</w:t>
      </w:r>
      <w:r>
        <w:rPr>
          <w:rFonts w:hint="eastAsia" w:ascii="Times New Roman" w:hAnsi="Times New Roman" w:eastAsia="楷体_GB2312" w:cs="Times New Roman"/>
          <w:b/>
          <w:bCs/>
          <w:color w:val="000000"/>
          <w:kern w:val="0"/>
          <w:sz w:val="32"/>
          <w:szCs w:val="32"/>
          <w:highlight w:val="none"/>
          <w:shd w:val="clear" w:color="auto" w:fill="FFFFFF"/>
          <w:lang w:val="zh-CN" w:eastAsia="zh-CN"/>
        </w:rPr>
        <w:t>。</w:t>
      </w:r>
      <w:r>
        <w:rPr>
          <w:rFonts w:hint="eastAsia" w:ascii="Times New Roman" w:hAnsi="Times New Roman" w:eastAsia="仿宋_GB2312" w:cs="Times New Roman"/>
          <w:sz w:val="32"/>
          <w:szCs w:val="32"/>
          <w:highlight w:val="none"/>
          <w:u w:val="none"/>
          <w:lang w:val="zh-CN" w:eastAsia="zh-CN" w:bidi="ar"/>
        </w:rPr>
        <w:t>围绕内部应用情况、</w:t>
      </w:r>
      <w:r>
        <w:rPr>
          <w:rFonts w:hint="default" w:ascii="Times New Roman" w:hAnsi="Times New Roman" w:eastAsia="仿宋_GB2312" w:cs="Times New Roman"/>
          <w:sz w:val="32"/>
          <w:szCs w:val="32"/>
          <w:highlight w:val="none"/>
          <w:u w:val="none"/>
          <w:lang w:val="zh-CN" w:eastAsia="zh-CN" w:bidi="ar"/>
        </w:rPr>
        <w:t>信息公开情况</w:t>
      </w:r>
      <w:r>
        <w:rPr>
          <w:rFonts w:hint="eastAsia" w:ascii="Times New Roman" w:hAnsi="Times New Roman" w:eastAsia="仿宋_GB2312" w:cs="Times New Roman"/>
          <w:sz w:val="32"/>
          <w:szCs w:val="32"/>
          <w:highlight w:val="none"/>
          <w:u w:val="none"/>
          <w:lang w:val="zh-CN" w:eastAsia="zh-CN" w:bidi="ar"/>
        </w:rPr>
        <w:t>、</w:t>
      </w:r>
      <w:r>
        <w:rPr>
          <w:rFonts w:hint="default" w:ascii="Times New Roman" w:hAnsi="Times New Roman" w:eastAsia="仿宋_GB2312" w:cs="Times New Roman"/>
          <w:sz w:val="32"/>
          <w:szCs w:val="32"/>
          <w:highlight w:val="none"/>
          <w:u w:val="none"/>
          <w:lang w:val="zh-CN" w:eastAsia="zh-CN" w:bidi="ar"/>
        </w:rPr>
        <w:t>整改反馈情况</w:t>
      </w:r>
      <w:r>
        <w:rPr>
          <w:rFonts w:hint="eastAsia" w:ascii="Times New Roman" w:hAnsi="Times New Roman" w:eastAsia="仿宋_GB2312" w:cs="Times New Roman"/>
          <w:sz w:val="32"/>
          <w:szCs w:val="32"/>
          <w:highlight w:val="none"/>
          <w:u w:val="none"/>
          <w:lang w:val="zh-CN" w:eastAsia="zh-CN" w:bidi="ar"/>
        </w:rPr>
        <w:t>进行分析。</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lang w:val="zh-CN"/>
        </w:rPr>
      </w:pPr>
      <w:r>
        <w:rPr>
          <w:rFonts w:hint="default" w:ascii="Times New Roman" w:hAnsi="Times New Roman" w:eastAsia="黑体" w:cs="Times New Roman"/>
          <w:color w:val="000000"/>
          <w:kern w:val="0"/>
          <w:sz w:val="32"/>
          <w:szCs w:val="32"/>
          <w:highlight w:val="none"/>
          <w:shd w:val="clear" w:color="auto" w:fill="FFFFFF"/>
          <w:lang w:val="zh-CN" w:eastAsia="zh-CN"/>
        </w:rPr>
        <w:t>四、</w:t>
      </w:r>
      <w:r>
        <w:rPr>
          <w:rFonts w:hint="default" w:ascii="Times New Roman" w:hAnsi="Times New Roman" w:eastAsia="黑体" w:cs="Times New Roman"/>
          <w:color w:val="000000"/>
          <w:kern w:val="0"/>
          <w:sz w:val="32"/>
          <w:szCs w:val="32"/>
          <w:highlight w:val="none"/>
          <w:shd w:val="clear" w:color="auto" w:fill="FFFFFF"/>
          <w:lang w:val="zh-CN"/>
        </w:rPr>
        <w:t>评价结论及建议</w:t>
      </w:r>
    </w:p>
    <w:p>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仿宋_GB2312" w:cs="Times New Roman"/>
          <w:sz w:val="32"/>
          <w:szCs w:val="32"/>
          <w:u w:val="none"/>
          <w:lang w:val="en-US" w:eastAsia="zh-CN" w:bidi="ar"/>
        </w:rPr>
      </w:pPr>
      <w:r>
        <w:rPr>
          <w:rFonts w:hint="default" w:ascii="Times New Roman" w:hAnsi="Times New Roman" w:eastAsia="楷体_GB2312" w:cs="Times New Roman"/>
          <w:b/>
          <w:bCs/>
          <w:color w:val="000000"/>
          <w:kern w:val="0"/>
          <w:sz w:val="32"/>
          <w:szCs w:val="32"/>
          <w:highlight w:val="none"/>
          <w:shd w:val="clear" w:color="auto" w:fill="FFFFFF"/>
          <w:lang w:val="zh-CN"/>
        </w:rPr>
        <w:t>（一）评价结论。</w:t>
      </w:r>
      <w:r>
        <w:rPr>
          <w:rFonts w:hint="eastAsia" w:ascii="Times New Roman" w:hAnsi="Times New Roman" w:eastAsia="仿宋_GB2312" w:cs="Times New Roman"/>
          <w:sz w:val="32"/>
          <w:szCs w:val="32"/>
          <w:u w:val="none"/>
          <w:lang w:val="en-US" w:eastAsia="zh-CN" w:bidi="ar"/>
        </w:rPr>
        <w:t>简要阐述部门预算绩效自评总体结论，其中必须包含自评得分。</w:t>
      </w:r>
    </w:p>
    <w:p>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eastAsia" w:ascii="Times New Roman" w:hAnsi="Times New Roman" w:eastAsia="仿宋_GB2312" w:cs="Times New Roman"/>
          <w:sz w:val="32"/>
          <w:szCs w:val="32"/>
          <w:u w:val="none"/>
          <w:lang w:val="en-US" w:eastAsia="zh-CN" w:bidi="ar"/>
        </w:rPr>
      </w:pPr>
      <w:r>
        <w:rPr>
          <w:rFonts w:hint="default" w:ascii="Times New Roman" w:hAnsi="Times New Roman" w:eastAsia="楷体_GB2312" w:cs="Times New Roman"/>
          <w:b/>
          <w:bCs/>
          <w:color w:val="000000"/>
          <w:kern w:val="0"/>
          <w:sz w:val="32"/>
          <w:szCs w:val="32"/>
          <w:highlight w:val="none"/>
          <w:shd w:val="clear" w:color="auto" w:fill="FFFFFF"/>
          <w:lang w:val="zh-CN"/>
        </w:rPr>
        <w:t>（二）存在问题。</w:t>
      </w:r>
      <w:r>
        <w:rPr>
          <w:rFonts w:hint="eastAsia" w:ascii="Times New Roman" w:hAnsi="Times New Roman" w:eastAsia="仿宋_GB2312" w:cs="Times New Roman"/>
          <w:sz w:val="32"/>
          <w:szCs w:val="32"/>
          <w:u w:val="none"/>
          <w:lang w:val="en-US" w:eastAsia="zh-CN" w:bidi="ar"/>
        </w:rPr>
        <w:t>简要阐述部门预算绩效自评发现的主要问题。</w:t>
      </w:r>
    </w:p>
    <w:p>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eastAsia" w:ascii="Times New Roman" w:hAnsi="Times New Roman" w:eastAsia="仿宋_GB2312" w:cs="Times New Roman"/>
          <w:sz w:val="32"/>
          <w:szCs w:val="32"/>
          <w:u w:val="none"/>
          <w:lang w:val="en" w:eastAsia="zh-CN" w:bidi="ar"/>
        </w:rPr>
      </w:pPr>
      <w:r>
        <w:rPr>
          <w:rFonts w:hint="default" w:ascii="Times New Roman" w:hAnsi="Times New Roman" w:eastAsia="楷体_GB2312" w:cs="Times New Roman"/>
          <w:b/>
          <w:bCs/>
          <w:color w:val="000000"/>
          <w:kern w:val="0"/>
          <w:sz w:val="32"/>
          <w:szCs w:val="32"/>
          <w:highlight w:val="none"/>
          <w:shd w:val="clear" w:color="auto" w:fill="FFFFFF"/>
          <w:lang w:val="zh-CN" w:eastAsia="zh-CN"/>
        </w:rPr>
        <w:t>（三）改进建议。</w:t>
      </w:r>
      <w:r>
        <w:rPr>
          <w:rFonts w:hint="eastAsia" w:ascii="Times New Roman" w:hAnsi="Times New Roman" w:eastAsia="仿宋_GB2312" w:cs="Times New Roman"/>
          <w:sz w:val="32"/>
          <w:szCs w:val="32"/>
          <w:u w:val="none"/>
          <w:lang w:val="en-US" w:eastAsia="zh-CN" w:bidi="ar"/>
        </w:rPr>
        <w:t>简要阐述</w:t>
      </w:r>
      <w:bookmarkStart w:id="67" w:name="_Hlk110546638"/>
      <w:r>
        <w:rPr>
          <w:rFonts w:hint="eastAsia" w:ascii="Times New Roman" w:hAnsi="Times New Roman" w:eastAsia="仿宋_GB2312" w:cs="Times New Roman"/>
          <w:sz w:val="32"/>
          <w:szCs w:val="32"/>
          <w:u w:val="none"/>
          <w:lang w:val="en" w:eastAsia="zh-CN" w:bidi="ar"/>
        </w:rPr>
        <w:t>预算安排、完善政策、改进管理等方面的</w:t>
      </w:r>
      <w:r>
        <w:rPr>
          <w:rFonts w:hint="eastAsia" w:ascii="Times New Roman" w:hAnsi="Times New Roman" w:eastAsia="仿宋_GB2312" w:cs="Times New Roman"/>
          <w:sz w:val="32"/>
          <w:szCs w:val="32"/>
          <w:u w:val="none"/>
          <w:lang w:val="en-US" w:eastAsia="zh-CN" w:bidi="ar"/>
        </w:rPr>
        <w:t>措施</w:t>
      </w:r>
      <w:r>
        <w:rPr>
          <w:rFonts w:hint="eastAsia" w:ascii="Times New Roman" w:hAnsi="Times New Roman" w:eastAsia="仿宋_GB2312" w:cs="Times New Roman"/>
          <w:sz w:val="32"/>
          <w:szCs w:val="32"/>
          <w:u w:val="none"/>
          <w:lang w:val="en" w:eastAsia="zh-CN" w:bidi="ar"/>
        </w:rPr>
        <w:t>建议，其中</w:t>
      </w:r>
      <w:r>
        <w:rPr>
          <w:rFonts w:hint="eastAsia" w:ascii="Times New Roman" w:hAnsi="Times New Roman" w:eastAsia="仿宋_GB2312" w:cs="Times New Roman"/>
          <w:sz w:val="32"/>
          <w:szCs w:val="32"/>
          <w:u w:val="none"/>
          <w:lang w:val="en-US" w:eastAsia="zh-CN" w:bidi="ar"/>
        </w:rPr>
        <w:t>必须对应评价发现的主要问题一一提出措施建议。</w:t>
      </w:r>
    </w:p>
    <w:bookmarkEnd w:id="67"/>
    <w:p>
      <w:pPr>
        <w:pStyle w:val="3"/>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zh-CN" w:eastAsia="zh-CN" w:bidi="ar"/>
        </w:rPr>
      </w:pPr>
    </w:p>
    <w:p>
      <w:pPr>
        <w:pStyle w:val="3"/>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zh-CN" w:eastAsia="zh-CN" w:bidi="ar"/>
        </w:rPr>
      </w:pPr>
      <w:r>
        <w:rPr>
          <w:rFonts w:hint="eastAsia" w:ascii="Times New Roman" w:hAnsi="Times New Roman" w:eastAsia="仿宋_GB2312" w:cs="Times New Roman"/>
          <w:kern w:val="2"/>
          <w:sz w:val="32"/>
          <w:szCs w:val="32"/>
          <w:u w:val="none"/>
          <w:lang w:val="zh-CN" w:eastAsia="zh-CN" w:bidi="ar"/>
        </w:rPr>
        <w:t>附表：</w:t>
      </w:r>
      <w:r>
        <w:rPr>
          <w:rFonts w:hint="eastAsia" w:ascii="Times New Roman" w:hAnsi="Times New Roman" w:eastAsia="仿宋_GB2312" w:cs="Times New Roman"/>
          <w:kern w:val="2"/>
          <w:sz w:val="32"/>
          <w:szCs w:val="32"/>
          <w:u w:val="none"/>
          <w:lang w:val="en-US" w:eastAsia="zh-CN" w:bidi="ar"/>
        </w:rPr>
        <w:t>部门预算项目支出绩效自评表（2024年度）</w:t>
      </w:r>
    </w:p>
    <w:p>
      <w:pPr>
        <w:pStyle w:val="3"/>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（注：按照绩效自评工作安排，各部门已在预算管理一体化系统绩效自评模块上传“部门预算项目支出绩效自评表（2024年度）”，该表格应作为附表予以公开）</w:t>
      </w:r>
    </w:p>
    <w:p>
      <w:pPr>
        <w:pStyle w:val="3"/>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8"/>
        <w:rPr>
          <w:rFonts w:hint="eastAsia" w:ascii="Times New Roman" w:hAnsi="Times New Roman" w:cs="宋体"/>
          <w:color w:val="FF0000"/>
          <w:kern w:val="0"/>
          <w:sz w:val="32"/>
          <w:szCs w:val="32"/>
          <w:highlight w:val="yellow"/>
          <w:shd w:val="clear" w:color="auto" w:fill="FFFFFF"/>
          <w:lang w:val="zh-CN"/>
        </w:rPr>
      </w:pPr>
    </w:p>
    <w:p>
      <w:pPr>
        <w:rPr>
          <w:rFonts w:hint="eastAsia" w:ascii="Times New Roman" w:hAnsi="Times New Roman" w:eastAsia="黑体" w:cs="黑体"/>
          <w:color w:val="auto"/>
          <w:kern w:val="0"/>
          <w:sz w:val="32"/>
          <w:szCs w:val="32"/>
          <w:highlight w:val="none"/>
          <w:shd w:val="clear" w:color="auto" w:fill="FFFFFF"/>
          <w:lang w:val="zh-CN"/>
        </w:rPr>
      </w:pPr>
      <w:r>
        <w:rPr>
          <w:rFonts w:hint="eastAsia" w:ascii="Times New Roman" w:hAnsi="Times New Roman" w:eastAsia="黑体" w:cs="黑体"/>
          <w:color w:val="auto"/>
          <w:kern w:val="0"/>
          <w:sz w:val="32"/>
          <w:szCs w:val="32"/>
          <w:highlight w:val="none"/>
          <w:shd w:val="clear" w:color="auto" w:fill="FFFFFF"/>
          <w:lang w:val="zh-CN"/>
        </w:rPr>
        <w:br w:type="page"/>
      </w:r>
    </w:p>
    <w:p>
      <w:pPr>
        <w:pStyle w:val="8"/>
        <w:rPr>
          <w:rFonts w:hint="eastAsia"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kern w:val="0"/>
          <w:sz w:val="32"/>
          <w:szCs w:val="32"/>
          <w:highlight w:val="none"/>
          <w:shd w:val="clear" w:color="auto" w:fill="FFFFFF"/>
          <w:lang w:val="zh-CN"/>
        </w:rPr>
        <w:t>附件</w:t>
      </w:r>
      <w:r>
        <w:rPr>
          <w:rFonts w:hint="eastAsia" w:ascii="Times New Roman" w:hAnsi="Times New Roman" w:eastAsia="黑体" w:cs="黑体"/>
          <w:color w:val="auto"/>
          <w:kern w:val="0"/>
          <w:sz w:val="32"/>
          <w:szCs w:val="32"/>
          <w:highlight w:val="none"/>
          <w:shd w:val="clear" w:color="auto" w:fill="FFFFFF"/>
          <w:lang w:val="en-US" w:eastAsia="zh-CN"/>
        </w:rPr>
        <w:t>2</w:t>
      </w:r>
    </w:p>
    <w:p>
      <w:pPr>
        <w:pStyle w:val="34"/>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pPr>
        <w:pStyle w:val="34"/>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r>
        <w:rPr>
          <w:rFonts w:hint="eastAsia" w:ascii="Times New Roman" w:hAnsi="Times New Roman" w:eastAsia="方正小标宋简体" w:cs="方正小标宋简体"/>
          <w:color w:val="auto"/>
          <w:kern w:val="2"/>
          <w:sz w:val="44"/>
          <w:szCs w:val="44"/>
          <w:highlight w:val="none"/>
          <w:lang w:val="en-US" w:eastAsia="zh-CN"/>
        </w:rPr>
        <w:t>专项预算项目绩效评价报告范本</w:t>
      </w:r>
    </w:p>
    <w:p>
      <w:pPr>
        <w:pStyle w:val="34"/>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Times New Roman" w:hAnsi="Times New Roman"/>
          <w:color w:val="auto"/>
          <w:kern w:val="2"/>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eastAsia="黑体"/>
          <w:sz w:val="32"/>
          <w:szCs w:val="32"/>
          <w:highlight w:val="none"/>
          <w:lang w:val="zh-CN"/>
        </w:rPr>
      </w:pPr>
      <w:r>
        <w:rPr>
          <w:rFonts w:hint="eastAsia" w:ascii="Times New Roman" w:hAnsi="Times New Roman" w:eastAsia="黑体"/>
          <w:sz w:val="32"/>
          <w:szCs w:val="32"/>
          <w:highlight w:val="none"/>
        </w:rPr>
        <w:t>一、</w:t>
      </w:r>
      <w:r>
        <w:rPr>
          <w:rFonts w:hint="eastAsia" w:ascii="Times New Roman" w:hAnsi="Times New Roman" w:eastAsia="黑体"/>
          <w:sz w:val="32"/>
          <w:szCs w:val="32"/>
          <w:highlight w:val="none"/>
          <w:lang w:val="zh-CN"/>
        </w:rPr>
        <w:t>项目概况</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eastAsia" w:ascii="Times New Roman" w:hAnsi="Times New Roman" w:eastAsia="仿宋_GB2312" w:cs="仿宋_GB2312"/>
          <w:color w:val="auto"/>
          <w:kern w:val="0"/>
          <w:sz w:val="32"/>
          <w:szCs w:val="32"/>
          <w:highlight w:val="none"/>
          <w:u w:val="none"/>
          <w:shd w:val="clear" w:color="auto" w:fill="FFFFFF"/>
          <w:lang w:val="zh-CN"/>
        </w:rPr>
      </w:pPr>
      <w:r>
        <w:rPr>
          <w:rFonts w:hint="eastAsia" w:ascii="Times New Roman" w:hAnsi="Times New Roman" w:eastAsia="楷体_GB2312"/>
          <w:b/>
          <w:color w:val="auto"/>
          <w:sz w:val="32"/>
          <w:szCs w:val="32"/>
          <w:highlight w:val="none"/>
          <w:u w:val="none"/>
          <w:lang w:val="zh-CN"/>
        </w:rPr>
        <w:t>（一）设立背景及基本情况。</w:t>
      </w:r>
      <w:r>
        <w:rPr>
          <w:rFonts w:hint="eastAsia" w:ascii="Times New Roman" w:hAnsi="Times New Roman" w:eastAsia="仿宋_GB2312" w:cs="仿宋_GB2312"/>
          <w:b w:val="0"/>
          <w:bCs w:val="0"/>
          <w:kern w:val="0"/>
          <w:position w:val="0"/>
          <w:sz w:val="32"/>
          <w:szCs w:val="32"/>
          <w:highlight w:val="none"/>
          <w:lang w:val="en-US" w:eastAsia="zh-CN" w:bidi="ar-SA"/>
        </w:rPr>
        <w:t>项目设立原因及背景，</w:t>
      </w:r>
      <w:r>
        <w:rPr>
          <w:rFonts w:hint="eastAsia" w:ascii="Times New Roman" w:hAnsi="Times New Roman" w:eastAsia="仿宋_GB2312" w:cs="仿宋_GB2312"/>
          <w:b w:val="0"/>
          <w:bCs w:val="0"/>
          <w:kern w:val="0"/>
          <w:position w:val="0"/>
          <w:sz w:val="32"/>
          <w:szCs w:val="32"/>
          <w:highlight w:val="none"/>
          <w:lang w:val="zh-CN" w:eastAsia="zh-CN" w:bidi="ar-SA"/>
        </w:rPr>
        <w:t>项目立项、资金申报的依据，项目主要内容</w:t>
      </w:r>
      <w:r>
        <w:rPr>
          <w:rFonts w:hint="eastAsia" w:ascii="Times New Roman" w:hAnsi="Times New Roman" w:eastAsia="仿宋_GB2312" w:cs="仿宋_GB2312"/>
          <w:b w:val="0"/>
          <w:bCs w:val="0"/>
          <w:kern w:val="0"/>
          <w:position w:val="0"/>
          <w:sz w:val="32"/>
          <w:szCs w:val="32"/>
          <w:highlight w:val="none"/>
          <w:lang w:val="en-US" w:eastAsia="zh-CN" w:bidi="ar-SA"/>
        </w:rPr>
        <w:t>。</w:t>
      </w:r>
      <w:r>
        <w:rPr>
          <w:rFonts w:hint="eastAsia" w:ascii="Times New Roman" w:hAnsi="Times New Roman" w:eastAsia="仿宋_GB2312" w:cs="仿宋_GB2312"/>
          <w:b w:val="0"/>
          <w:bCs w:val="0"/>
          <w:kern w:val="0"/>
          <w:position w:val="0"/>
          <w:sz w:val="32"/>
          <w:szCs w:val="32"/>
          <w:highlight w:val="none"/>
          <w:lang w:val="zh-CN" w:eastAsia="zh-CN" w:bidi="ar-SA"/>
        </w:rPr>
        <w:t>主管部门职能</w:t>
      </w:r>
      <w:r>
        <w:rPr>
          <w:rFonts w:hint="eastAsia" w:ascii="Times New Roman" w:hAnsi="Times New Roman" w:eastAsia="仿宋_GB2312" w:cs="仿宋_GB2312"/>
          <w:color w:val="auto"/>
          <w:kern w:val="0"/>
          <w:sz w:val="32"/>
          <w:szCs w:val="32"/>
          <w:highlight w:val="none"/>
          <w:u w:val="none"/>
          <w:shd w:val="clear" w:color="auto" w:fill="FFFFFF"/>
          <w:lang w:val="zh-CN"/>
        </w:rPr>
        <w:t>。</w:t>
      </w:r>
    </w:p>
    <w:p>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楷体_GB2312"/>
          <w:b/>
          <w:color w:val="auto"/>
          <w:sz w:val="32"/>
          <w:szCs w:val="32"/>
          <w:highlight w:val="none"/>
          <w:u w:val="none"/>
          <w:lang w:val="zh-CN"/>
        </w:rPr>
        <w:t>（</w:t>
      </w:r>
      <w:r>
        <w:rPr>
          <w:rFonts w:hint="eastAsia" w:ascii="Times New Roman" w:hAnsi="Times New Roman" w:eastAsia="楷体_GB2312" w:cs="Times New Roman"/>
          <w:b/>
          <w:color w:val="auto"/>
          <w:sz w:val="32"/>
          <w:szCs w:val="32"/>
          <w:highlight w:val="none"/>
          <w:u w:val="none"/>
          <w:lang w:val="zh-CN"/>
        </w:rPr>
        <w:t>二）</w:t>
      </w:r>
      <w:r>
        <w:rPr>
          <w:rFonts w:hint="default" w:ascii="Times New Roman" w:hAnsi="Times New Roman" w:eastAsia="楷体_GB2312" w:cs="Times New Roman"/>
          <w:b/>
          <w:color w:val="auto"/>
          <w:sz w:val="32"/>
          <w:szCs w:val="32"/>
          <w:highlight w:val="none"/>
          <w:u w:val="none"/>
          <w:lang w:val="en-US" w:eastAsia="zh-CN"/>
        </w:rPr>
        <w:t>实施目的及支持方向</w:t>
      </w:r>
      <w:r>
        <w:rPr>
          <w:rFonts w:hint="eastAsia" w:ascii="Times New Roman" w:hAnsi="Times New Roman" w:eastAsia="楷体_GB2312" w:cs="Times New Roman"/>
          <w:b/>
          <w:color w:val="auto"/>
          <w:sz w:val="32"/>
          <w:szCs w:val="32"/>
          <w:highlight w:val="none"/>
          <w:u w:val="none"/>
          <w:lang w:val="en-US" w:eastAsia="zh-CN"/>
        </w:rPr>
        <w:t>。</w:t>
      </w:r>
      <w:r>
        <w:rPr>
          <w:rFonts w:hint="eastAsia" w:ascii="Times New Roman" w:hAnsi="Times New Roman" w:eastAsia="仿宋_GB2312" w:cs="仿宋_GB2312"/>
          <w:b w:val="0"/>
          <w:bCs w:val="0"/>
          <w:kern w:val="0"/>
          <w:position w:val="0"/>
          <w:sz w:val="32"/>
          <w:szCs w:val="32"/>
          <w:highlight w:val="none"/>
          <w:lang w:val="en-US" w:eastAsia="zh-CN" w:bidi="ar-SA"/>
        </w:rPr>
        <w:t>项目资金</w:t>
      </w:r>
      <w:r>
        <w:rPr>
          <w:rFonts w:hint="eastAsia" w:ascii="Times New Roman" w:hAnsi="Times New Roman" w:eastAsia="仿宋_GB2312" w:cs="仿宋_GB2312"/>
          <w:b w:val="0"/>
          <w:bCs w:val="0"/>
          <w:kern w:val="0"/>
          <w:position w:val="0"/>
          <w:sz w:val="32"/>
          <w:szCs w:val="32"/>
          <w:highlight w:val="none"/>
          <w:lang w:val="zh-CN" w:eastAsia="zh-CN" w:bidi="ar-SA"/>
        </w:rPr>
        <w:t>管理办法制定情况，项目实施目的和主要工作任务，项目支持方向。</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楷体_GB2312" w:cs="Times New Roman"/>
          <w:b/>
          <w:color w:val="auto"/>
          <w:sz w:val="32"/>
          <w:szCs w:val="32"/>
          <w:highlight w:val="none"/>
          <w:u w:val="none"/>
          <w:lang w:val="zh-CN" w:eastAsia="zh-CN"/>
        </w:rPr>
        <w:t>（三）</w:t>
      </w:r>
      <w:r>
        <w:rPr>
          <w:rFonts w:hint="default" w:ascii="Times New Roman" w:hAnsi="Times New Roman" w:eastAsia="楷体_GB2312" w:cs="Times New Roman"/>
          <w:b/>
          <w:color w:val="auto"/>
          <w:sz w:val="32"/>
          <w:szCs w:val="32"/>
          <w:highlight w:val="none"/>
          <w:u w:val="none"/>
          <w:lang w:val="en-US" w:eastAsia="zh-CN"/>
        </w:rPr>
        <w:t>预算安排及分配管理</w:t>
      </w:r>
      <w:r>
        <w:rPr>
          <w:rFonts w:hint="eastAsia" w:ascii="Times New Roman" w:hAnsi="Times New Roman" w:eastAsia="楷体_GB2312" w:cs="Times New Roman"/>
          <w:b/>
          <w:color w:val="auto"/>
          <w:sz w:val="32"/>
          <w:szCs w:val="32"/>
          <w:highlight w:val="none"/>
          <w:u w:val="none"/>
          <w:lang w:val="zh-CN" w:eastAsia="zh-CN"/>
        </w:rPr>
        <w:t>。</w:t>
      </w:r>
      <w:r>
        <w:rPr>
          <w:rFonts w:hint="eastAsia" w:ascii="Times New Roman" w:hAnsi="Times New Roman" w:eastAsia="仿宋_GB2312" w:cs="仿宋_GB2312"/>
          <w:b w:val="0"/>
          <w:bCs w:val="0"/>
          <w:kern w:val="0"/>
          <w:position w:val="0"/>
          <w:sz w:val="32"/>
          <w:szCs w:val="32"/>
          <w:highlight w:val="none"/>
          <w:lang w:val="zh-CN" w:eastAsia="zh-CN" w:bidi="ar-SA"/>
        </w:rPr>
        <w:t>项目预算安排情况，项目资金分配原则及考虑因素，项目资金分配情况。</w:t>
      </w:r>
    </w:p>
    <w:p>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hint="default"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楷体_GB2312" w:cs="Times New Roman"/>
          <w:b/>
          <w:color w:val="auto"/>
          <w:sz w:val="32"/>
          <w:szCs w:val="32"/>
          <w:highlight w:val="none"/>
          <w:u w:val="none"/>
          <w:lang w:val="zh-CN" w:eastAsia="zh-CN"/>
        </w:rPr>
        <w:t>（四）项目绩效目标设置。</w:t>
      </w:r>
      <w:r>
        <w:rPr>
          <w:rFonts w:hint="eastAsia" w:ascii="Times New Roman" w:hAnsi="Times New Roman" w:eastAsia="仿宋_GB2312" w:cs="仿宋_GB2312"/>
          <w:b w:val="0"/>
          <w:bCs w:val="0"/>
          <w:kern w:val="0"/>
          <w:position w:val="0"/>
          <w:sz w:val="32"/>
          <w:szCs w:val="32"/>
          <w:highlight w:val="none"/>
          <w:lang w:val="zh-CN" w:eastAsia="zh-CN" w:bidi="ar-SA"/>
        </w:rPr>
        <w:t>项目整体、区域和具体绩效目标设置情况，项目自评工作开展情况。</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Times New Roman" w:hAnsi="Times New Roman" w:eastAsia="黑体"/>
          <w:sz w:val="32"/>
          <w:szCs w:val="32"/>
          <w:highlight w:val="none"/>
          <w:lang w:eastAsia="zh-CN"/>
        </w:rPr>
      </w:pPr>
      <w:r>
        <w:rPr>
          <w:rFonts w:hint="eastAsia" w:ascii="Times New Roman" w:hAnsi="Times New Roman" w:eastAsia="黑体"/>
          <w:sz w:val="32"/>
          <w:szCs w:val="32"/>
          <w:highlight w:val="none"/>
        </w:rPr>
        <w:t>二、</w:t>
      </w:r>
      <w:r>
        <w:rPr>
          <w:rFonts w:hint="eastAsia" w:ascii="Times New Roman" w:hAnsi="Times New Roman"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楷体_GB2312"/>
          <w:b/>
          <w:color w:val="auto"/>
          <w:sz w:val="32"/>
          <w:szCs w:val="32"/>
          <w:highlight w:val="none"/>
          <w:u w:val="none"/>
          <w:lang w:val="zh-CN"/>
        </w:rPr>
        <w:t>（一）评价目的。</w:t>
      </w:r>
      <w:r>
        <w:rPr>
          <w:rFonts w:hint="eastAsia" w:ascii="Times New Roman" w:hAnsi="Times New Roman" w:eastAsia="仿宋_GB2312" w:cs="仿宋_GB2312"/>
          <w:b w:val="0"/>
          <w:bCs w:val="0"/>
          <w:kern w:val="0"/>
          <w:position w:val="0"/>
          <w:sz w:val="32"/>
          <w:szCs w:val="32"/>
          <w:highlight w:val="none"/>
          <w:lang w:val="zh-CN" w:eastAsia="zh-CN" w:bidi="ar-SA"/>
        </w:rPr>
        <w:t>通过项目绩效自评要实现的目的。</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楷体_GB2312"/>
          <w:b/>
          <w:color w:val="auto"/>
          <w:sz w:val="32"/>
          <w:szCs w:val="32"/>
          <w:highlight w:val="none"/>
          <w:u w:val="none"/>
          <w:lang w:val="zh-CN"/>
        </w:rPr>
        <w:t>（二）预设问题及评价重点。</w:t>
      </w:r>
      <w:r>
        <w:rPr>
          <w:rFonts w:hint="eastAsia" w:ascii="Times New Roman" w:hAnsi="Times New Roman" w:eastAsia="仿宋_GB2312" w:cs="仿宋_GB2312"/>
          <w:b w:val="0"/>
          <w:bCs w:val="0"/>
          <w:kern w:val="0"/>
          <w:position w:val="0"/>
          <w:sz w:val="32"/>
          <w:szCs w:val="32"/>
          <w:highlight w:val="none"/>
          <w:lang w:val="zh-CN" w:eastAsia="zh-CN" w:bidi="ar-SA"/>
        </w:rPr>
        <w:t>按照绩效评价指标体系，对资金支出使用全过程及其实施效果进行综合评价和判断。</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楷体_GB2312"/>
          <w:b/>
          <w:color w:val="auto"/>
          <w:sz w:val="32"/>
          <w:szCs w:val="32"/>
          <w:highlight w:val="none"/>
          <w:u w:val="none"/>
          <w:lang w:val="zh-CN"/>
        </w:rPr>
      </w:pPr>
      <w:r>
        <w:rPr>
          <w:rFonts w:hint="eastAsia" w:ascii="Times New Roman" w:hAnsi="Times New Roman" w:eastAsia="楷体_GB2312"/>
          <w:b/>
          <w:color w:val="auto"/>
          <w:sz w:val="32"/>
          <w:szCs w:val="32"/>
          <w:highlight w:val="none"/>
          <w:u w:val="none"/>
          <w:lang w:val="zh-CN"/>
        </w:rPr>
        <w:t>（三）评价选点。</w:t>
      </w:r>
      <w:r>
        <w:rPr>
          <w:rFonts w:hint="eastAsia" w:ascii="Times New Roman" w:hAnsi="Times New Roman" w:eastAsia="仿宋_GB2312" w:cs="仿宋_GB2312"/>
          <w:b w:val="0"/>
          <w:color w:val="auto"/>
          <w:kern w:val="0"/>
          <w:sz w:val="32"/>
          <w:szCs w:val="32"/>
          <w:highlight w:val="none"/>
          <w:u w:val="none"/>
          <w:lang w:val="zh-CN"/>
        </w:rPr>
        <w:t>项目绩效自评所抽样点位情况。每个专项预算项目应选取专项资金分配涉及市县总数的20%、总计不超过20个的市县点位进行实地踏勘，且点位清单应作为自评附表。</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楷体_GB2312"/>
          <w:b/>
          <w:color w:val="auto"/>
          <w:sz w:val="32"/>
          <w:szCs w:val="32"/>
          <w:highlight w:val="none"/>
          <w:u w:val="none"/>
          <w:lang w:val="zh-CN"/>
        </w:rPr>
        <w:t>（四）评价方法。</w:t>
      </w:r>
      <w:r>
        <w:rPr>
          <w:rFonts w:hint="eastAsia" w:ascii="Times New Roman" w:hAnsi="Times New Roman" w:eastAsia="仿宋_GB2312" w:cs="仿宋_GB2312"/>
          <w:b w:val="0"/>
          <w:bCs w:val="0"/>
          <w:kern w:val="0"/>
          <w:position w:val="0"/>
          <w:sz w:val="32"/>
          <w:szCs w:val="32"/>
          <w:highlight w:val="none"/>
          <w:lang w:val="zh-CN" w:eastAsia="zh-CN" w:bidi="ar-SA"/>
        </w:rPr>
        <w:t>根据项目情况和评价重点，用来收集相关材料和开展具体评价的方法。包括：采用成本效益分析法、标杆管理法、案卷研究法、单位自评法、实地勘察法、问卷调查法、座谈调研法等多种方法。</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Times New Roman"/>
          <w:bCs/>
          <w:lang w:eastAsia="zh-CN"/>
        </w:rPr>
      </w:pPr>
      <w:r>
        <w:rPr>
          <w:rFonts w:hint="eastAsia" w:ascii="Times New Roman" w:hAnsi="Times New Roman" w:eastAsia="楷体_GB2312"/>
          <w:b/>
          <w:color w:val="auto"/>
          <w:sz w:val="32"/>
          <w:szCs w:val="32"/>
          <w:highlight w:val="none"/>
          <w:u w:val="none"/>
          <w:lang w:val="zh-CN"/>
        </w:rPr>
        <w:t>（五）评价组织。</w:t>
      </w:r>
      <w:r>
        <w:rPr>
          <w:rFonts w:hint="eastAsia" w:ascii="Times New Roman" w:hAnsi="Times New Roman" w:eastAsia="仿宋_GB2312" w:cs="仿宋_GB2312"/>
          <w:b w:val="0"/>
          <w:bCs w:val="0"/>
          <w:kern w:val="0"/>
          <w:position w:val="0"/>
          <w:sz w:val="32"/>
          <w:szCs w:val="32"/>
          <w:highlight w:val="none"/>
          <w:lang w:val="zh-CN" w:eastAsia="zh-CN" w:bidi="ar-SA"/>
        </w:rPr>
        <w:t>评价组人员构成和职责分工。</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color w:val="auto"/>
          <w:sz w:val="32"/>
          <w:szCs w:val="32"/>
          <w:highlight w:val="none"/>
          <w:u w:val="none"/>
          <w:lang w:val="zh-CN"/>
        </w:rPr>
      </w:pPr>
      <w:r>
        <w:rPr>
          <w:rFonts w:hint="eastAsia" w:ascii="Times New Roman" w:hAnsi="Times New Roman" w:eastAsia="黑体"/>
          <w:color w:val="auto"/>
          <w:sz w:val="32"/>
          <w:szCs w:val="32"/>
          <w:highlight w:val="none"/>
          <w:u w:val="none"/>
        </w:rPr>
        <w:t>三、</w:t>
      </w:r>
      <w:r>
        <w:rPr>
          <w:rFonts w:hint="eastAsia" w:ascii="Times New Roman" w:hAnsi="Times New Roman" w:eastAsia="黑体"/>
          <w:color w:val="auto"/>
          <w:sz w:val="32"/>
          <w:szCs w:val="32"/>
          <w:highlight w:val="none"/>
          <w:u w:val="none"/>
          <w:lang w:eastAsia="zh-CN"/>
        </w:rPr>
        <w:t>绩效分析</w:t>
      </w:r>
      <w:r>
        <w:rPr>
          <w:rFonts w:hint="eastAsia" w:ascii="Times New Roman" w:hAnsi="Times New Roman"/>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default" w:ascii="Times New Roman" w:hAnsi="Times New Roman" w:eastAsia="仿宋_GB2312" w:cs="仿宋_GB2312"/>
          <w:b w:val="0"/>
          <w:bCs w:val="0"/>
          <w:kern w:val="0"/>
          <w:position w:val="0"/>
          <w:sz w:val="32"/>
          <w:szCs w:val="32"/>
          <w:highlight w:val="none"/>
          <w:lang w:val="zh-CN" w:eastAsia="zh-CN" w:bidi="ar-SA"/>
        </w:rPr>
        <w:t>根据</w:t>
      </w:r>
      <w:r>
        <w:rPr>
          <w:rFonts w:hint="eastAsia" w:ascii="Times New Roman" w:hAnsi="Times New Roman" w:eastAsia="仿宋_GB2312" w:cs="仿宋_GB2312"/>
          <w:b w:val="0"/>
          <w:bCs w:val="0"/>
          <w:kern w:val="0"/>
          <w:position w:val="0"/>
          <w:sz w:val="32"/>
          <w:szCs w:val="32"/>
          <w:highlight w:val="none"/>
          <w:lang w:val="zh-CN" w:eastAsia="zh-CN" w:bidi="ar-SA"/>
        </w:rPr>
        <w:t>项目</w:t>
      </w:r>
      <w:r>
        <w:rPr>
          <w:rFonts w:hint="default" w:ascii="Times New Roman" w:hAnsi="Times New Roman" w:eastAsia="仿宋_GB2312" w:cs="仿宋_GB2312"/>
          <w:b w:val="0"/>
          <w:bCs w:val="0"/>
          <w:kern w:val="0"/>
          <w:position w:val="0"/>
          <w:sz w:val="32"/>
          <w:szCs w:val="32"/>
          <w:highlight w:val="none"/>
          <w:lang w:val="zh-CN" w:eastAsia="zh-CN" w:bidi="ar-SA"/>
        </w:rPr>
        <w:t>预算绩效评价指标体系</w:t>
      </w:r>
      <w:r>
        <w:rPr>
          <w:rFonts w:hint="eastAsia" w:ascii="Times New Roman" w:hAnsi="Times New Roman" w:eastAsia="仿宋_GB2312" w:cs="仿宋_GB2312"/>
          <w:b w:val="0"/>
          <w:bCs w:val="0"/>
          <w:kern w:val="0"/>
          <w:position w:val="0"/>
          <w:sz w:val="32"/>
          <w:szCs w:val="32"/>
          <w:highlight w:val="none"/>
          <w:lang w:val="zh-CN" w:eastAsia="zh-CN" w:bidi="ar-SA"/>
        </w:rPr>
        <w:t>通用指标、专用指标、个性指标</w:t>
      </w:r>
      <w:r>
        <w:rPr>
          <w:rFonts w:hint="default" w:ascii="Times New Roman" w:hAnsi="Times New Roman" w:eastAsia="仿宋_GB2312" w:cs="仿宋_GB2312"/>
          <w:b w:val="0"/>
          <w:bCs w:val="0"/>
          <w:kern w:val="0"/>
          <w:position w:val="0"/>
          <w:sz w:val="32"/>
          <w:szCs w:val="32"/>
          <w:highlight w:val="none"/>
          <w:lang w:val="zh-CN" w:eastAsia="zh-CN" w:bidi="ar-SA"/>
        </w:rPr>
        <w:t>涉及</w:t>
      </w:r>
      <w:r>
        <w:rPr>
          <w:rFonts w:hint="eastAsia" w:ascii="Times New Roman" w:hAnsi="Times New Roman" w:eastAsia="仿宋_GB2312" w:cs="仿宋_GB2312"/>
          <w:b w:val="0"/>
          <w:bCs w:val="0"/>
          <w:kern w:val="0"/>
          <w:position w:val="0"/>
          <w:sz w:val="32"/>
          <w:szCs w:val="32"/>
          <w:highlight w:val="none"/>
          <w:lang w:val="zh-CN" w:eastAsia="zh-CN" w:bidi="ar-SA"/>
        </w:rPr>
        <w:t>二、三级</w:t>
      </w:r>
      <w:r>
        <w:rPr>
          <w:rFonts w:hint="default" w:ascii="Times New Roman" w:hAnsi="Times New Roman" w:eastAsia="仿宋_GB2312" w:cs="仿宋_GB2312"/>
          <w:b w:val="0"/>
          <w:bCs w:val="0"/>
          <w:kern w:val="0"/>
          <w:position w:val="0"/>
          <w:sz w:val="32"/>
          <w:szCs w:val="32"/>
          <w:highlight w:val="none"/>
          <w:lang w:val="zh-CN" w:eastAsia="zh-CN" w:bidi="ar-SA"/>
        </w:rPr>
        <w:t>指标进行</w:t>
      </w:r>
      <w:r>
        <w:rPr>
          <w:rFonts w:hint="eastAsia" w:ascii="Times New Roman" w:hAnsi="Times New Roman" w:eastAsia="仿宋_GB2312" w:cs="仿宋_GB2312"/>
          <w:b w:val="0"/>
          <w:bCs w:val="0"/>
          <w:kern w:val="0"/>
          <w:position w:val="0"/>
          <w:sz w:val="32"/>
          <w:szCs w:val="32"/>
          <w:highlight w:val="none"/>
          <w:lang w:val="zh-CN" w:eastAsia="zh-CN" w:bidi="ar-SA"/>
        </w:rPr>
        <w:t>逐项</w:t>
      </w:r>
      <w:r>
        <w:rPr>
          <w:rFonts w:hint="default" w:ascii="Times New Roman" w:hAnsi="Times New Roman" w:eastAsia="仿宋_GB2312" w:cs="仿宋_GB2312"/>
          <w:b w:val="0"/>
          <w:bCs w:val="0"/>
          <w:kern w:val="0"/>
          <w:position w:val="0"/>
          <w:sz w:val="32"/>
          <w:szCs w:val="32"/>
          <w:highlight w:val="none"/>
          <w:lang w:val="zh-CN" w:eastAsia="zh-CN" w:bidi="ar-SA"/>
        </w:rPr>
        <w:t>绩效分析</w:t>
      </w:r>
      <w:r>
        <w:rPr>
          <w:rFonts w:hint="eastAsia" w:ascii="Times New Roman" w:hAnsi="Times New Roman" w:eastAsia="仿宋_GB2312" w:cs="仿宋_GB2312"/>
          <w:b w:val="0"/>
          <w:bCs w:val="0"/>
          <w:kern w:val="0"/>
          <w:position w:val="0"/>
          <w:sz w:val="32"/>
          <w:szCs w:val="32"/>
          <w:highlight w:val="none"/>
          <w:lang w:val="zh-CN" w:eastAsia="zh-CN" w:bidi="ar-SA"/>
        </w:rPr>
        <w:t>并评分</w:t>
      </w:r>
      <w:r>
        <w:rPr>
          <w:rFonts w:hint="eastAsia" w:ascii="Times New Roman" w:hAnsi="Times New Roman" w:eastAsia="仿宋_GB2312" w:cs="仿宋_GB2312"/>
          <w:b w:val="0"/>
          <w:bCs w:val="0"/>
          <w:kern w:val="0"/>
          <w:position w:val="0"/>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Times New Roman" w:hAnsi="Times New Roman" w:eastAsia="楷体_GB2312" w:cs="Times New Roman"/>
          <w:b/>
          <w:color w:val="auto"/>
          <w:sz w:val="32"/>
          <w:szCs w:val="32"/>
          <w:highlight w:val="none"/>
          <w:u w:val="none"/>
          <w:lang w:val="en-US" w:eastAsia="zh-CN"/>
        </w:rPr>
      </w:pPr>
      <w:r>
        <w:rPr>
          <w:rFonts w:hint="eastAsia" w:ascii="Times New Roman" w:hAnsi="Times New Roman" w:eastAsia="楷体_GB2312" w:cs="Times New Roman"/>
          <w:b/>
          <w:color w:val="auto"/>
          <w:sz w:val="32"/>
          <w:szCs w:val="32"/>
          <w:highlight w:val="none"/>
          <w:u w:val="none"/>
          <w:lang w:val="zh-CN"/>
        </w:rPr>
        <w:t>（一）</w:t>
      </w:r>
      <w:r>
        <w:rPr>
          <w:rFonts w:hint="eastAsia" w:ascii="Times New Roman" w:hAnsi="Times New Roman"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1.</w:t>
      </w:r>
      <w:r>
        <w:rPr>
          <w:rFonts w:hint="eastAsia" w:ascii="Times New Roman" w:hAnsi="Times New Roman" w:eastAsia="仿宋_GB2312" w:cs="仿宋_GB2312"/>
          <w:b w:val="0"/>
          <w:bCs w:val="0"/>
          <w:kern w:val="0"/>
          <w:position w:val="0"/>
          <w:sz w:val="32"/>
          <w:szCs w:val="32"/>
          <w:highlight w:val="none"/>
          <w:lang w:val="zh-CN" w:eastAsia="zh-CN" w:bidi="ar-SA"/>
        </w:rPr>
        <w:t>项目决策。围绕决策程序、规划论证、资金投向进行绩效分析。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w:t>
      </w:r>
      <w:r>
        <w:rPr>
          <w:rFonts w:hint="eastAsia" w:ascii="Times New Roman" w:hAnsi="Times New Roman" w:eastAsia="仿宋_GB2312" w:cs="仿宋_GB2312"/>
          <w:b w:val="0"/>
          <w:bCs w:val="0"/>
          <w:kern w:val="0"/>
          <w:position w:val="0"/>
          <w:sz w:val="32"/>
          <w:szCs w:val="32"/>
          <w:highlight w:val="none"/>
          <w:lang w:val="zh-CN" w:eastAsia="zh-CN" w:bidi="ar-SA"/>
        </w:rPr>
        <w:t>项目管理。围绕制度办法、分配管理、绩效监管进行绩效分析。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3.项目实施。</w:t>
      </w:r>
      <w:r>
        <w:rPr>
          <w:rFonts w:hint="eastAsia" w:ascii="Times New Roman" w:hAnsi="Times New Roman" w:eastAsia="仿宋_GB2312" w:cs="仿宋_GB2312"/>
          <w:b w:val="0"/>
          <w:bCs w:val="0"/>
          <w:kern w:val="0"/>
          <w:position w:val="0"/>
          <w:sz w:val="32"/>
          <w:szCs w:val="32"/>
          <w:highlight w:val="none"/>
          <w:lang w:val="zh-CN" w:eastAsia="zh-CN" w:bidi="ar-SA"/>
        </w:rPr>
        <w:t>围绕预算执行、资金使用进行绩效分析。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4.项目结果。围绕</w:t>
      </w:r>
      <w:r>
        <w:rPr>
          <w:rFonts w:hint="eastAsia" w:ascii="Times New Roman" w:hAnsi="Times New Roman" w:eastAsia="仿宋_GB2312" w:cs="仿宋_GB2312"/>
          <w:b w:val="0"/>
          <w:bCs w:val="0"/>
          <w:kern w:val="0"/>
          <w:position w:val="0"/>
          <w:sz w:val="32"/>
          <w:szCs w:val="32"/>
          <w:highlight w:val="none"/>
          <w:lang w:val="zh-CN" w:eastAsia="zh-CN" w:bidi="ar-SA"/>
        </w:rPr>
        <w:t>目标完成、完成时效进行绩效分析。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楷体_GB2312" w:cs="Times New Roman"/>
          <w:b/>
          <w:color w:val="auto"/>
          <w:sz w:val="32"/>
          <w:szCs w:val="32"/>
          <w:highlight w:val="none"/>
          <w:u w:val="none"/>
          <w:lang w:val="zh-CN"/>
        </w:rPr>
        <w:t>（二）</w:t>
      </w:r>
      <w:r>
        <w:rPr>
          <w:rFonts w:hint="eastAsia" w:ascii="Times New Roman" w:hAnsi="Times New Roman"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r>
        <w:rPr>
          <w:rFonts w:hint="eastAsia" w:ascii="Times New Roman" w:hAnsi="Times New Roman" w:eastAsia="仿宋_GB2312" w:cs="仿宋_GB2312"/>
          <w:b w:val="0"/>
          <w:bCs w:val="0"/>
          <w:kern w:val="0"/>
          <w:position w:val="0"/>
          <w:sz w:val="32"/>
          <w:szCs w:val="32"/>
          <w:highlight w:val="none"/>
          <w:lang w:val="zh-CN" w:eastAsia="zh-CN" w:bidi="ar-SA"/>
        </w:rPr>
        <w:t>根据</w:t>
      </w:r>
      <w:r>
        <w:rPr>
          <w:rFonts w:hint="eastAsia" w:ascii="Times New Roman" w:hAnsi="Times New Roman" w:eastAsia="仿宋_GB2312" w:cs="仿宋_GB2312"/>
          <w:b w:val="0"/>
          <w:bCs w:val="0"/>
          <w:kern w:val="0"/>
          <w:position w:val="0"/>
          <w:sz w:val="32"/>
          <w:szCs w:val="32"/>
          <w:highlight w:val="none"/>
          <w:lang w:val="en-US" w:eastAsia="zh-CN" w:bidi="ar-SA"/>
        </w:rPr>
        <w:t>专项预算项目资金支持对象选择所属指标进行绩效分析。支持对象</w:t>
      </w:r>
      <w:r>
        <w:rPr>
          <w:rFonts w:hint="eastAsia" w:ascii="Times New Roman" w:hAnsi="Times New Roman" w:eastAsia="仿宋_GB2312" w:cs="仿宋_GB2312"/>
          <w:b w:val="0"/>
          <w:bCs w:val="0"/>
          <w:kern w:val="0"/>
          <w:position w:val="0"/>
          <w:sz w:val="32"/>
          <w:szCs w:val="32"/>
          <w:highlight w:val="none"/>
          <w:lang w:val="zh-CN" w:eastAsia="zh-CN" w:bidi="ar-SA"/>
        </w:rPr>
        <w:t>包括产业发展、民生保障、基础设施、行政运转等方面。</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1.产业发展。围绕符合性、成长性、经济性进行绩效分析。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w:t>
      </w:r>
      <w:r>
        <w:rPr>
          <w:rFonts w:hint="eastAsia" w:ascii="Times New Roman" w:hAnsi="Times New Roman" w:eastAsia="仿宋_GB2312" w:cs="仿宋_GB2312"/>
          <w:b w:val="0"/>
          <w:bCs w:val="0"/>
          <w:kern w:val="0"/>
          <w:position w:val="0"/>
          <w:sz w:val="32"/>
          <w:szCs w:val="32"/>
          <w:highlight w:val="none"/>
          <w:lang w:val="zh-CN" w:eastAsia="zh-CN" w:bidi="ar-SA"/>
        </w:rPr>
        <w:t>民生保障。</w:t>
      </w:r>
      <w:r>
        <w:rPr>
          <w:rFonts w:hint="eastAsia" w:ascii="Times New Roman" w:hAnsi="Times New Roman" w:eastAsia="仿宋_GB2312" w:cs="仿宋_GB2312"/>
          <w:b w:val="0"/>
          <w:bCs w:val="0"/>
          <w:kern w:val="0"/>
          <w:position w:val="0"/>
          <w:sz w:val="32"/>
          <w:szCs w:val="32"/>
          <w:highlight w:val="none"/>
          <w:lang w:val="en-US" w:eastAsia="zh-CN" w:bidi="ar-SA"/>
        </w:rPr>
        <w:t>围绕区域均衡性、对象精准性、标准合理性、群众满意度进行绩效分析。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3.基础设施。在建项目围绕工程进度和资金拨付进行绩效分析；建成项目围绕项目验收、功能实现、后续管护进行</w:t>
      </w:r>
      <w:r>
        <w:rPr>
          <w:rFonts w:hint="eastAsia" w:ascii="Times New Roman" w:hAnsi="Times New Roman" w:eastAsia="仿宋_GB2312" w:cs="仿宋_GB2312"/>
          <w:b w:val="0"/>
          <w:bCs w:val="0"/>
          <w:kern w:val="0"/>
          <w:position w:val="0"/>
          <w:sz w:val="32"/>
          <w:szCs w:val="32"/>
          <w:highlight w:val="none"/>
          <w:lang w:val="zh-CN" w:eastAsia="zh-CN" w:bidi="ar-SA"/>
        </w:rPr>
        <w:t>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4.</w:t>
      </w:r>
      <w:r>
        <w:rPr>
          <w:rFonts w:hint="eastAsia" w:ascii="Times New Roman" w:hAnsi="Times New Roman" w:eastAsia="仿宋_GB2312" w:cs="仿宋_GB2312"/>
          <w:b w:val="0"/>
          <w:bCs w:val="0"/>
          <w:kern w:val="0"/>
          <w:position w:val="0"/>
          <w:sz w:val="32"/>
          <w:szCs w:val="32"/>
          <w:highlight w:val="none"/>
          <w:lang w:val="zh-CN" w:eastAsia="zh-CN" w:bidi="ar-SA"/>
        </w:rPr>
        <w:t>行政运转。围绕用途合规性、程序合规性、标准合规性进行绩效分析。</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楷体_GB2312" w:cs="Times New Roman"/>
          <w:b/>
          <w:color w:val="auto"/>
          <w:sz w:val="32"/>
          <w:szCs w:val="32"/>
          <w:highlight w:val="none"/>
          <w:u w:val="none"/>
          <w:lang w:val="zh-CN"/>
        </w:rPr>
        <w:t>（三）</w:t>
      </w:r>
      <w:r>
        <w:rPr>
          <w:rFonts w:hint="eastAsia" w:ascii="Times New Roman" w:hAnsi="Times New Roman"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r>
        <w:rPr>
          <w:rFonts w:hint="eastAsia" w:ascii="Times New Roman" w:hAnsi="Times New Roman" w:eastAsia="仿宋_GB2312" w:cs="仿宋_GB2312"/>
          <w:b w:val="0"/>
          <w:bCs w:val="0"/>
          <w:kern w:val="0"/>
          <w:position w:val="0"/>
          <w:sz w:val="32"/>
          <w:szCs w:val="32"/>
          <w:highlight w:val="none"/>
          <w:lang w:val="zh-CN" w:eastAsia="zh-CN" w:bidi="ar-SA"/>
        </w:rPr>
        <w:t>根据项目个性自行设定部分指标，反映该项指标执行完成情况。</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黑体" w:hAnsi="黑体" w:eastAsia="黑体" w:cs="黑体"/>
          <w:b w:val="0"/>
          <w:bCs w:val="0"/>
          <w:kern w:val="0"/>
          <w:position w:val="0"/>
          <w:sz w:val="32"/>
          <w:szCs w:val="32"/>
          <w:highlight w:val="none"/>
          <w:lang w:val="en-US" w:eastAsia="zh-CN" w:bidi="ar-SA"/>
        </w:rPr>
      </w:pPr>
      <w:r>
        <w:rPr>
          <w:rFonts w:hint="eastAsia" w:ascii="黑体" w:hAnsi="黑体" w:eastAsia="黑体" w:cs="黑体"/>
          <w:b w:val="0"/>
          <w:bCs w:val="0"/>
          <w:kern w:val="0"/>
          <w:position w:val="0"/>
          <w:sz w:val="32"/>
          <w:szCs w:val="32"/>
          <w:highlight w:val="none"/>
          <w:lang w:val="en-US" w:eastAsia="zh-CN" w:bidi="ar-SA"/>
        </w:rPr>
        <w:t>四、评价结论</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简要阐述专项预算项目绩效自评总体结论，包含评价总分、</w:t>
      </w:r>
      <w:r>
        <w:rPr>
          <w:rFonts w:hint="eastAsia" w:ascii="Times New Roman" w:hAnsi="Times New Roman" w:eastAsia="仿宋_GB2312" w:cs="仿宋_GB2312"/>
          <w:b w:val="0"/>
          <w:bCs w:val="0"/>
          <w:kern w:val="0"/>
          <w:position w:val="0"/>
          <w:sz w:val="32"/>
          <w:szCs w:val="32"/>
          <w:highlight w:val="none"/>
          <w:lang w:val="zh-CN" w:eastAsia="zh-CN" w:bidi="ar-SA"/>
        </w:rPr>
        <w:t>项目实施情况。</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黑体" w:hAnsi="黑体" w:eastAsia="黑体" w:cs="黑体"/>
          <w:b w:val="0"/>
          <w:bCs w:val="0"/>
          <w:kern w:val="0"/>
          <w:position w:val="0"/>
          <w:sz w:val="32"/>
          <w:szCs w:val="32"/>
          <w:highlight w:val="none"/>
          <w:lang w:val="en-US" w:eastAsia="zh-CN" w:bidi="ar-SA"/>
        </w:rPr>
      </w:pPr>
      <w:r>
        <w:rPr>
          <w:rFonts w:hint="eastAsia" w:ascii="黑体" w:hAnsi="黑体" w:eastAsia="黑体" w:cs="黑体"/>
          <w:b w:val="0"/>
          <w:bCs w:val="0"/>
          <w:kern w:val="0"/>
          <w:position w:val="0"/>
          <w:sz w:val="32"/>
          <w:szCs w:val="32"/>
          <w:highlight w:val="none"/>
          <w:lang w:val="en-US" w:eastAsia="zh-CN" w:bidi="ar-SA"/>
        </w:rPr>
        <w:t>五、存在主要问题</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简要阐述专项预算项目绩效自评发现的主要问题。</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黑体" w:hAnsi="黑体" w:eastAsia="黑体" w:cs="黑体"/>
          <w:b w:val="0"/>
          <w:bCs w:val="0"/>
          <w:kern w:val="0"/>
          <w:position w:val="0"/>
          <w:sz w:val="32"/>
          <w:szCs w:val="32"/>
          <w:highlight w:val="none"/>
          <w:lang w:val="zh-CN" w:eastAsia="zh-CN" w:bidi="ar-SA"/>
        </w:rPr>
      </w:pPr>
      <w:r>
        <w:rPr>
          <w:rFonts w:hint="eastAsia" w:ascii="黑体" w:hAnsi="黑体" w:eastAsia="黑体" w:cs="黑体"/>
          <w:b w:val="0"/>
          <w:bCs w:val="0"/>
          <w:kern w:val="0"/>
          <w:position w:val="0"/>
          <w:sz w:val="32"/>
          <w:szCs w:val="32"/>
          <w:highlight w:val="none"/>
          <w:lang w:val="zh-CN" w:eastAsia="zh-CN" w:bidi="ar-SA"/>
        </w:rPr>
        <w:t>六、改进建议</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简要阐述专项预算项目在</w:t>
      </w:r>
      <w:r>
        <w:rPr>
          <w:rFonts w:hint="eastAsia" w:ascii="Times New Roman" w:hAnsi="Times New Roman" w:eastAsia="仿宋_GB2312" w:cs="仿宋_GB2312"/>
          <w:b w:val="0"/>
          <w:bCs w:val="0"/>
          <w:kern w:val="0"/>
          <w:position w:val="0"/>
          <w:sz w:val="32"/>
          <w:szCs w:val="32"/>
          <w:highlight w:val="none"/>
          <w:lang w:val="en" w:eastAsia="zh-CN" w:bidi="ar-SA"/>
        </w:rPr>
        <w:t>预算安排、完善政策、改进管理等方面的</w:t>
      </w:r>
      <w:r>
        <w:rPr>
          <w:rFonts w:hint="eastAsia" w:ascii="Times New Roman" w:hAnsi="Times New Roman" w:eastAsia="仿宋_GB2312" w:cs="仿宋_GB2312"/>
          <w:b w:val="0"/>
          <w:bCs w:val="0"/>
          <w:kern w:val="0"/>
          <w:position w:val="0"/>
          <w:sz w:val="32"/>
          <w:szCs w:val="32"/>
          <w:highlight w:val="none"/>
          <w:lang w:val="en-US" w:eastAsia="zh-CN" w:bidi="ar-SA"/>
        </w:rPr>
        <w:t>措施</w:t>
      </w:r>
      <w:r>
        <w:rPr>
          <w:rFonts w:hint="eastAsia" w:ascii="Times New Roman" w:hAnsi="Times New Roman" w:eastAsia="仿宋_GB2312" w:cs="仿宋_GB2312"/>
          <w:b w:val="0"/>
          <w:bCs w:val="0"/>
          <w:kern w:val="0"/>
          <w:position w:val="0"/>
          <w:sz w:val="32"/>
          <w:szCs w:val="32"/>
          <w:highlight w:val="none"/>
          <w:lang w:val="en" w:eastAsia="zh-CN" w:bidi="ar-SA"/>
        </w:rPr>
        <w:t>建议，其中</w:t>
      </w:r>
      <w:r>
        <w:rPr>
          <w:rFonts w:hint="eastAsia" w:ascii="Times New Roman" w:hAnsi="Times New Roman" w:eastAsia="仿宋_GB2312" w:cs="仿宋_GB2312"/>
          <w:b w:val="0"/>
          <w:bCs w:val="0"/>
          <w:kern w:val="0"/>
          <w:position w:val="0"/>
          <w:sz w:val="32"/>
          <w:szCs w:val="32"/>
          <w:highlight w:val="none"/>
          <w:lang w:val="en-US" w:eastAsia="zh-CN" w:bidi="ar-SA"/>
        </w:rPr>
        <w:t>必须对应评价发现的主要问题一一提出措施建议。</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w:t>
      </w:r>
      <w:r>
        <w:rPr>
          <w:rFonts w:hint="eastAsia" w:eastAsia="仿宋_GB2312" w:cs="仿宋_GB2312"/>
          <w:b w:val="0"/>
          <w:bCs w:val="0"/>
          <w:kern w:val="0"/>
          <w:position w:val="0"/>
          <w:sz w:val="32"/>
          <w:szCs w:val="32"/>
          <w:highlight w:val="none"/>
          <w:lang w:val="en-US" w:eastAsia="zh-CN" w:bidi="ar-SA"/>
        </w:rPr>
        <w:t>注：</w:t>
      </w:r>
      <w:r>
        <w:rPr>
          <w:rFonts w:hint="eastAsia" w:ascii="Times New Roman" w:hAnsi="Times New Roman" w:eastAsia="仿宋_GB2312" w:cs="仿宋_GB2312"/>
          <w:b w:val="0"/>
          <w:bCs w:val="0"/>
          <w:kern w:val="0"/>
          <w:position w:val="0"/>
          <w:sz w:val="32"/>
          <w:szCs w:val="32"/>
          <w:highlight w:val="none"/>
          <w:lang w:val="en-US" w:eastAsia="zh-CN" w:bidi="ar-SA"/>
        </w:rPr>
        <w:t>以上绩效自评报告，除涉密敏感内容外，原则上都应予以公开）</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bookmarkStart w:id="68" w:name="_Toc15396618"/>
      <w:r>
        <w:rPr>
          <w:rFonts w:hint="eastAsia" w:ascii="Times New Roman" w:hAnsi="Times New Roman" w:eastAsia="仿宋_GB2312" w:cs="仿宋_GB2312"/>
          <w:b w:val="0"/>
          <w:bCs w:val="0"/>
          <w:kern w:val="0"/>
          <w:position w:val="0"/>
          <w:sz w:val="32"/>
          <w:szCs w:val="32"/>
          <w:highlight w:val="none"/>
          <w:lang w:val="en-US" w:eastAsia="zh-CN" w:bidi="ar-SA"/>
        </w:rPr>
        <w:br w:type="page"/>
      </w:r>
    </w:p>
    <w:p>
      <w:pPr>
        <w:widowControl/>
        <w:jc w:val="center"/>
        <w:rPr>
          <w:rFonts w:hint="eastAsia" w:ascii="Times New Roman" w:hAnsi="Times New Roman" w:eastAsia="仿宋"/>
          <w:b w:val="0"/>
          <w:color w:val="auto"/>
          <w:highlight w:val="none"/>
        </w:rPr>
      </w:pPr>
      <w:r>
        <w:rPr>
          <w:rFonts w:hint="eastAsia" w:ascii="Times New Roman" w:hAnsi="Times New Roman" w:eastAsia="黑体"/>
          <w:color w:val="auto"/>
          <w:sz w:val="44"/>
          <w:szCs w:val="44"/>
          <w:highlight w:val="none"/>
        </w:rPr>
        <w:t>第</w:t>
      </w:r>
      <w:r>
        <w:rPr>
          <w:rStyle w:val="28"/>
          <w:rFonts w:hint="eastAsia" w:ascii="Times New Roman" w:hAnsi="Times New Roman" w:eastAsia="黑体"/>
          <w:b w:val="0"/>
          <w:color w:val="auto"/>
          <w:highlight w:val="none"/>
        </w:rPr>
        <w:t>五部分 附表</w:t>
      </w:r>
      <w:bookmarkEnd w:id="65"/>
      <w:bookmarkEnd w:id="68"/>
      <w:bookmarkStart w:id="69" w:name="_Toc15396619"/>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69"/>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0" w:name="_Toc15396620"/>
      <w:r>
        <w:rPr>
          <w:rFonts w:hint="eastAsia" w:ascii="Times New Roman" w:hAnsi="Times New Roman" w:eastAsia="仿宋_GB2312" w:cs="仿宋_GB2312"/>
          <w:color w:val="auto"/>
          <w:sz w:val="32"/>
          <w:szCs w:val="32"/>
          <w:highlight w:val="none"/>
        </w:rPr>
        <w:t>二、收入决算表</w:t>
      </w:r>
      <w:bookmarkEnd w:id="70"/>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1" w:name="_Toc15396621"/>
      <w:r>
        <w:rPr>
          <w:rFonts w:hint="eastAsia" w:ascii="Times New Roman" w:hAnsi="Times New Roman" w:eastAsia="仿宋_GB2312" w:cs="仿宋_GB2312"/>
          <w:color w:val="auto"/>
          <w:sz w:val="32"/>
          <w:szCs w:val="32"/>
          <w:highlight w:val="none"/>
        </w:rPr>
        <w:t>三、支出决算表</w:t>
      </w:r>
      <w:bookmarkEnd w:id="71"/>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2" w:name="_Toc15396622"/>
      <w:r>
        <w:rPr>
          <w:rFonts w:hint="eastAsia" w:ascii="Times New Roman" w:hAnsi="Times New Roman" w:eastAsia="仿宋_GB2312" w:cs="仿宋_GB2312"/>
          <w:color w:val="auto"/>
          <w:sz w:val="32"/>
          <w:szCs w:val="32"/>
          <w:highlight w:val="none"/>
        </w:rPr>
        <w:t>四、财政拨款收入支出决算总表</w:t>
      </w:r>
      <w:bookmarkEnd w:id="72"/>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3" w:name="_Toc15396623"/>
      <w:r>
        <w:rPr>
          <w:rFonts w:hint="eastAsia" w:ascii="Times New Roman" w:hAnsi="Times New Roman" w:eastAsia="仿宋_GB2312" w:cs="仿宋_GB2312"/>
          <w:color w:val="auto"/>
          <w:sz w:val="32"/>
          <w:szCs w:val="32"/>
          <w:highlight w:val="none"/>
        </w:rPr>
        <w:t>五、财政拨款支出决算明细表</w:t>
      </w:r>
      <w:bookmarkEnd w:id="73"/>
      <w:bookmarkStart w:id="74" w:name="_Toc15396624"/>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74"/>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5" w:name="_Toc15396625"/>
      <w:r>
        <w:rPr>
          <w:rFonts w:hint="eastAsia" w:ascii="Times New Roman" w:hAnsi="Times New Roman" w:eastAsia="仿宋_GB2312" w:cs="仿宋_GB2312"/>
          <w:color w:val="auto"/>
          <w:sz w:val="32"/>
          <w:szCs w:val="32"/>
          <w:highlight w:val="none"/>
        </w:rPr>
        <w:t>七、一般公共预算财政拨款支出决算明细表</w:t>
      </w:r>
      <w:bookmarkEnd w:id="75"/>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6" w:name="_Toc15396626"/>
      <w:r>
        <w:rPr>
          <w:rFonts w:hint="eastAsia" w:ascii="Times New Roman" w:hAnsi="Times New Roman" w:eastAsia="仿宋_GB2312" w:cs="仿宋_GB2312"/>
          <w:color w:val="auto"/>
          <w:sz w:val="32"/>
          <w:szCs w:val="32"/>
          <w:highlight w:val="none"/>
        </w:rPr>
        <w:t>八、一般公共预算财政拨款基本支出决算表</w:t>
      </w:r>
      <w:bookmarkEnd w:id="76"/>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7" w:name="_Toc15396627"/>
      <w:r>
        <w:rPr>
          <w:rFonts w:hint="eastAsia" w:ascii="Times New Roman" w:hAnsi="Times New Roman" w:eastAsia="仿宋_GB2312" w:cs="仿宋_GB2312"/>
          <w:color w:val="auto"/>
          <w:sz w:val="32"/>
          <w:szCs w:val="32"/>
          <w:highlight w:val="none"/>
        </w:rPr>
        <w:t>九、一般公共预算财政拨款项目支出决算表</w:t>
      </w:r>
      <w:bookmarkEnd w:id="77"/>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8" w:name="_Toc15396628"/>
      <w:r>
        <w:rPr>
          <w:rFonts w:hint="eastAsia" w:ascii="Times New Roman" w:hAnsi="Times New Roman" w:eastAsia="仿宋_GB2312" w:cs="仿宋_GB2312"/>
          <w:color w:val="auto"/>
          <w:sz w:val="32"/>
          <w:szCs w:val="32"/>
          <w:highlight w:val="none"/>
        </w:rPr>
        <w:t>十、</w:t>
      </w:r>
      <w:bookmarkEnd w:id="78"/>
      <w:r>
        <w:rPr>
          <w:rFonts w:hint="eastAsia" w:ascii="Times New Roman" w:hAnsi="Times New Roman" w:eastAsia="仿宋_GB2312" w:cs="仿宋_GB2312"/>
          <w:color w:val="auto"/>
          <w:sz w:val="32"/>
          <w:szCs w:val="32"/>
          <w:highlight w:val="none"/>
        </w:rPr>
        <w:t>政府性基金预算财政拨款收入支出决算表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9" w:name="_Toc15396629"/>
      <w:r>
        <w:rPr>
          <w:rFonts w:hint="eastAsia" w:ascii="Times New Roman" w:hAnsi="Times New Roman" w:eastAsia="仿宋_GB2312" w:cs="仿宋_GB2312"/>
          <w:color w:val="auto"/>
          <w:sz w:val="32"/>
          <w:szCs w:val="32"/>
          <w:highlight w:val="none"/>
        </w:rPr>
        <w:t>十一、</w:t>
      </w:r>
      <w:bookmarkEnd w:id="79"/>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80" w:name="_Toc15396630"/>
      <w:r>
        <w:rPr>
          <w:rFonts w:hint="eastAsia" w:ascii="Times New Roman" w:hAnsi="Times New Roman" w:eastAsia="仿宋_GB2312" w:cs="仿宋_GB2312"/>
          <w:color w:val="auto"/>
          <w:sz w:val="32"/>
          <w:szCs w:val="32"/>
          <w:highlight w:val="none"/>
        </w:rPr>
        <w:t>十二、</w:t>
      </w:r>
      <w:bookmarkEnd w:id="80"/>
      <w:r>
        <w:rPr>
          <w:rFonts w:hint="eastAsia" w:ascii="Times New Roman" w:hAnsi="Times New Roman" w:eastAsia="仿宋_GB2312" w:cs="仿宋_GB2312"/>
          <w:color w:val="auto"/>
          <w:sz w:val="32"/>
          <w:szCs w:val="32"/>
          <w:highlight w:val="none"/>
          <w:lang w:eastAsia="zh-CN"/>
        </w:rPr>
        <w:t>国有资本经营预算财政拨款支出决算表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81" w:name="_Toc15396631"/>
      <w:r>
        <w:rPr>
          <w:rFonts w:hint="eastAsia" w:ascii="Times New Roman" w:hAnsi="Times New Roman" w:eastAsia="仿宋_GB2312" w:cs="仿宋_GB2312"/>
          <w:color w:val="auto"/>
          <w:sz w:val="32"/>
          <w:szCs w:val="32"/>
          <w:highlight w:val="none"/>
        </w:rPr>
        <w:t>十三、</w:t>
      </w:r>
      <w:bookmarkEnd w:id="81"/>
      <w:r>
        <w:rPr>
          <w:rFonts w:hint="eastAsia" w:ascii="Times New Roman" w:hAnsi="Times New Roman" w:eastAsia="仿宋_GB2312" w:cs="仿宋_GB2312"/>
          <w:color w:val="auto"/>
          <w:sz w:val="32"/>
          <w:szCs w:val="32"/>
          <w:highlight w:val="none"/>
          <w:lang w:eastAsia="zh-CN"/>
        </w:rPr>
        <w:t>财政拨款“三公”经费支出决算表</w:t>
      </w:r>
    </w:p>
    <w:p>
      <w:pPr>
        <w:rPr>
          <w:rFonts w:hint="eastAsia" w:ascii="Times New Roman" w:hAnsi="Times New Roman"/>
          <w:lang w:eastAsia="zh-CN"/>
        </w:rPr>
      </w:pPr>
    </w:p>
    <w:sectPr>
      <w:footerReference r:id="rId6" w:type="first"/>
      <w:footerReference r:id="rId5"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621CDC"/>
    <w:multiLevelType w:val="multilevel"/>
    <w:tmpl w:val="62621CDC"/>
    <w:lvl w:ilvl="0" w:tentative="0">
      <w:start w:val="1"/>
      <w:numFmt w:val="decimal"/>
      <w:lvlText w:val="%1."/>
      <w:lvlJc w:val="left"/>
      <w:pPr>
        <w:ind w:left="1152" w:hanging="480"/>
      </w:pPr>
      <w:rPr>
        <w:rFonts w:hint="default"/>
      </w:rPr>
    </w:lvl>
    <w:lvl w:ilvl="1" w:tentative="0">
      <w:start w:val="1"/>
      <w:numFmt w:val="lowerLetter"/>
      <w:lvlText w:val="%2)"/>
      <w:lvlJc w:val="left"/>
      <w:pPr>
        <w:ind w:left="1512" w:hanging="420"/>
      </w:pPr>
    </w:lvl>
    <w:lvl w:ilvl="2" w:tentative="0">
      <w:start w:val="1"/>
      <w:numFmt w:val="lowerRoman"/>
      <w:lvlText w:val="%3."/>
      <w:lvlJc w:val="right"/>
      <w:pPr>
        <w:ind w:left="1932" w:hanging="420"/>
      </w:pPr>
    </w:lvl>
    <w:lvl w:ilvl="3" w:tentative="0">
      <w:start w:val="1"/>
      <w:numFmt w:val="decimal"/>
      <w:lvlText w:val="%4."/>
      <w:lvlJc w:val="left"/>
      <w:pPr>
        <w:ind w:left="2352" w:hanging="420"/>
      </w:pPr>
    </w:lvl>
    <w:lvl w:ilvl="4" w:tentative="0">
      <w:start w:val="1"/>
      <w:numFmt w:val="lowerLetter"/>
      <w:lvlText w:val="%5)"/>
      <w:lvlJc w:val="left"/>
      <w:pPr>
        <w:ind w:left="2772" w:hanging="420"/>
      </w:pPr>
    </w:lvl>
    <w:lvl w:ilvl="5" w:tentative="0">
      <w:start w:val="1"/>
      <w:numFmt w:val="lowerRoman"/>
      <w:lvlText w:val="%6."/>
      <w:lvlJc w:val="right"/>
      <w:pPr>
        <w:ind w:left="3192" w:hanging="420"/>
      </w:pPr>
    </w:lvl>
    <w:lvl w:ilvl="6" w:tentative="0">
      <w:start w:val="1"/>
      <w:numFmt w:val="decimal"/>
      <w:lvlText w:val="%7."/>
      <w:lvlJc w:val="left"/>
      <w:pPr>
        <w:ind w:left="3612" w:hanging="420"/>
      </w:pPr>
    </w:lvl>
    <w:lvl w:ilvl="7" w:tentative="0">
      <w:start w:val="1"/>
      <w:numFmt w:val="lowerLetter"/>
      <w:lvlText w:val="%8)"/>
      <w:lvlJc w:val="left"/>
      <w:pPr>
        <w:ind w:left="4032" w:hanging="420"/>
      </w:pPr>
    </w:lvl>
    <w:lvl w:ilvl="8" w:tentative="0">
      <w:start w:val="1"/>
      <w:numFmt w:val="lowerRoman"/>
      <w:lvlText w:val="%9."/>
      <w:lvlJc w:val="right"/>
      <w:pPr>
        <w:ind w:left="445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9867E8F"/>
    <w:rsid w:val="0A2032A3"/>
    <w:rsid w:val="0CA8290A"/>
    <w:rsid w:val="0D35B1ED"/>
    <w:rsid w:val="0E254B6B"/>
    <w:rsid w:val="0F98263C"/>
    <w:rsid w:val="101860EC"/>
    <w:rsid w:val="101F47CC"/>
    <w:rsid w:val="10C055FF"/>
    <w:rsid w:val="11694EBD"/>
    <w:rsid w:val="11772AA4"/>
    <w:rsid w:val="118107EC"/>
    <w:rsid w:val="12E24EE2"/>
    <w:rsid w:val="13D50BC4"/>
    <w:rsid w:val="14B17F78"/>
    <w:rsid w:val="165E0673"/>
    <w:rsid w:val="16B831D5"/>
    <w:rsid w:val="16BB723D"/>
    <w:rsid w:val="17E50567"/>
    <w:rsid w:val="186504BB"/>
    <w:rsid w:val="19A445FC"/>
    <w:rsid w:val="1BE8440E"/>
    <w:rsid w:val="1D155CEE"/>
    <w:rsid w:val="1D1638FE"/>
    <w:rsid w:val="1E312DEB"/>
    <w:rsid w:val="1E740ACF"/>
    <w:rsid w:val="1FF35744"/>
    <w:rsid w:val="1FF6BC77"/>
    <w:rsid w:val="2186353C"/>
    <w:rsid w:val="23860B96"/>
    <w:rsid w:val="240371BF"/>
    <w:rsid w:val="244F3473"/>
    <w:rsid w:val="24C97D99"/>
    <w:rsid w:val="25A718F0"/>
    <w:rsid w:val="25BB59F6"/>
    <w:rsid w:val="260F557C"/>
    <w:rsid w:val="26970054"/>
    <w:rsid w:val="281408E2"/>
    <w:rsid w:val="29FD04D3"/>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EBA265"/>
    <w:rsid w:val="3D98207C"/>
    <w:rsid w:val="3DEE7CF3"/>
    <w:rsid w:val="3E740A63"/>
    <w:rsid w:val="3E78745D"/>
    <w:rsid w:val="3EE17838"/>
    <w:rsid w:val="3F55381A"/>
    <w:rsid w:val="3F7F7599"/>
    <w:rsid w:val="3FF4CAE0"/>
    <w:rsid w:val="3FF7B227"/>
    <w:rsid w:val="44E268DA"/>
    <w:rsid w:val="450D13D7"/>
    <w:rsid w:val="45506656"/>
    <w:rsid w:val="46A57105"/>
    <w:rsid w:val="486A6C7A"/>
    <w:rsid w:val="4A627F82"/>
    <w:rsid w:val="4B0E749A"/>
    <w:rsid w:val="4B2477C4"/>
    <w:rsid w:val="4B4F25DA"/>
    <w:rsid w:val="4BE068DB"/>
    <w:rsid w:val="4D577224"/>
    <w:rsid w:val="4DBF1CEB"/>
    <w:rsid w:val="4DF0007C"/>
    <w:rsid w:val="4EAB630A"/>
    <w:rsid w:val="4ECE2238"/>
    <w:rsid w:val="4F833267"/>
    <w:rsid w:val="4FE9BD67"/>
    <w:rsid w:val="4FFB052F"/>
    <w:rsid w:val="537E6D0A"/>
    <w:rsid w:val="53F74C96"/>
    <w:rsid w:val="55170BA8"/>
    <w:rsid w:val="553218C9"/>
    <w:rsid w:val="567E1AA5"/>
    <w:rsid w:val="56E47B74"/>
    <w:rsid w:val="57175D52"/>
    <w:rsid w:val="57BD3DD4"/>
    <w:rsid w:val="5AF92295"/>
    <w:rsid w:val="5B250254"/>
    <w:rsid w:val="5BDD79E6"/>
    <w:rsid w:val="5BF561CA"/>
    <w:rsid w:val="5BFF5DFC"/>
    <w:rsid w:val="5CD71FC4"/>
    <w:rsid w:val="5D1F11B5"/>
    <w:rsid w:val="5D695134"/>
    <w:rsid w:val="5DAE1B18"/>
    <w:rsid w:val="5DE7D9E5"/>
    <w:rsid w:val="5ECEC941"/>
    <w:rsid w:val="5FBF9FF3"/>
    <w:rsid w:val="5FCD4E2C"/>
    <w:rsid w:val="5FEF394A"/>
    <w:rsid w:val="5FF67715"/>
    <w:rsid w:val="62BF3928"/>
    <w:rsid w:val="63B3701E"/>
    <w:rsid w:val="647F5392"/>
    <w:rsid w:val="65E66580"/>
    <w:rsid w:val="664B1D71"/>
    <w:rsid w:val="664B4E8E"/>
    <w:rsid w:val="67277B67"/>
    <w:rsid w:val="67AA3209"/>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Chars="200"/>
    </w:pPr>
    <w:rPr>
      <w:rFonts w:ascii="仿宋_GB2312"/>
      <w:szCs w:val="32"/>
    </w:rPr>
  </w:style>
  <w:style w:type="paragraph" w:styleId="8">
    <w:name w:val="Body Text"/>
    <w:basedOn w:val="1"/>
    <w:link w:val="25"/>
    <w:qFormat/>
    <w:uiPriority w:val="99"/>
    <w:pPr>
      <w:spacing w:beforeLines="30"/>
    </w:pPr>
    <w:rPr>
      <w:rFonts w:ascii="仿宋_GB2312" w:eastAsia="仿宋_GB2312"/>
      <w:kern w:val="0"/>
      <w:sz w:val="30"/>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1"/>
    <w:semiHidden/>
    <w:unhideWhenUsed/>
    <w:qFormat/>
    <w:uiPriority w:val="99"/>
    <w:rPr>
      <w:sz w:val="18"/>
      <w:szCs w:val="18"/>
    </w:rPr>
  </w:style>
  <w:style w:type="paragraph" w:styleId="11">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Char"/>
    <w:link w:val="12"/>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Char"/>
    <w:link w:val="11"/>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Char"/>
    <w:link w:val="8"/>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Char"/>
    <w:basedOn w:val="16"/>
    <w:link w:val="5"/>
    <w:qFormat/>
    <w:uiPriority w:val="9"/>
    <w:rPr>
      <w:rFonts w:ascii="Times New Roman" w:hAnsi="Times New Roman"/>
      <w:b/>
      <w:bCs/>
      <w:kern w:val="44"/>
      <w:sz w:val="44"/>
      <w:szCs w:val="44"/>
    </w:rPr>
  </w:style>
  <w:style w:type="character" w:customStyle="1" w:styleId="29">
    <w:name w:val="标题 2 Char"/>
    <w:basedOn w:val="16"/>
    <w:link w:val="6"/>
    <w:qFormat/>
    <w:uiPriority w:val="9"/>
    <w:rPr>
      <w:rFonts w:asciiTheme="majorHAnsi" w:hAnsiTheme="majorHAnsi" w:eastAsiaTheme="majorEastAsia" w:cstheme="majorBidi"/>
      <w:b/>
      <w:bCs/>
      <w:kern w:val="2"/>
      <w:sz w:val="32"/>
      <w:szCs w:val="32"/>
    </w:rPr>
  </w:style>
  <w:style w:type="paragraph" w:customStyle="1" w:styleId="30">
    <w:name w:val="TOC 标题1"/>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6"/>
    <w:link w:val="10"/>
    <w:semiHidden/>
    <w:qFormat/>
    <w:uiPriority w:val="99"/>
    <w:rPr>
      <w:rFonts w:ascii="Times New Roman" w:hAnsi="Times New Roman"/>
      <w:kern w:val="2"/>
      <w:sz w:val="18"/>
      <w:szCs w:val="18"/>
    </w:rPr>
  </w:style>
  <w:style w:type="character" w:customStyle="1" w:styleId="32">
    <w:name w:val="标题 3 Char"/>
    <w:basedOn w:val="16"/>
    <w:link w:val="7"/>
    <w:qFormat/>
    <w:uiPriority w:val="9"/>
    <w:rPr>
      <w:rFonts w:ascii="Times New Roman" w:hAnsi="Times New Roman"/>
      <w:b/>
      <w:bCs/>
      <w:kern w:val="2"/>
      <w:sz w:val="32"/>
      <w:szCs w:val="32"/>
    </w:rPr>
  </w:style>
  <w:style w:type="paragraph" w:customStyle="1" w:styleId="33">
    <w:name w:val="TOC Heading"/>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23</Pages>
  <Words>1299</Words>
  <Characters>7410</Characters>
  <Lines>61</Lines>
  <Paragraphs>17</Paragraphs>
  <TotalTime>0</TotalTime>
  <ScaleCrop>false</ScaleCrop>
  <LinksUpToDate>false</LinksUpToDate>
  <CharactersWithSpaces>8692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Administrator</cp:lastModifiedBy>
  <cp:lastPrinted>2025-08-06T17:34:00Z</cp:lastPrinted>
  <dcterms:modified xsi:type="dcterms:W3CDTF">2025-10-13T03:17:53Z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04787F2533EB45DC91BCDE4AB213247F</vt:lpwstr>
  </property>
</Properties>
</file>