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394FB">
      <w:pPr>
        <w:pStyle w:val="6"/>
        <w:rPr>
          <w:rFonts w:hint="eastAsia"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96475"/>
      <w:bookmarkStart w:id="2" w:name="_Toc15378441"/>
      <w:bookmarkStart w:id="3" w:name="_Toc15377193"/>
      <w:bookmarkStart w:id="4" w:name="_Toc15306267"/>
      <w:bookmarkStart w:id="5" w:name="_Toc15377425"/>
    </w:p>
    <w:p w14:paraId="1ED0DF83">
      <w:pPr>
        <w:pStyle w:val="6"/>
        <w:rPr>
          <w:rFonts w:hint="eastAsia" w:ascii="Times New Roman" w:hAnsi="Times New Roman" w:eastAsia="方正小标宋简体" w:cs="Times New Roman"/>
          <w:color w:val="auto"/>
          <w:kern w:val="2"/>
          <w:sz w:val="72"/>
          <w:szCs w:val="72"/>
          <w:highlight w:val="none"/>
          <w:lang w:val="en-US" w:eastAsia="zh-CN" w:bidi="ar-SA"/>
        </w:rPr>
      </w:pPr>
    </w:p>
    <w:p w14:paraId="65EA2F30">
      <w:pPr>
        <w:pStyle w:val="6"/>
        <w:rPr>
          <w:rFonts w:hint="eastAsia" w:ascii="Times New Roman" w:hAnsi="Times New Roman" w:eastAsia="方正小标宋简体" w:cs="Times New Roman"/>
          <w:color w:val="auto"/>
          <w:kern w:val="2"/>
          <w:sz w:val="72"/>
          <w:szCs w:val="72"/>
          <w:highlight w:val="none"/>
          <w:lang w:val="en-US" w:eastAsia="zh-CN" w:bidi="ar-SA"/>
        </w:rPr>
      </w:pPr>
    </w:p>
    <w:p w14:paraId="5A68AEEB">
      <w:pPr>
        <w:pStyle w:val="6"/>
        <w:ind w:firstLine="1760" w:firstLineChars="400"/>
        <w:jc w:val="both"/>
        <w:rPr>
          <w:rFonts w:hint="default" w:ascii="Times New Roman" w:eastAsia="方正小标宋简体" w:cs="Times New Roman"/>
          <w:color w:val="auto"/>
          <w:kern w:val="2"/>
          <w:sz w:val="44"/>
          <w:szCs w:val="44"/>
          <w:highlight w:val="none"/>
          <w:lang w:val="en-US" w:eastAsia="zh-CN" w:bidi="ar-SA"/>
        </w:rPr>
      </w:pPr>
      <w:r>
        <w:rPr>
          <w:rFonts w:hint="eastAsia" w:ascii="Times New Roman" w:hAnsi="Times New Roman" w:eastAsia="方正小标宋简体" w:cs="Times New Roman"/>
          <w:color w:val="auto"/>
          <w:kern w:val="2"/>
          <w:sz w:val="44"/>
          <w:szCs w:val="44"/>
          <w:highlight w:val="none"/>
          <w:lang w:val="en-US" w:eastAsia="zh-CN" w:bidi="ar-SA"/>
        </w:rPr>
        <w:t>2024年度四川省</w:t>
      </w:r>
      <w:r>
        <w:rPr>
          <w:rFonts w:hint="eastAsia" w:ascii="Times New Roman" w:eastAsia="方正小标宋简体" w:cs="Times New Roman"/>
          <w:color w:val="auto"/>
          <w:kern w:val="2"/>
          <w:sz w:val="44"/>
          <w:szCs w:val="44"/>
          <w:highlight w:val="none"/>
          <w:lang w:val="en-US" w:eastAsia="zh-CN" w:bidi="ar-SA"/>
        </w:rPr>
        <w:t xml:space="preserve">乐山市   </w:t>
      </w:r>
    </w:p>
    <w:p w14:paraId="380645B2">
      <w:pPr>
        <w:pStyle w:val="6"/>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五通桥区住房和城乡建设局</w:t>
      </w:r>
      <w:r>
        <w:rPr>
          <w:rFonts w:hint="eastAsia" w:ascii="Times New Roman" w:hAnsi="Times New Roman" w:eastAsia="方正小标宋简体" w:cs="Times New Roman"/>
          <w:color w:val="auto"/>
          <w:kern w:val="2"/>
          <w:sz w:val="44"/>
          <w:szCs w:val="44"/>
          <w:highlight w:val="none"/>
          <w:lang w:val="en-US" w:eastAsia="zh-CN" w:bidi="ar-SA"/>
        </w:rPr>
        <w:t>部门决算</w:t>
      </w:r>
    </w:p>
    <w:p w14:paraId="58A5F2AC">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sdt>
      <w:sdtPr>
        <w:rPr>
          <w:rFonts w:ascii="宋体" w:hAnsi="宋体" w:eastAsia="宋体" w:cs="Times New Roman"/>
          <w:kern w:val="2"/>
          <w:sz w:val="21"/>
          <w:szCs w:val="24"/>
          <w:lang w:val="en-US" w:eastAsia="zh-CN" w:bidi="ar-SA"/>
        </w:rPr>
        <w:id w:val="147482592"/>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130207B6">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目录</w:t>
          </w:r>
        </w:p>
        <w:p w14:paraId="7FE48BFF">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_Toc3935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第一部分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Cs w:val="0"/>
              <w:sz w:val="32"/>
              <w:szCs w:val="32"/>
              <w:highlight w:val="none"/>
            </w:rPr>
            <w:t>部门概况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_Toc3935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BBA3CBC">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_Toc26664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 xml:space="preserve">一、 </w:t>
          </w:r>
          <w:r>
            <w:rPr>
              <w:rFonts w:hint="eastAsia" w:ascii="仿宋_GB2312" w:hAnsi="仿宋_GB2312" w:eastAsia="仿宋_GB2312" w:cs="仿宋_GB2312"/>
              <w:sz w:val="32"/>
              <w:szCs w:val="32"/>
              <w:highlight w:val="none"/>
              <w:lang w:eastAsia="zh-CN"/>
            </w:rPr>
            <w:t>部门职责</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8AF5558">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_Toc30545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二、机</w:t>
          </w:r>
          <w:r>
            <w:rPr>
              <w:rFonts w:hint="eastAsia" w:ascii="仿宋_GB2312" w:hAnsi="仿宋_GB2312" w:eastAsia="仿宋_GB2312" w:cs="仿宋_GB2312"/>
              <w:bCs w:val="0"/>
              <w:sz w:val="32"/>
              <w:szCs w:val="32"/>
              <w:highlight w:val="none"/>
            </w:rPr>
            <w:t>构设置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_Toc30545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3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D008F73">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_Toc22836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第二部分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2024年度</w:t>
          </w:r>
          <w:r>
            <w:rPr>
              <w:rFonts w:hint="eastAsia" w:ascii="仿宋_GB2312" w:hAnsi="仿宋_GB2312" w:eastAsia="仿宋_GB2312" w:cs="仿宋_GB2312"/>
              <w:sz w:val="32"/>
              <w:szCs w:val="32"/>
              <w:highlight w:val="none"/>
            </w:rPr>
            <w:t>部门决算情况说明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_Toc22836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4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489AF27">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_Toc23666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_Toc23666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4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3010FA">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_Toc15855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四、财政拨款收入支出决算总体情况说明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_Toc15855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540A48">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_Toc28870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五、一般公共预算财政拨款支出决算情况说明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_Toc28870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AE6E5DC">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_Toc9992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六、一般公共预算财政拨款基本支出决算情况说明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_Toc9992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BF4178B">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_Toc23003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七、财政拨款“三公”经费支出决算情况说明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_Toc23003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5A62AAE">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_Toc15049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八、政府性基金预算支出决算情况说明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_Toc15049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B7B5742">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_Toc32062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九、</w:t>
          </w:r>
          <w:r>
            <w:rPr>
              <w:rFonts w:hint="eastAsia" w:ascii="仿宋_GB2312" w:hAnsi="仿宋_GB2312" w:eastAsia="仿宋_GB2312" w:cs="仿宋_GB2312"/>
              <w:sz w:val="32"/>
              <w:szCs w:val="32"/>
              <w:highlight w:val="none"/>
            </w:rPr>
            <w:t>国有资本经营预算支出决算情况说明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_Toc32062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11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2624642">
          <w:pPr>
            <w:pStyle w:val="15"/>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_Toc20946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sz w:val="32"/>
              <w:szCs w:val="32"/>
              <w:highlight w:val="none"/>
            </w:rPr>
            <w:t>其他重要事项的情况说明</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 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57B6FF1">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_Toc23856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第</w:t>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部分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名词解释</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_Toc23856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13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9BD9907">
          <w:pPr>
            <w:pStyle w:val="13"/>
            <w:tabs>
              <w:tab w:val="right" w:leader="dot" w:pos="8306"/>
              <w:tab w:val="clear" w:pos="8296"/>
            </w:tabs>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第四部分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_Toc18684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highlight w:val="none"/>
            </w:rPr>
            <w:t>附件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 xml:space="preserve">16 </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6C88CA">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第五部分  附表................................</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PAGEREF _Toc18684 \h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 21</w:t>
          </w:r>
          <w:r>
            <w:rPr>
              <w:rFonts w:hint="eastAsia" w:ascii="仿宋_GB2312" w:hAnsi="仿宋_GB2312" w:eastAsia="仿宋_GB2312" w:cs="仿宋_GB2312"/>
              <w:sz w:val="32"/>
              <w:szCs w:val="32"/>
              <w:lang w:val="en-US" w:eastAsia="zh-CN"/>
            </w:rPr>
            <w:fldChar w:fldCharType="end"/>
          </w:r>
        </w:p>
        <w:p w14:paraId="510A38FB">
          <w:pPr>
            <w:pStyle w:val="3"/>
            <w:jc w:val="center"/>
            <w:rPr>
              <w:rFonts w:hint="eastAsia" w:ascii="Times New Roman" w:hAnsi="Times New Roman" w:eastAsia="宋体" w:cs="Times New Roman"/>
              <w:kern w:val="2"/>
              <w:sz w:val="21"/>
              <w:szCs w:val="24"/>
              <w:lang w:val="en-US" w:eastAsia="zh-CN" w:bidi="ar-SA"/>
            </w:rPr>
          </w:pPr>
          <w:r>
            <w:rPr>
              <w:rFonts w:hint="eastAsia" w:ascii="仿宋_GB2312" w:hAnsi="仿宋_GB2312" w:eastAsia="仿宋_GB2312" w:cs="仿宋_GB2312"/>
              <w:sz w:val="32"/>
              <w:szCs w:val="32"/>
            </w:rPr>
            <w:fldChar w:fldCharType="end"/>
          </w:r>
        </w:p>
      </w:sdtContent>
    </w:sdt>
    <w:p w14:paraId="53D83C7A">
      <w:pPr>
        <w:rPr>
          <w:rFonts w:hint="eastAsia"/>
        </w:rPr>
      </w:pPr>
    </w:p>
    <w:p w14:paraId="38542CBD">
      <w:pPr>
        <w:pStyle w:val="3"/>
        <w:jc w:val="center"/>
        <w:rPr>
          <w:rFonts w:hint="eastAsia" w:ascii="Times New Roman" w:hAnsi="Times New Roman" w:eastAsia="方正小标宋简体" w:cs="方正小标宋简体"/>
          <w:b w:val="0"/>
          <w:color w:val="auto"/>
          <w:highlight w:val="none"/>
        </w:rPr>
        <w:sectPr>
          <w:footerReference r:id="rId7" w:type="first"/>
          <w:headerReference r:id="rId5" w:type="default"/>
          <w:footerReference r:id="rId6" w:type="default"/>
          <w:pgSz w:w="11906" w:h="16838"/>
          <w:pgMar w:top="1440" w:right="1800" w:bottom="1440" w:left="1800" w:header="851" w:footer="992" w:gutter="0"/>
          <w:pgNumType w:fmt="decimal" w:start="1"/>
          <w:cols w:space="425" w:num="1"/>
          <w:titlePg/>
          <w:docGrid w:type="lines" w:linePitch="312" w:charSpace="0"/>
        </w:sectPr>
      </w:pPr>
    </w:p>
    <w:p w14:paraId="234CFAD7">
      <w:pPr>
        <w:pStyle w:val="3"/>
        <w:jc w:val="center"/>
        <w:rPr>
          <w:rStyle w:val="29"/>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9"/>
          <w:rFonts w:hint="eastAsia" w:ascii="Times New Roman" w:hAnsi="Times New Roman" w:eastAsia="方正小标宋简体" w:cs="方正小标宋简体"/>
          <w:b w:val="0"/>
          <w:bCs w:val="0"/>
          <w:color w:val="auto"/>
          <w:highlight w:val="none"/>
        </w:rPr>
        <w:t>部门概况</w:t>
      </w:r>
    </w:p>
    <w:p w14:paraId="4B4F6786">
      <w:pPr>
        <w:widowControl/>
        <w:jc w:val="left"/>
        <w:rPr>
          <w:rFonts w:ascii="Times New Roman" w:hAnsi="Times New Roman" w:eastAsia="黑体"/>
          <w:color w:val="auto"/>
          <w:sz w:val="32"/>
          <w:szCs w:val="32"/>
          <w:highlight w:val="none"/>
        </w:rPr>
      </w:pPr>
    </w:p>
    <w:p w14:paraId="18EEA6B4">
      <w:pPr>
        <w:pStyle w:val="4"/>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部门职责</w:t>
      </w:r>
    </w:p>
    <w:p w14:paraId="2D787A26">
      <w:pPr>
        <w:ind w:firstLine="800" w:firstLineChars="25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基本职能主要：根据乐山市五通桥区委办公室、乐山市五通桥区人民政府办公室《关于印发乐山市五通桥区住房和城乡建设局职能配置、内设机构和人员编制规定的通知》（五委办发〔2019〕27 号）的精神，贯彻国家、省、市住房和城乡建设的法律、法规和方针、政策。研究拟订全区住房保障、工程建设、城市建设、村镇建设、建筑业、房屋装饰装修业、住宅与房地产业、市政公用、园林绿化和城市市容环境卫生管理的有关规定以及相关发展战略并指导实施，进行行业管理；负责本系统、本部门依法行政工作。承担推进住房制度改革，保障城镇低收入家庭住房的职责。贯彻国家、省、市住房及住房保障相关政策，会同有关部门做好国家、省、市有关保障性住房资金安排并组织实施；编制住房保障发展规划和年度计划并组织实施。承担规范全区房地产市场秩序、监督管理房地产市场的职责。贯彻执行房地产市场监督管理政策，会同有关部门拟订相关配套办法；指导城镇土地使用有偿转让和开发利用工作；拟订房地产业发展规划；贯彻房地产业政策和房地产开发、房屋租赁、房屋面积管理、危房鉴定、白蚁防治、房地产估价与经纪管理、物业管理、国有土地上房屋征收、棚户区改造的规章制度并监督执行。承担监督管理建筑市场、规范市场各方主体行为的职责。承担全区城镇基础设施建设项目的实</w:t>
      </w:r>
      <w:bookmarkStart w:id="74" w:name="_GoBack"/>
      <w:bookmarkEnd w:id="74"/>
      <w:r>
        <w:rPr>
          <w:rFonts w:hint="eastAsia" w:ascii="仿宋_GB2312" w:hAnsi="仿宋_GB2312" w:eastAsia="仿宋_GB2312" w:cs="仿宋_GB2312"/>
          <w:sz w:val="32"/>
          <w:szCs w:val="32"/>
          <w:lang w:val="zh-CN"/>
        </w:rPr>
        <w:t>施工作和建设管理的的责任。承担城市园林绿化管理和历史文化名城保护工作。负责城市公园、城市广场、城市雕塑的建设、维护和管理工作；负责城区古树名木的管理工作；负责城市园林绿化中有害生物的防治工作。承担市容市貌和环境卫生管理的职责。承担推进建筑节能、城镇减排的职责。承担贯彻执行国家关于人民防空工作的方针、政策和法律、法规。负责制定防空袭各种保障计划、方案；检查、指导城市防空抗毁能力各项措施的落实；制定人民防空工程、通信、警报建设的规划和计划；组织对城市和经济目标的防控建设进行监督、检查和管理。拟定住房和城乡建设行业人才培养和教育发展规划并组织实施；指导住房和城乡建设行业科技人才队伍建设和执业资格管理工作；指导和监督管理住房和城乡建设行业协会、学会以及相关社会中介组织。负责建设工程抗震设防工作；执行房屋建筑和市政设施抗震技术地方规范和标准图集；负责编制城镇建设抗震规划，组织开展全区建筑物抗震性能普查、鉴定加固和改造工作；指导我区城市地下空间的开发利用；指导和组织灾后恢复重建工作。承担全区工程建设标准体系组织实施的责任。组织实施工程建设实施阶段的国家标准、全国统一定额和行业标准定额；贯彻执行建设项目可行性研究评价方法、经济参数、建设标准和工程造价的管理制度，拟订工程建设的地方标准并上报审批；指导监督各类工程建设标准定额的实施和工程造价计价；组织发布工程造价信息。承担贯彻执行区政府非经营性投资项目“代建制”的责任。负责区政府非经营性投资有关项目“代建制”的推行。负责职责范围内的安全生产和职业健康、生态环境保护等工作。完成区委、区政府交办的其他任务。</w:t>
      </w:r>
    </w:p>
    <w:p w14:paraId="23C9B27E">
      <w:pPr>
        <w:numPr>
          <w:ilvl w:val="0"/>
          <w:numId w:val="0"/>
        </w:numPr>
        <w:rPr>
          <w:rFonts w:hint="eastAsia"/>
          <w:lang w:eastAsia="zh-CN"/>
        </w:rPr>
      </w:pPr>
    </w:p>
    <w:p w14:paraId="0E30CFF0">
      <w:pPr>
        <w:pStyle w:val="4"/>
        <w:rPr>
          <w:rStyle w:val="30"/>
          <w:rFonts w:ascii="Times New Roman" w:hAnsi="Times New Roman"/>
          <w:b w:val="0"/>
          <w:bCs w:val="0"/>
          <w:color w:val="auto"/>
          <w:highlight w:val="none"/>
        </w:rPr>
      </w:pPr>
      <w:bookmarkStart w:id="6" w:name="_Toc15377200"/>
      <w:bookmarkStart w:id="7" w:name="_Toc15396601"/>
      <w:r>
        <w:rPr>
          <w:rFonts w:hint="eastAsia" w:ascii="Times New Roman" w:hAnsi="Times New Roman" w:eastAsia="黑体"/>
          <w:b w:val="0"/>
          <w:color w:val="auto"/>
          <w:highlight w:val="none"/>
        </w:rPr>
        <w:t>二、机</w:t>
      </w:r>
      <w:r>
        <w:rPr>
          <w:rStyle w:val="30"/>
          <w:rFonts w:hint="eastAsia" w:ascii="Times New Roman" w:hAnsi="Times New Roman" w:eastAsia="黑体"/>
          <w:b w:val="0"/>
          <w:bCs w:val="0"/>
          <w:color w:val="auto"/>
          <w:highlight w:val="none"/>
        </w:rPr>
        <w:t>构设置</w:t>
      </w:r>
      <w:bookmarkEnd w:id="6"/>
      <w:bookmarkEnd w:id="7"/>
    </w:p>
    <w:p w14:paraId="227606E4">
      <w:pPr>
        <w:ind w:firstLine="800" w:firstLineChars="250"/>
        <w:rPr>
          <w:rFonts w:hint="eastAsia" w:ascii="Times New Roman" w:hAnsi="Times New Roman"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乐山市五通桥区住房和城乡建设局</w:t>
      </w:r>
      <w:r>
        <w:rPr>
          <w:rFonts w:hint="eastAsia" w:ascii="Times New Roman" w:hAnsi="Times New Roman" w:eastAsia="仿宋_GB2312" w:cs="仿宋_GB2312"/>
          <w:color w:val="auto"/>
          <w:sz w:val="32"/>
          <w:szCs w:val="32"/>
          <w:highlight w:val="none"/>
        </w:rPr>
        <w:t>下属二级</w:t>
      </w:r>
      <w:r>
        <w:rPr>
          <w:rFonts w:hint="eastAsia" w:ascii="Times New Roman" w:hAnsi="Times New Roman" w:eastAsia="仿宋_GB2312" w:cs="仿宋_GB2312"/>
          <w:color w:val="auto"/>
          <w:sz w:val="32"/>
          <w:szCs w:val="32"/>
          <w:highlight w:val="none"/>
          <w:lang w:eastAsia="zh-CN"/>
        </w:rPr>
        <w:t>预算</w:t>
      </w:r>
      <w:r>
        <w:rPr>
          <w:rFonts w:hint="eastAsia" w:ascii="Times New Roman" w:hAnsi="Times New Roman" w:eastAsia="仿宋_GB2312" w:cs="仿宋_GB2312"/>
          <w:color w:val="auto"/>
          <w:sz w:val="32"/>
          <w:szCs w:val="32"/>
          <w:highlight w:val="none"/>
        </w:rPr>
        <w:t>单位</w:t>
      </w:r>
      <w:r>
        <w:rPr>
          <w:rFonts w:hint="eastAsia" w:eastAsia="仿宋_GB2312" w:cs="仿宋_GB2312"/>
          <w:color w:val="auto"/>
          <w:sz w:val="32"/>
          <w:szCs w:val="32"/>
          <w:highlight w:val="none"/>
          <w:lang w:val="en-US" w:eastAsia="zh-CN"/>
        </w:rPr>
        <w:t>6</w:t>
      </w:r>
      <w:r>
        <w:rPr>
          <w:rFonts w:hint="eastAsia" w:ascii="Times New Roman" w:hAnsi="Times New Roman" w:eastAsia="仿宋_GB2312" w:cs="仿宋_GB2312"/>
          <w:color w:val="auto"/>
          <w:sz w:val="32"/>
          <w:szCs w:val="32"/>
          <w:highlight w:val="none"/>
        </w:rPr>
        <w:t>个，其中行政单位</w:t>
      </w:r>
      <w:r>
        <w:rPr>
          <w:rFonts w:hint="eastAsia" w:eastAsia="仿宋_GB2312" w:cs="仿宋_GB2312"/>
          <w:color w:val="auto"/>
          <w:sz w:val="32"/>
          <w:szCs w:val="32"/>
          <w:highlight w:val="none"/>
          <w:lang w:val="en-US" w:eastAsia="zh-CN"/>
        </w:rPr>
        <w:t>1</w:t>
      </w:r>
      <w:r>
        <w:rPr>
          <w:rFonts w:hint="eastAsia" w:ascii="Times New Roman" w:hAnsi="Times New Roman" w:eastAsia="仿宋_GB2312" w:cs="仿宋_GB2312"/>
          <w:color w:val="auto"/>
          <w:sz w:val="32"/>
          <w:szCs w:val="32"/>
          <w:highlight w:val="none"/>
        </w:rPr>
        <w:t>个，参照公务员法管理的事业单位</w:t>
      </w:r>
      <w:r>
        <w:rPr>
          <w:rFonts w:hint="eastAsia" w:eastAsia="仿宋_GB2312" w:cs="仿宋_GB2312"/>
          <w:bCs/>
          <w:color w:val="auto"/>
          <w:sz w:val="32"/>
          <w:szCs w:val="32"/>
          <w:highlight w:val="none"/>
          <w:lang w:val="en-US" w:eastAsia="zh-CN"/>
        </w:rPr>
        <w:t>0</w:t>
      </w:r>
      <w:r>
        <w:rPr>
          <w:rFonts w:hint="eastAsia" w:ascii="Times New Roman" w:hAnsi="Times New Roman" w:eastAsia="仿宋_GB2312" w:cs="仿宋_GB2312"/>
          <w:color w:val="auto"/>
          <w:sz w:val="32"/>
          <w:szCs w:val="32"/>
          <w:highlight w:val="none"/>
        </w:rPr>
        <w:t>个，其他事业单位</w:t>
      </w:r>
      <w:r>
        <w:rPr>
          <w:rFonts w:hint="eastAsia" w:eastAsia="仿宋_GB2312"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rPr>
        <w:t>个。</w:t>
      </w:r>
    </w:p>
    <w:p w14:paraId="1F18B171">
      <w:pPr>
        <w:pStyle w:val="6"/>
        <w:adjustRightInd w:val="0"/>
        <w:snapToGrid w:val="0"/>
        <w:spacing w:before="93" w:line="600" w:lineRule="exact"/>
        <w:ind w:firstLine="672" w:firstLineChars="210"/>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纳入</w:t>
      </w:r>
      <w:r>
        <w:rPr>
          <w:sz w:val="32"/>
          <w:szCs w:val="32"/>
        </w:rPr>
        <w:t>乐山市五通桥区住房和城乡建设局</w:t>
      </w:r>
      <w:r>
        <w:rPr>
          <w:rFonts w:hint="eastAsia" w:ascii="Times New Roman" w:hAnsi="Times New Roman" w:eastAsia="仿宋_GB2312" w:cs="仿宋_GB2312"/>
          <w:color w:val="auto"/>
          <w:sz w:val="32"/>
          <w:szCs w:val="32"/>
          <w:highlight w:val="none"/>
          <w:lang w:eastAsia="zh-CN"/>
        </w:rPr>
        <w:t>2024年度</w:t>
      </w:r>
      <w:r>
        <w:rPr>
          <w:rFonts w:hint="eastAsia" w:ascii="Times New Roman" w:hAnsi="Times New Roman" w:eastAsia="仿宋_GB2312" w:cs="仿宋_GB2312"/>
          <w:color w:val="auto"/>
          <w:sz w:val="32"/>
          <w:szCs w:val="32"/>
          <w:highlight w:val="none"/>
        </w:rPr>
        <w:t>部门决算编制范围的二级预算单位包括：</w:t>
      </w:r>
    </w:p>
    <w:p w14:paraId="4712F35C">
      <w:pPr>
        <w:spacing w:line="600" w:lineRule="exact"/>
        <w:ind w:firstLine="640"/>
        <w:rPr>
          <w:rFonts w:hint="eastAsia" w:ascii="仿宋_GB2312" w:hAnsi="Times New Roman" w:eastAsia="仿宋_GB2312" w:cs="Times New Roman"/>
          <w:kern w:val="0"/>
          <w:sz w:val="32"/>
          <w:szCs w:val="32"/>
          <w:lang w:val="en-US" w:eastAsia="zh-CN" w:bidi="ar-SA"/>
        </w:rPr>
      </w:pPr>
      <w:bookmarkStart w:id="8" w:name="_Toc15377433"/>
      <w:bookmarkStart w:id="9" w:name="_Toc15378449"/>
      <w:bookmarkStart w:id="10" w:name="_Toc15306276"/>
      <w:bookmarkStart w:id="11" w:name="_Toc15377202"/>
      <w:bookmarkStart w:id="12" w:name="_Toc4143"/>
      <w:r>
        <w:rPr>
          <w:rFonts w:hint="eastAsia" w:ascii="仿宋_GB2312" w:hAnsi="Times New Roman" w:eastAsia="仿宋_GB2312" w:cs="Times New Roman"/>
          <w:kern w:val="0"/>
          <w:sz w:val="32"/>
          <w:szCs w:val="32"/>
          <w:lang w:val="en-US" w:eastAsia="zh-CN" w:bidi="ar-SA"/>
        </w:rPr>
        <w:t>1、五通桥区住房和城乡建设局</w:t>
      </w:r>
      <w:bookmarkEnd w:id="8"/>
      <w:bookmarkEnd w:id="9"/>
      <w:bookmarkEnd w:id="10"/>
      <w:bookmarkEnd w:id="11"/>
      <w:bookmarkStart w:id="13" w:name="_Toc15378450"/>
      <w:bookmarkStart w:id="14" w:name="_Toc15377434"/>
      <w:bookmarkStart w:id="15" w:name="_Toc15306277"/>
      <w:bookmarkStart w:id="16" w:name="_Toc15377203"/>
      <w:r>
        <w:rPr>
          <w:rFonts w:hint="eastAsia" w:ascii="仿宋_GB2312" w:hAnsi="Times New Roman" w:eastAsia="仿宋_GB2312" w:cs="Times New Roman"/>
          <w:kern w:val="0"/>
          <w:sz w:val="32"/>
          <w:szCs w:val="32"/>
          <w:lang w:val="en-US" w:eastAsia="zh-CN" w:bidi="ar-SA"/>
        </w:rPr>
        <w:t>（本级）</w:t>
      </w:r>
      <w:bookmarkEnd w:id="12"/>
      <w:bookmarkStart w:id="17" w:name="_Toc27032"/>
      <w:r>
        <w:rPr>
          <w:rFonts w:hint="eastAsia" w:ascii="仿宋_GB2312" w:hAnsi="Times New Roman" w:eastAsia="仿宋_GB2312" w:cs="Times New Roman"/>
          <w:kern w:val="0"/>
          <w:sz w:val="32"/>
          <w:szCs w:val="32"/>
          <w:lang w:val="en-US" w:eastAsia="zh-CN" w:bidi="ar-SA"/>
        </w:rPr>
        <w:t>2、五通桥区住房和城乡建设局风景园林所</w:t>
      </w:r>
      <w:bookmarkEnd w:id="17"/>
      <w:bookmarkStart w:id="18" w:name="_Toc19805"/>
      <w:r>
        <w:rPr>
          <w:rFonts w:hint="eastAsia" w:ascii="仿宋_GB2312" w:hAnsi="Times New Roman" w:eastAsia="仿宋_GB2312" w:cs="Times New Roman"/>
          <w:kern w:val="0"/>
          <w:sz w:val="32"/>
          <w:szCs w:val="32"/>
          <w:lang w:val="en-US" w:eastAsia="zh-CN" w:bidi="ar-SA"/>
        </w:rPr>
        <w:t>3、五通桥区住房和城乡建设局环境卫生管理所</w:t>
      </w:r>
      <w:bookmarkEnd w:id="13"/>
      <w:bookmarkEnd w:id="14"/>
      <w:bookmarkEnd w:id="15"/>
      <w:bookmarkEnd w:id="16"/>
      <w:bookmarkEnd w:id="18"/>
      <w:bookmarkStart w:id="19" w:name="_Toc5630"/>
      <w:r>
        <w:rPr>
          <w:rFonts w:hint="eastAsia" w:ascii="仿宋_GB2312" w:hAnsi="Times New Roman" w:eastAsia="仿宋_GB2312" w:cs="Times New Roman"/>
          <w:kern w:val="0"/>
          <w:sz w:val="32"/>
          <w:szCs w:val="32"/>
          <w:lang w:val="en-US" w:eastAsia="zh-CN" w:bidi="ar-SA"/>
        </w:rPr>
        <w:t>4、五通桥区住房和城乡建设局房地产管理所</w:t>
      </w:r>
      <w:bookmarkEnd w:id="19"/>
      <w:bookmarkStart w:id="20" w:name="_Toc21629"/>
      <w:r>
        <w:rPr>
          <w:rFonts w:hint="eastAsia" w:ascii="仿宋_GB2312" w:hAnsi="Times New Roman" w:eastAsia="仿宋_GB2312" w:cs="Times New Roman"/>
          <w:kern w:val="0"/>
          <w:sz w:val="32"/>
          <w:szCs w:val="32"/>
          <w:lang w:val="en-US" w:eastAsia="zh-CN" w:bidi="ar-SA"/>
        </w:rPr>
        <w:t>5、五通桥区住房和城乡建设局市政管理所</w:t>
      </w:r>
      <w:bookmarkEnd w:id="20"/>
      <w:bookmarkStart w:id="21" w:name="_Toc13130"/>
      <w:r>
        <w:rPr>
          <w:rFonts w:hint="eastAsia" w:ascii="仿宋_GB2312" w:hAnsi="Times New Roman" w:eastAsia="仿宋_GB2312" w:cs="Times New Roman"/>
          <w:kern w:val="0"/>
          <w:sz w:val="32"/>
          <w:szCs w:val="32"/>
          <w:lang w:val="en-US" w:eastAsia="zh-CN" w:bidi="ar-SA"/>
        </w:rPr>
        <w:t>6、五通桥区建设工程质量安全监督站</w:t>
      </w:r>
      <w:bookmarkEnd w:id="21"/>
    </w:p>
    <w:p w14:paraId="22C403F8">
      <w:pPr>
        <w:widowControl/>
        <w:jc w:val="left"/>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14:paraId="542C291C">
      <w:pPr>
        <w:pStyle w:val="3"/>
        <w:jc w:val="center"/>
        <w:rPr>
          <w:rFonts w:hint="eastAsia" w:ascii="Times New Roman" w:hAnsi="Times New Roman" w:eastAsia="方正小标宋简体" w:cs="方正小标宋简体"/>
          <w:b w:val="0"/>
          <w:color w:val="auto"/>
          <w:highlight w:val="none"/>
        </w:rPr>
      </w:pPr>
      <w:bookmarkStart w:id="22" w:name="_Toc15377204"/>
      <w:bookmarkStart w:id="23"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ascii="Times New Roman" w:hAnsi="Times New Roman" w:eastAsia="方正小标宋简体" w:cs="方正小标宋简体"/>
          <w:b w:val="0"/>
          <w:color w:val="auto"/>
          <w:highlight w:val="none"/>
        </w:rPr>
        <w:t>部门决算情况说明</w:t>
      </w:r>
      <w:bookmarkEnd w:id="22"/>
      <w:bookmarkEnd w:id="23"/>
    </w:p>
    <w:p w14:paraId="400E5B2B">
      <w:pPr>
        <w:rPr>
          <w:rFonts w:ascii="Times New Roman" w:hAnsi="Times New Roman"/>
          <w:color w:val="auto"/>
          <w:highlight w:val="none"/>
        </w:rPr>
      </w:pPr>
    </w:p>
    <w:p w14:paraId="5D47EBD2">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4" w:name="_Toc15377205"/>
      <w:bookmarkStart w:id="25"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30"/>
          <w:rFonts w:hint="eastAsia" w:ascii="Times New Roman" w:hAnsi="Times New Roman" w:eastAsia="黑体"/>
          <w:b w:val="0"/>
          <w:color w:val="auto"/>
          <w:highlight w:val="none"/>
        </w:rPr>
        <w:t>入支出决算总体情况说明</w:t>
      </w:r>
      <w:bookmarkEnd w:id="24"/>
      <w:bookmarkEnd w:id="25"/>
    </w:p>
    <w:p w14:paraId="73F6B8B2">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仿宋_GB2312" w:hAnsi="仿宋_GB2312"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ascii="仿宋_GB2312" w:hAnsi="仿宋_GB2312" w:eastAsia="仿宋_GB2312" w:cs="仿宋_GB2312"/>
          <w:sz w:val="32"/>
          <w:szCs w:val="32"/>
        </w:rPr>
        <w:t>63363.89</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w:t>
      </w:r>
      <w:r>
        <w:rPr>
          <w:rFonts w:hint="eastAsia" w:ascii="仿宋_GB2312" w:hAnsi="仿宋_GB2312" w:eastAsia="仿宋_GB2312" w:cs="仿宋_GB2312"/>
          <w:color w:val="auto"/>
          <w:kern w:val="2"/>
          <w:sz w:val="32"/>
          <w:szCs w:val="32"/>
          <w:highlight w:val="none"/>
          <w:lang w:val="en-US" w:eastAsia="zh-CN" w:bidi="ar-SA"/>
        </w:rPr>
        <w:t>计各增加32197.86万元，增长103.31%。主要变动原因是本年度项目增加。</w:t>
      </w:r>
    </w:p>
    <w:p w14:paraId="4D78AA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p>
    <w:p w14:paraId="30E74DBC">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6" w:name="_Toc15377206"/>
      <w:bookmarkStart w:id="27" w:name="_Toc15396604"/>
      <w:r>
        <w:rPr>
          <w:rFonts w:hint="eastAsia" w:ascii="Times New Roman" w:hAnsi="Times New Roman" w:eastAsia="黑体"/>
          <w:color w:val="auto"/>
          <w:sz w:val="32"/>
          <w:szCs w:val="32"/>
          <w:highlight w:val="none"/>
          <w:lang w:eastAsia="zh-CN"/>
        </w:rPr>
        <w:t>二、收入决算情况说明</w:t>
      </w:r>
      <w:bookmarkEnd w:id="26"/>
      <w:bookmarkEnd w:id="27"/>
    </w:p>
    <w:p w14:paraId="1FCB1FB4">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57363.87万元，其中：一般公共预算财政拨款收入25875.67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45.1</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31488.2</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54.89</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6BB98827">
      <w:pPr>
        <w:ind w:firstLine="800" w:firstLineChars="250"/>
        <w:rPr>
          <w:rFonts w:hint="eastAsia" w:ascii="Times New Roman" w:hAnsi="Times New Roman" w:eastAsia="仿宋_GB2312" w:cs="仿宋_GB2312"/>
          <w:color w:val="auto"/>
          <w:sz w:val="32"/>
          <w:szCs w:val="32"/>
          <w:highlight w:val="none"/>
          <w:lang w:eastAsia="zh-CN"/>
        </w:rPr>
      </w:pPr>
    </w:p>
    <w:p w14:paraId="57C4CC84">
      <w:pPr>
        <w:pStyle w:val="2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0"/>
          <w:rFonts w:hint="eastAsia" w:ascii="Times New Roman" w:hAnsi="Times New Roman" w:eastAsia="黑体"/>
          <w:b w:val="0"/>
          <w:color w:val="auto"/>
          <w:highlight w:val="none"/>
        </w:rPr>
      </w:pPr>
      <w:bookmarkStart w:id="28" w:name="_Toc15396605"/>
      <w:bookmarkStart w:id="29"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30"/>
          <w:rFonts w:hint="eastAsia" w:ascii="Times New Roman" w:hAnsi="Times New Roman" w:eastAsia="黑体"/>
          <w:b w:val="0"/>
          <w:color w:val="auto"/>
          <w:highlight w:val="none"/>
        </w:rPr>
        <w:t>出决算情况说明</w:t>
      </w:r>
      <w:bookmarkEnd w:id="28"/>
      <w:bookmarkEnd w:id="29"/>
    </w:p>
    <w:p w14:paraId="1FED408D">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63363.89</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3550.84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5.6</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59813.04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94.39</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57602B47">
      <w:pPr>
        <w:ind w:firstLine="800" w:firstLineChars="250"/>
        <w:rPr>
          <w:rFonts w:hint="eastAsia" w:ascii="Times New Roman" w:hAnsi="Times New Roman" w:eastAsia="仿宋_GB2312" w:cs="仿宋_GB2312"/>
          <w:color w:val="auto"/>
          <w:sz w:val="32"/>
          <w:szCs w:val="32"/>
          <w:highlight w:val="none"/>
          <w:lang w:eastAsia="zh-CN"/>
        </w:rPr>
      </w:pPr>
    </w:p>
    <w:p w14:paraId="24E440F6">
      <w:pPr>
        <w:spacing w:line="600" w:lineRule="exact"/>
        <w:ind w:firstLine="640" w:firstLineChars="200"/>
        <w:outlineLvl w:val="1"/>
        <w:rPr>
          <w:rStyle w:val="30"/>
          <w:rFonts w:ascii="Times New Roman" w:hAnsi="Times New Roman" w:eastAsia="黑体"/>
          <w:b w:val="0"/>
          <w:color w:val="auto"/>
          <w:highlight w:val="none"/>
        </w:rPr>
      </w:pPr>
      <w:bookmarkStart w:id="30" w:name="_Toc15396606"/>
      <w:bookmarkStart w:id="31" w:name="_Toc15377208"/>
      <w:r>
        <w:rPr>
          <w:rFonts w:hint="eastAsia" w:ascii="Times New Roman" w:hAnsi="Times New Roman" w:eastAsia="黑体"/>
          <w:color w:val="auto"/>
          <w:sz w:val="32"/>
          <w:szCs w:val="32"/>
          <w:highlight w:val="none"/>
        </w:rPr>
        <w:t>四、财</w:t>
      </w:r>
      <w:r>
        <w:rPr>
          <w:rStyle w:val="30"/>
          <w:rFonts w:hint="eastAsia" w:ascii="Times New Roman" w:hAnsi="Times New Roman" w:eastAsia="黑体"/>
          <w:b w:val="0"/>
          <w:color w:val="auto"/>
          <w:highlight w:val="none"/>
        </w:rPr>
        <w:t>政拨款收入支出决算总体情况说明</w:t>
      </w:r>
      <w:bookmarkEnd w:id="30"/>
      <w:bookmarkEnd w:id="31"/>
    </w:p>
    <w:p w14:paraId="1585D70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ascii="仿宋_GB2312" w:hAnsi="仿宋_GB2312" w:eastAsia="仿宋_GB2312" w:cs="仿宋_GB2312"/>
          <w:sz w:val="32"/>
          <w:szCs w:val="32"/>
        </w:rPr>
        <w:t>63363.87</w:t>
      </w:r>
      <w:r>
        <w:rPr>
          <w:rFonts w:hint="eastAsia" w:ascii="Times New Roman" w:hAnsi="Times New Roman" w:eastAsia="仿宋_GB2312" w:cs="仿宋_GB2312"/>
          <w:color w:val="auto"/>
          <w:kern w:val="2"/>
          <w:sz w:val="32"/>
          <w:szCs w:val="32"/>
          <w:highlight w:val="none"/>
          <w:lang w:val="en-US" w:eastAsia="zh-CN" w:bidi="ar-SA"/>
        </w:rPr>
        <w:t>万元。与2023年度相比，财政</w:t>
      </w:r>
      <w:r>
        <w:rPr>
          <w:rFonts w:hint="eastAsia" w:ascii="仿宋_GB2312" w:hAnsi="仿宋_GB2312" w:eastAsia="仿宋_GB2312" w:cs="仿宋_GB2312"/>
          <w:sz w:val="32"/>
          <w:szCs w:val="32"/>
          <w:lang w:val="en-US" w:eastAsia="zh-CN"/>
        </w:rPr>
        <w:t>拨款收入总计、支出总计各增加32197.86万元，增长103.31%。</w:t>
      </w:r>
      <w:r>
        <w:rPr>
          <w:rFonts w:hint="eastAsia" w:ascii="仿宋_GB2312" w:hAnsi="仿宋_GB2312" w:eastAsia="仿宋_GB2312" w:cs="仿宋_GB2312"/>
          <w:sz w:val="32"/>
          <w:szCs w:val="32"/>
        </w:rPr>
        <w:t>主</w:t>
      </w:r>
      <w:r>
        <w:rPr>
          <w:rFonts w:hint="eastAsia" w:ascii="Times New Roman" w:hAnsi="Times New Roman" w:eastAsia="仿宋_GB2312" w:cs="仿宋_GB2312"/>
          <w:color w:val="auto"/>
          <w:sz w:val="32"/>
          <w:szCs w:val="32"/>
          <w:highlight w:val="none"/>
        </w:rPr>
        <w:t>要变动原因是</w:t>
      </w:r>
      <w:r>
        <w:rPr>
          <w:rFonts w:hint="eastAsia" w:eastAsia="仿宋_GB2312" w:cs="仿宋_GB2312"/>
          <w:color w:val="auto"/>
          <w:sz w:val="32"/>
          <w:szCs w:val="32"/>
          <w:highlight w:val="none"/>
          <w:lang w:val="en-US" w:eastAsia="zh-CN"/>
        </w:rPr>
        <w:t>本年度项目增加。</w:t>
      </w:r>
    </w:p>
    <w:p w14:paraId="6A9732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FDFDD16">
      <w:pPr>
        <w:spacing w:line="600" w:lineRule="exact"/>
        <w:ind w:firstLine="640" w:firstLineChars="200"/>
        <w:outlineLvl w:val="1"/>
        <w:rPr>
          <w:rStyle w:val="30"/>
          <w:rFonts w:ascii="Times New Roman" w:hAnsi="Times New Roman" w:eastAsia="黑体"/>
          <w:b w:val="0"/>
          <w:color w:val="auto"/>
          <w:highlight w:val="none"/>
        </w:rPr>
      </w:pPr>
      <w:bookmarkStart w:id="32" w:name="_Toc15396607"/>
      <w:bookmarkStart w:id="33" w:name="_Toc15377209"/>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般公共预算财政拨款支出决算情况说明</w:t>
      </w:r>
      <w:bookmarkEnd w:id="32"/>
      <w:bookmarkEnd w:id="33"/>
    </w:p>
    <w:p w14:paraId="42B8C28B">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4"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4"/>
    </w:p>
    <w:p w14:paraId="1B1D17F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31875.67</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50.3</w:t>
      </w:r>
      <w:r>
        <w:rPr>
          <w:rFonts w:hint="eastAsia" w:ascii="仿宋_GB2312" w:hAnsi="仿宋_GB2312" w:eastAsia="仿宋_GB2312" w:cs="仿宋_GB2312"/>
          <w:color w:val="auto"/>
          <w:kern w:val="2"/>
          <w:sz w:val="32"/>
          <w:szCs w:val="32"/>
          <w:highlight w:val="none"/>
          <w:lang w:val="en-US" w:eastAsia="zh-CN" w:bidi="ar-SA"/>
        </w:rPr>
        <w:t>%。与2023年度相比，一般公共预算财政拨款支出增加19474.47万元，增长157.04%。主要变动原因是</w:t>
      </w:r>
      <w:r>
        <w:rPr>
          <w:rFonts w:hint="eastAsia" w:eastAsia="仿宋_GB2312" w:cs="仿宋_GB2312"/>
          <w:color w:val="auto"/>
          <w:sz w:val="32"/>
          <w:szCs w:val="32"/>
          <w:highlight w:val="none"/>
          <w:lang w:val="en-US" w:eastAsia="zh-CN"/>
        </w:rPr>
        <w:t>本年度项目增加。</w:t>
      </w:r>
    </w:p>
    <w:p w14:paraId="01C3B93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C5DF6E2">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5"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5"/>
    </w:p>
    <w:p w14:paraId="3D5F47E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ascii="仿宋_GB2312" w:hAnsi="仿宋_GB2312" w:eastAsia="仿宋_GB2312" w:cs="仿宋_GB2312"/>
          <w:sz w:val="32"/>
          <w:szCs w:val="32"/>
        </w:rPr>
        <w:t>31,875.67</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一般公共服务支出36.67万元，占0.1</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%；文化旅游体育与传媒支出20.00万元，占0.0</w:t>
      </w: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%；社会保障和就业支出454.02万元，占</w:t>
      </w:r>
      <w:r>
        <w:rPr>
          <w:rFonts w:hint="eastAsia" w:eastAsia="仿宋_GB2312" w:cs="仿宋_GB2312"/>
          <w:color w:val="auto"/>
          <w:kern w:val="2"/>
          <w:sz w:val="32"/>
          <w:szCs w:val="32"/>
          <w:highlight w:val="none"/>
          <w:lang w:val="en-US" w:eastAsia="zh-CN" w:bidi="ar-SA"/>
        </w:rPr>
        <w:t>1.42</w:t>
      </w:r>
      <w:r>
        <w:rPr>
          <w:rFonts w:hint="eastAsia" w:ascii="Times New Roman" w:hAnsi="Times New Roman" w:eastAsia="仿宋_GB2312" w:cs="仿宋_GB2312"/>
          <w:color w:val="auto"/>
          <w:kern w:val="2"/>
          <w:sz w:val="32"/>
          <w:szCs w:val="32"/>
          <w:highlight w:val="none"/>
          <w:lang w:val="en-US" w:eastAsia="zh-CN" w:bidi="ar-SA"/>
        </w:rPr>
        <w:t>%；卫生健康支出128.94万元，占0.</w:t>
      </w:r>
      <w:r>
        <w:rPr>
          <w:rFonts w:hint="eastAsia" w:eastAsia="仿宋_GB2312" w:cs="仿宋_GB2312"/>
          <w:color w:val="auto"/>
          <w:kern w:val="2"/>
          <w:sz w:val="32"/>
          <w:szCs w:val="32"/>
          <w:highlight w:val="none"/>
          <w:lang w:val="en-US" w:eastAsia="zh-CN" w:bidi="ar-SA"/>
        </w:rPr>
        <w:t>40</w:t>
      </w:r>
      <w:r>
        <w:rPr>
          <w:rFonts w:hint="eastAsia" w:ascii="Times New Roman" w:hAnsi="Times New Roman" w:eastAsia="仿宋_GB2312" w:cs="仿宋_GB2312"/>
          <w:color w:val="auto"/>
          <w:kern w:val="2"/>
          <w:sz w:val="32"/>
          <w:szCs w:val="32"/>
          <w:highlight w:val="none"/>
          <w:lang w:val="en-US" w:eastAsia="zh-CN" w:bidi="ar-SA"/>
        </w:rPr>
        <w:t>%；城乡社区支出支出25,940.87万元，占</w:t>
      </w:r>
      <w:r>
        <w:rPr>
          <w:rFonts w:hint="eastAsia" w:eastAsia="仿宋_GB2312" w:cs="仿宋_GB2312"/>
          <w:color w:val="auto"/>
          <w:kern w:val="2"/>
          <w:sz w:val="32"/>
          <w:szCs w:val="32"/>
          <w:highlight w:val="none"/>
          <w:lang w:val="en-US" w:eastAsia="zh-CN" w:bidi="ar-SA"/>
        </w:rPr>
        <w:t>81.38</w:t>
      </w:r>
      <w:r>
        <w:rPr>
          <w:rFonts w:hint="eastAsia" w:ascii="Times New Roman" w:hAnsi="Times New Roman" w:eastAsia="仿宋_GB2312" w:cs="仿宋_GB2312"/>
          <w:color w:val="auto"/>
          <w:kern w:val="2"/>
          <w:sz w:val="32"/>
          <w:szCs w:val="32"/>
          <w:highlight w:val="none"/>
          <w:lang w:val="en-US" w:eastAsia="zh-CN" w:bidi="ar-SA"/>
        </w:rPr>
        <w:t>%；住房保障支出5,295.16万元，占</w:t>
      </w:r>
      <w:r>
        <w:rPr>
          <w:rFonts w:hint="eastAsia" w:eastAsia="仿宋_GB2312" w:cs="仿宋_GB2312"/>
          <w:color w:val="auto"/>
          <w:kern w:val="2"/>
          <w:sz w:val="32"/>
          <w:szCs w:val="32"/>
          <w:highlight w:val="none"/>
          <w:lang w:val="en-US" w:eastAsia="zh-CN" w:bidi="ar-SA"/>
        </w:rPr>
        <w:t>16.61</w:t>
      </w:r>
      <w:r>
        <w:rPr>
          <w:rFonts w:hint="eastAsia" w:ascii="Times New Roman" w:hAnsi="Times New Roman" w:eastAsia="仿宋_GB2312" w:cs="仿宋_GB2312"/>
          <w:color w:val="auto"/>
          <w:kern w:val="2"/>
          <w:sz w:val="32"/>
          <w:szCs w:val="32"/>
          <w:highlight w:val="none"/>
          <w:lang w:val="en-US" w:eastAsia="zh-CN" w:bidi="ar-SA"/>
        </w:rPr>
        <w:t>%。</w:t>
      </w:r>
    </w:p>
    <w:p w14:paraId="7398857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0ED921AE">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6"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6"/>
    </w:p>
    <w:p w14:paraId="1E4D233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7" w:name="_Toc15377444"/>
      <w:bookmarkStart w:id="38" w:name="_Toc15378460"/>
      <w:bookmarkStart w:id="39" w:name="_Toc15377213"/>
      <w:r>
        <w:rPr>
          <w:rFonts w:hint="eastAsia" w:ascii="Times New Roman" w:hAnsi="Times New Roman" w:eastAsia="仿宋_GB2312" w:cs="仿宋_GB2312"/>
          <w:color w:val="auto"/>
          <w:kern w:val="2"/>
          <w:sz w:val="32"/>
          <w:szCs w:val="32"/>
          <w:highlight w:val="none"/>
          <w:lang w:val="en-US" w:eastAsia="zh-CN" w:bidi="ar-SA"/>
        </w:rPr>
        <w:t>2024年度一般公共预算财政拨款支出决算数为</w:t>
      </w:r>
      <w:r>
        <w:rPr>
          <w:rFonts w:hint="eastAsia" w:ascii="仿宋_GB2312" w:hAnsi="仿宋_GB2312" w:eastAsia="仿宋_GB2312" w:cs="仿宋_GB2312"/>
          <w:sz w:val="32"/>
          <w:szCs w:val="32"/>
        </w:rPr>
        <w:t>31875.67</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37"/>
      <w:bookmarkEnd w:id="38"/>
      <w:bookmarkEnd w:id="39"/>
    </w:p>
    <w:p w14:paraId="53100B7E">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.一般公共服务支出（20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）发展与改革事务（0</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）其他发展与改革事务支出（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16.67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5AF92A5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zh-CN" w:eastAsia="zh-CN" w:bidi="ar-SA"/>
        </w:rPr>
        <w:t>一般公共服务支出（20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）宣传事务（</w:t>
      </w:r>
      <w:r>
        <w:rPr>
          <w:rFonts w:hint="eastAsia" w:ascii="Times New Roman" w:hAnsi="Times New Roman" w:eastAsia="仿宋_GB2312" w:cs="仿宋_GB2312"/>
          <w:color w:val="auto"/>
          <w:kern w:val="2"/>
          <w:sz w:val="32"/>
          <w:szCs w:val="32"/>
          <w:highlight w:val="none"/>
          <w:lang w:val="en-US" w:eastAsia="zh-CN" w:bidi="ar-SA"/>
        </w:rPr>
        <w:t>33</w:t>
      </w:r>
      <w:r>
        <w:rPr>
          <w:rFonts w:hint="eastAsia" w:ascii="Times New Roman" w:hAnsi="Times New Roman" w:eastAsia="仿宋_GB2312" w:cs="仿宋_GB2312"/>
          <w:color w:val="auto"/>
          <w:kern w:val="2"/>
          <w:sz w:val="32"/>
          <w:szCs w:val="32"/>
          <w:highlight w:val="none"/>
          <w:lang w:val="zh-CN" w:eastAsia="zh-CN" w:bidi="ar-SA"/>
        </w:rPr>
        <w:t>）机关事业一般行政管理事务（</w:t>
      </w:r>
      <w:r>
        <w:rPr>
          <w:rFonts w:hint="eastAsia" w:ascii="Times New Roman" w:hAnsi="Times New Roman" w:eastAsia="仿宋_GB2312" w:cs="仿宋_GB2312"/>
          <w:color w:val="auto"/>
          <w:kern w:val="2"/>
          <w:sz w:val="32"/>
          <w:szCs w:val="32"/>
          <w:highlight w:val="none"/>
          <w:lang w:val="en-US" w:eastAsia="zh-CN" w:bidi="ar-SA"/>
        </w:rPr>
        <w:t>02</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20.00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8BB7D2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文化旅游体育与传媒支出（20</w:t>
      </w:r>
      <w:r>
        <w:rPr>
          <w:rFonts w:hint="eastAsia" w:ascii="Times New Roman" w:hAnsi="Times New Roman"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zh-CN" w:eastAsia="zh-CN" w:bidi="ar-SA"/>
        </w:rPr>
        <w:t>）文化和旅游（0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）群众文化（</w:t>
      </w:r>
      <w:r>
        <w:rPr>
          <w:rFonts w:hint="eastAsia" w:ascii="Times New Roman" w:hAnsi="Times New Roman" w:eastAsia="仿宋_GB2312" w:cs="仿宋_GB2312"/>
          <w:color w:val="auto"/>
          <w:kern w:val="2"/>
          <w:sz w:val="32"/>
          <w:szCs w:val="32"/>
          <w:highlight w:val="none"/>
          <w:lang w:val="en-US" w:eastAsia="zh-CN" w:bidi="ar-SA"/>
        </w:rPr>
        <w:t>09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20.00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4347392">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）机关事业单位基本养老保险支出（0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141.51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B93984A">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）机关事业单位职业年金缴费支出（</w:t>
      </w:r>
      <w:r>
        <w:rPr>
          <w:rFonts w:hint="eastAsia" w:ascii="Times New Roman" w:hAnsi="Times New Roman" w:eastAsia="仿宋_GB2312" w:cs="仿宋_GB2312"/>
          <w:color w:val="auto"/>
          <w:kern w:val="2"/>
          <w:sz w:val="32"/>
          <w:szCs w:val="32"/>
          <w:highlight w:val="none"/>
          <w:lang w:val="en-US" w:eastAsia="zh-CN" w:bidi="ar-SA"/>
        </w:rPr>
        <w:t>06</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93.21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868EA7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）其他行政事业单位养老支出（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171.87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5B04DFCC">
      <w:pPr>
        <w:spacing w:line="600" w:lineRule="exact"/>
        <w:ind w:firstLine="640"/>
        <w:rPr>
          <w:rFonts w:hint="eastAsia"/>
          <w:lang w:val="zh-CN" w:eastAsia="zh-CN"/>
        </w:rPr>
      </w:pP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社会保障和就业支出（208）抚恤（</w:t>
      </w:r>
      <w:r>
        <w:rPr>
          <w:rFonts w:hint="eastAsia" w:eastAsia="仿宋_GB2312" w:cs="仿宋_GB2312"/>
          <w:color w:val="auto"/>
          <w:kern w:val="2"/>
          <w:sz w:val="32"/>
          <w:szCs w:val="32"/>
          <w:highlight w:val="none"/>
          <w:lang w:val="en-US" w:eastAsia="zh-CN" w:bidi="ar-SA"/>
        </w:rPr>
        <w:t>08</w:t>
      </w:r>
      <w:r>
        <w:rPr>
          <w:rFonts w:hint="eastAsia" w:ascii="Times New Roman" w:hAnsi="Times New Roman" w:eastAsia="仿宋_GB2312" w:cs="仿宋_GB2312"/>
          <w:color w:val="auto"/>
          <w:kern w:val="2"/>
          <w:sz w:val="32"/>
          <w:szCs w:val="32"/>
          <w:highlight w:val="none"/>
          <w:lang w:val="zh-CN" w:eastAsia="zh-CN" w:bidi="ar-SA"/>
        </w:rPr>
        <w:t>）死亡抚恤（</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36.08</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258150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社会保障和就业支出（208）其他社会保障和就业支出（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）其他社会保障和就业支出（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11.35</w:t>
      </w:r>
      <w:r>
        <w:rPr>
          <w:rFonts w:hint="eastAsia" w:ascii="Times New Roman" w:hAnsi="Times New Roman" w:eastAsia="仿宋_GB2312" w:cs="仿宋_GB2312"/>
          <w:color w:val="auto"/>
          <w:kern w:val="2"/>
          <w:sz w:val="32"/>
          <w:szCs w:val="32"/>
          <w:highlight w:val="none"/>
          <w:lang w:val="zh-CN" w:eastAsia="zh-CN" w:bidi="ar-SA"/>
        </w:rPr>
        <w:t>万元，完成预算100%。</w:t>
      </w:r>
      <w:r>
        <w:rPr>
          <w:rFonts w:hint="eastAsia" w:ascii="Times New Roman" w:hAnsi="Times New Roman" w:eastAsia="仿宋_GB2312" w:cs="仿宋_GB2312"/>
          <w:color w:val="auto"/>
          <w:kern w:val="2"/>
          <w:sz w:val="32"/>
          <w:szCs w:val="32"/>
          <w:highlight w:val="none"/>
          <w:lang w:val="en-US" w:eastAsia="zh-CN" w:bidi="ar-SA"/>
        </w:rPr>
        <w:t xml:space="preserve"> </w:t>
      </w:r>
    </w:p>
    <w:p w14:paraId="22F32F3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）公共卫生（</w:t>
      </w:r>
      <w:r>
        <w:rPr>
          <w:rFonts w:hint="eastAsia" w:ascii="Times New Roman" w:hAnsi="Times New Roman" w:eastAsia="仿宋_GB2312" w:cs="仿宋_GB2312"/>
          <w:color w:val="auto"/>
          <w:kern w:val="2"/>
          <w:sz w:val="32"/>
          <w:szCs w:val="32"/>
          <w:highlight w:val="none"/>
          <w:lang w:val="en-US" w:eastAsia="zh-CN" w:bidi="ar-SA"/>
        </w:rPr>
        <w:t>04</w:t>
      </w:r>
      <w:r>
        <w:rPr>
          <w:rFonts w:hint="eastAsia" w:ascii="Times New Roman" w:hAnsi="Times New Roman" w:eastAsia="仿宋_GB2312" w:cs="仿宋_GB2312"/>
          <w:color w:val="auto"/>
          <w:kern w:val="2"/>
          <w:sz w:val="32"/>
          <w:szCs w:val="32"/>
          <w:highlight w:val="none"/>
          <w:lang w:val="zh-CN" w:eastAsia="zh-CN" w:bidi="ar-SA"/>
        </w:rPr>
        <w:t>）其他公共卫生支出（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60.88</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4A7377D">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）行政单位医疗支出（0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6.55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3DC7675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）事业单位医疗（0</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34.86</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84E0742">
      <w:pPr>
        <w:spacing w:line="600" w:lineRule="exact"/>
        <w:ind w:firstLine="640"/>
        <w:rPr>
          <w:rFonts w:hint="eastAsia"/>
          <w:lang w:val="zh-CN" w:eastAsia="zh-CN"/>
        </w:rPr>
      </w:pPr>
      <w:r>
        <w:rPr>
          <w:rFonts w:hint="eastAsia" w:eastAsia="仿宋_GB2312" w:cs="仿宋_GB2312"/>
          <w:color w:val="auto"/>
          <w:kern w:val="2"/>
          <w:sz w:val="32"/>
          <w:szCs w:val="32"/>
          <w:highlight w:val="none"/>
          <w:lang w:val="en-US" w:eastAsia="zh-CN" w:bidi="ar-SA"/>
        </w:rPr>
        <w:t>12</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）公务员医疗补助（0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年支出决算数为</w:t>
      </w:r>
      <w:r>
        <w:rPr>
          <w:rFonts w:hint="eastAsia" w:ascii="Times New Roman" w:hAnsi="Times New Roman" w:eastAsia="仿宋_GB2312" w:cs="仿宋_GB2312"/>
          <w:color w:val="auto"/>
          <w:kern w:val="2"/>
          <w:sz w:val="32"/>
          <w:szCs w:val="32"/>
          <w:highlight w:val="none"/>
          <w:lang w:val="en-US" w:eastAsia="zh-CN" w:bidi="ar-SA"/>
        </w:rPr>
        <w:t>26.87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374C18F9">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）城乡社区管理事务（</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）行政运行（</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228.07</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DA3F4AA">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）城乡社区管理事务（</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）其他城乡社区管理事务支出（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2,820.26</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2370FDAC">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03</w:t>
      </w:r>
      <w:r>
        <w:rPr>
          <w:rFonts w:hint="eastAsia" w:ascii="Times New Roman" w:hAnsi="Times New Roman" w:eastAsia="仿宋_GB2312" w:cs="仿宋_GB2312"/>
          <w:color w:val="auto"/>
          <w:kern w:val="2"/>
          <w:sz w:val="32"/>
          <w:szCs w:val="32"/>
          <w:highlight w:val="none"/>
          <w:lang w:val="zh-CN" w:eastAsia="zh-CN" w:bidi="ar-SA"/>
        </w:rPr>
        <w:t>）其他城乡社区公共设施支出（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21,653.14</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22EA0D4">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16</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城乡社区公共设施（</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）城乡社区环境卫生（</w:t>
      </w:r>
      <w:r>
        <w:rPr>
          <w:rFonts w:hint="eastAsia" w:ascii="Times New Roman" w:hAnsi="Times New Roman" w:eastAsia="仿宋_GB2312" w:cs="仿宋_GB2312"/>
          <w:color w:val="auto"/>
          <w:kern w:val="2"/>
          <w:sz w:val="32"/>
          <w:szCs w:val="32"/>
          <w:highlight w:val="none"/>
          <w:lang w:val="en-US" w:eastAsia="zh-CN" w:bidi="ar-SA"/>
        </w:rPr>
        <w:t>05</w:t>
      </w:r>
      <w:r>
        <w:rPr>
          <w:rFonts w:hint="eastAsia" w:ascii="Times New Roman" w:hAnsi="Times New Roman" w:eastAsia="仿宋_GB2312" w:cs="仿宋_GB2312"/>
          <w:color w:val="auto"/>
          <w:kern w:val="2"/>
          <w:sz w:val="32"/>
          <w:szCs w:val="32"/>
          <w:highlight w:val="none"/>
          <w:lang w:val="zh-CN" w:eastAsia="zh-CN" w:bidi="ar-SA"/>
        </w:rPr>
        <w:t>）城乡社区环境卫生（</w:t>
      </w:r>
      <w:r>
        <w:rPr>
          <w:rFonts w:hint="eastAsia" w:ascii="Times New Roman" w:hAnsi="Times New Roman"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706.31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15760AE">
      <w:pPr>
        <w:spacing w:line="600" w:lineRule="exact"/>
        <w:ind w:firstLine="640"/>
        <w:rPr>
          <w:rFonts w:hint="eastAsia"/>
          <w:lang w:val="zh-CN"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）建设市场管理与监督（</w:t>
      </w:r>
      <w:r>
        <w:rPr>
          <w:rFonts w:hint="eastAsia" w:eastAsia="仿宋_GB2312" w:cs="仿宋_GB2312"/>
          <w:color w:val="auto"/>
          <w:kern w:val="2"/>
          <w:sz w:val="32"/>
          <w:szCs w:val="32"/>
          <w:highlight w:val="none"/>
          <w:lang w:val="en-US" w:eastAsia="zh-CN" w:bidi="ar-SA"/>
        </w:rPr>
        <w:t>06</w:t>
      </w:r>
      <w:r>
        <w:rPr>
          <w:rFonts w:hint="eastAsia" w:ascii="Times New Roman" w:hAnsi="Times New Roman" w:eastAsia="仿宋_GB2312" w:cs="仿宋_GB2312"/>
          <w:color w:val="auto"/>
          <w:kern w:val="2"/>
          <w:sz w:val="32"/>
          <w:szCs w:val="32"/>
          <w:highlight w:val="none"/>
          <w:lang w:val="zh-CN" w:eastAsia="zh-CN" w:bidi="ar-SA"/>
        </w:rPr>
        <w:t>）建设市场管理与监督（</w:t>
      </w:r>
      <w:r>
        <w:rPr>
          <w:rFonts w:hint="eastAsia" w:eastAsia="仿宋_GB2312" w:cs="仿宋_GB2312"/>
          <w:color w:val="auto"/>
          <w:kern w:val="2"/>
          <w:sz w:val="32"/>
          <w:szCs w:val="32"/>
          <w:highlight w:val="none"/>
          <w:lang w:val="en-US" w:eastAsia="zh-CN" w:bidi="ar-SA"/>
        </w:rPr>
        <w:t>01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4.73</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A11A853">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城乡社区支出（</w:t>
      </w:r>
      <w:r>
        <w:rPr>
          <w:rFonts w:hint="eastAsia" w:ascii="Times New Roman" w:hAnsi="Times New Roman" w:eastAsia="仿宋_GB2312" w:cs="仿宋_GB2312"/>
          <w:color w:val="auto"/>
          <w:kern w:val="2"/>
          <w:sz w:val="32"/>
          <w:szCs w:val="32"/>
          <w:highlight w:val="none"/>
          <w:lang w:val="en-US" w:eastAsia="zh-CN" w:bidi="ar-SA"/>
        </w:rPr>
        <w:t>212</w:t>
      </w:r>
      <w:r>
        <w:rPr>
          <w:rFonts w:hint="eastAsia" w:ascii="Times New Roman" w:hAnsi="Times New Roman" w:eastAsia="仿宋_GB2312" w:cs="仿宋_GB2312"/>
          <w:color w:val="auto"/>
          <w:kern w:val="2"/>
          <w:sz w:val="32"/>
          <w:szCs w:val="32"/>
          <w:highlight w:val="none"/>
          <w:lang w:val="zh-CN" w:eastAsia="zh-CN" w:bidi="ar-SA"/>
        </w:rPr>
        <w:t>）其他城乡社区支出（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）其他城乡社区支出（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528.35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052BED36">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）棚户区改造（0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1528.34</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78C8D62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20</w:t>
      </w:r>
      <w:r>
        <w:rPr>
          <w:rFonts w:hint="eastAsia" w:ascii="Times New Roman" w:hAnsi="Times New Roman" w:eastAsia="仿宋_GB2312" w:cs="仿宋_GB2312"/>
          <w:color w:val="auto"/>
          <w:kern w:val="2"/>
          <w:sz w:val="32"/>
          <w:szCs w:val="32"/>
          <w:highlight w:val="none"/>
          <w:lang w:val="en-US" w:eastAsia="zh-CN" w:bidi="ar-SA"/>
        </w:rPr>
        <w:t xml:space="preserve">.住房保障支出（221）保障性安居工程支出（01）保障性住房租金补贴（07）：2024年决算数为61.85万元，完成预算100%。    </w:t>
      </w:r>
    </w:p>
    <w:p w14:paraId="365E0973">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eastAsia="仿宋_GB2312" w:cs="仿宋_GB2312"/>
          <w:color w:val="auto"/>
          <w:kern w:val="2"/>
          <w:sz w:val="32"/>
          <w:szCs w:val="32"/>
          <w:highlight w:val="none"/>
          <w:lang w:val="en-US" w:eastAsia="zh-CN" w:bidi="ar-SA"/>
        </w:rPr>
        <w:t>21</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）老旧小区改造（0</w:t>
      </w:r>
      <w:r>
        <w:rPr>
          <w:rFonts w:hint="eastAsia" w:ascii="Times New Roman" w:hAnsi="Times New Roman" w:eastAsia="仿宋_GB2312" w:cs="仿宋_GB2312"/>
          <w:color w:val="auto"/>
          <w:kern w:val="2"/>
          <w:sz w:val="32"/>
          <w:szCs w:val="32"/>
          <w:highlight w:val="none"/>
          <w:lang w:val="en-US" w:eastAsia="zh-CN" w:bidi="ar-SA"/>
        </w:rPr>
        <w:t>8</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2,010.21</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673DAE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）保障性租赁住房（</w:t>
      </w:r>
      <w:r>
        <w:rPr>
          <w:rFonts w:hint="eastAsia" w:ascii="Times New Roman" w:hAnsi="Times New Roman"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269.00</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4267A517">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住房保障支出（221）保障性安居工程支出（0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）其他保障性安居工程支出（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1,282.09</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1D8146BF">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住房保障支出（221）住房改革支出（0</w:t>
      </w:r>
      <w:r>
        <w:rPr>
          <w:rFonts w:hint="eastAsia" w:ascii="Times New Roman" w:hAnsi="Times New Roman" w:eastAsia="仿宋_GB2312" w:cs="仿宋_GB2312"/>
          <w:color w:val="auto"/>
          <w:kern w:val="2"/>
          <w:sz w:val="32"/>
          <w:szCs w:val="32"/>
          <w:highlight w:val="none"/>
          <w:lang w:val="en-US" w:eastAsia="zh-CN" w:bidi="ar-SA"/>
        </w:rPr>
        <w:t>2</w:t>
      </w:r>
      <w:r>
        <w:rPr>
          <w:rFonts w:hint="eastAsia" w:ascii="Times New Roman" w:hAnsi="Times New Roman" w:eastAsia="仿宋_GB2312" w:cs="仿宋_GB2312"/>
          <w:color w:val="auto"/>
          <w:kern w:val="2"/>
          <w:sz w:val="32"/>
          <w:szCs w:val="32"/>
          <w:highlight w:val="none"/>
          <w:lang w:val="zh-CN" w:eastAsia="zh-CN" w:bidi="ar-SA"/>
        </w:rPr>
        <w:t>） 住房公积金（0</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118.75</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62B53ADB">
      <w:pPr>
        <w:spacing w:line="600" w:lineRule="exact"/>
        <w:ind w:firstLine="64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zh-CN" w:eastAsia="zh-CN" w:bidi="ar-SA"/>
        </w:rPr>
        <w:t>住房保障支出（221）城乡社区住宅（0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）其他城乡社区住宅支出（</w:t>
      </w:r>
      <w:r>
        <w:rPr>
          <w:rFonts w:hint="eastAsia" w:ascii="Times New Roman" w:hAnsi="Times New Roman" w:eastAsia="仿宋_GB2312" w:cs="仿宋_GB2312"/>
          <w:color w:val="auto"/>
          <w:kern w:val="2"/>
          <w:sz w:val="32"/>
          <w:szCs w:val="32"/>
          <w:highlight w:val="none"/>
          <w:lang w:val="en-US" w:eastAsia="zh-CN" w:bidi="ar-SA"/>
        </w:rPr>
        <w:t>99</w:t>
      </w:r>
      <w:r>
        <w:rPr>
          <w:rFonts w:hint="eastAsia" w:ascii="Times New Roman" w:hAnsi="Times New Roman" w:eastAsia="仿宋_GB2312" w:cs="仿宋_GB2312"/>
          <w:color w:val="auto"/>
          <w:kern w:val="2"/>
          <w:sz w:val="32"/>
          <w:szCs w:val="32"/>
          <w:highlight w:val="none"/>
          <w:lang w:val="zh-CN" w:eastAsia="zh-CN" w:bidi="ar-SA"/>
        </w:rPr>
        <w:t>）：202</w:t>
      </w:r>
      <w:r>
        <w:rPr>
          <w:rFonts w:hint="eastAsia" w:ascii="Times New Roman" w:hAnsi="Times New Roman"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zh-CN" w:eastAsia="zh-CN" w:bidi="ar-SA"/>
        </w:rPr>
        <w:t>年决算数为</w:t>
      </w:r>
      <w:r>
        <w:rPr>
          <w:rFonts w:hint="eastAsia" w:ascii="Times New Roman" w:hAnsi="Times New Roman" w:eastAsia="仿宋_GB2312" w:cs="仿宋_GB2312"/>
          <w:color w:val="auto"/>
          <w:kern w:val="2"/>
          <w:sz w:val="32"/>
          <w:szCs w:val="32"/>
          <w:highlight w:val="none"/>
          <w:lang w:val="en-US" w:eastAsia="zh-CN" w:bidi="ar-SA"/>
        </w:rPr>
        <w:t>24.93</w:t>
      </w:r>
      <w:r>
        <w:rPr>
          <w:rFonts w:hint="eastAsia" w:ascii="Times New Roman" w:hAnsi="Times New Roman" w:eastAsia="仿宋_GB2312" w:cs="仿宋_GB2312"/>
          <w:color w:val="auto"/>
          <w:kern w:val="2"/>
          <w:sz w:val="32"/>
          <w:szCs w:val="32"/>
          <w:highlight w:val="none"/>
          <w:lang w:val="zh-CN" w:eastAsia="zh-CN" w:bidi="ar-SA"/>
        </w:rPr>
        <w:t>万元，完成预算100%。</w:t>
      </w:r>
    </w:p>
    <w:p w14:paraId="2F93A36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101B3518">
      <w:pPr>
        <w:tabs>
          <w:tab w:val="right" w:pos="8306"/>
        </w:tabs>
        <w:spacing w:line="600" w:lineRule="exact"/>
        <w:ind w:firstLine="640"/>
        <w:outlineLvl w:val="1"/>
        <w:rPr>
          <w:rStyle w:val="30"/>
          <w:rFonts w:ascii="Times New Roman" w:hAnsi="Times New Roman"/>
          <w:color w:val="auto"/>
          <w:highlight w:val="none"/>
        </w:rPr>
      </w:pPr>
      <w:bookmarkStart w:id="40" w:name="_Toc15396608"/>
      <w:bookmarkStart w:id="41" w:name="_Toc15377214"/>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30"/>
          <w:rFonts w:hint="eastAsia" w:ascii="Times New Roman" w:hAnsi="Times New Roman" w:eastAsia="黑体"/>
          <w:b w:val="0"/>
          <w:color w:val="auto"/>
          <w:highlight w:val="none"/>
        </w:rPr>
        <w:t>般公共预算财政拨款基本支出决算情况说明</w:t>
      </w:r>
      <w:bookmarkEnd w:id="40"/>
      <w:bookmarkEnd w:id="41"/>
      <w:r>
        <w:rPr>
          <w:rStyle w:val="30"/>
          <w:rFonts w:ascii="Times New Roman" w:hAnsi="Times New Roman" w:eastAsia="黑体"/>
          <w:b w:val="0"/>
          <w:color w:val="auto"/>
          <w:highlight w:val="none"/>
        </w:rPr>
        <w:tab/>
      </w:r>
    </w:p>
    <w:p w14:paraId="1B2DBA7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ascii="仿宋_GB2312" w:hAnsi="仿宋_GB2312" w:eastAsia="仿宋_GB2312" w:cs="仿宋_GB2312"/>
          <w:sz w:val="32"/>
          <w:szCs w:val="32"/>
        </w:rPr>
        <w:t>3550.82</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元，其中：</w:t>
      </w:r>
    </w:p>
    <w:p w14:paraId="1446D8E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ascii="仿宋_GB2312" w:hAnsi="仿宋_GB2312" w:eastAsia="仿宋_GB2312" w:cs="仿宋_GB2312"/>
          <w:sz w:val="32"/>
          <w:szCs w:val="32"/>
        </w:rPr>
        <w:t>3406.58</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ascii="仿宋_GB2312" w:hAnsi="仿宋_GB2312" w:eastAsia="仿宋_GB2312" w:cs="仿宋_GB2312"/>
          <w:sz w:val="32"/>
          <w:szCs w:val="32"/>
        </w:rPr>
        <w:t>144.24</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0DF85C6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757B48B">
      <w:pPr>
        <w:spacing w:line="600" w:lineRule="exact"/>
        <w:ind w:firstLine="640"/>
        <w:outlineLvl w:val="1"/>
        <w:rPr>
          <w:rStyle w:val="30"/>
          <w:rFonts w:ascii="Times New Roman" w:hAnsi="Times New Roman" w:eastAsia="黑体"/>
          <w:b w:val="0"/>
          <w:color w:val="auto"/>
          <w:highlight w:val="none"/>
        </w:rPr>
      </w:pPr>
      <w:bookmarkStart w:id="42" w:name="_Toc15396609"/>
      <w:bookmarkStart w:id="43" w:name="_Toc15377215"/>
      <w:r>
        <w:rPr>
          <w:rFonts w:hint="eastAsia" w:ascii="Times New Roman" w:hAnsi="Times New Roman" w:eastAsia="黑体"/>
          <w:color w:val="auto"/>
          <w:sz w:val="32"/>
          <w:szCs w:val="32"/>
          <w:highlight w:val="none"/>
        </w:rPr>
        <w:t>七、</w:t>
      </w:r>
      <w:r>
        <w:rPr>
          <w:rStyle w:val="30"/>
          <w:rFonts w:hint="eastAsia" w:ascii="Times New Roman" w:hAnsi="Times New Roman" w:eastAsia="黑体"/>
          <w:b w:val="0"/>
          <w:color w:val="auto"/>
          <w:highlight w:val="none"/>
        </w:rPr>
        <w:t>财政拨款</w:t>
      </w:r>
      <w:r>
        <w:rPr>
          <w:rStyle w:val="30"/>
          <w:rFonts w:hint="eastAsia" w:ascii="Times New Roman" w:hAnsi="Times New Roman" w:eastAsia="黑体"/>
          <w:color w:val="auto"/>
          <w:highlight w:val="none"/>
        </w:rPr>
        <w:t>“</w:t>
      </w:r>
      <w:r>
        <w:rPr>
          <w:rStyle w:val="30"/>
          <w:rFonts w:hint="eastAsia" w:ascii="Times New Roman" w:hAnsi="Times New Roman" w:eastAsia="黑体"/>
          <w:b w:val="0"/>
          <w:color w:val="auto"/>
          <w:highlight w:val="none"/>
        </w:rPr>
        <w:t>三公”经费支出决算情况说明</w:t>
      </w:r>
      <w:bookmarkEnd w:id="42"/>
      <w:bookmarkEnd w:id="43"/>
    </w:p>
    <w:p w14:paraId="1EC96AE0">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4"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4"/>
    </w:p>
    <w:p w14:paraId="1B1D6CA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ascii="仿宋_GB2312" w:hAnsi="仿宋_GB2312" w:eastAsia="仿宋_GB2312" w:cs="仿宋_GB2312"/>
          <w:sz w:val="32"/>
          <w:szCs w:val="32"/>
        </w:rPr>
        <w:t>0.46</w:t>
      </w:r>
      <w:r>
        <w:rPr>
          <w:rFonts w:hint="eastAsia" w:ascii="仿宋_GB2312" w:hAnsi="仿宋_GB2312" w:eastAsia="仿宋_GB2312" w:cs="仿宋_GB2312"/>
          <w:color w:val="auto"/>
          <w:kern w:val="2"/>
          <w:sz w:val="32"/>
          <w:szCs w:val="32"/>
          <w:highlight w:val="none"/>
          <w:lang w:val="en-US" w:eastAsia="zh-CN" w:bidi="ar-SA"/>
        </w:rPr>
        <w:t>万元，完成预算</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较上年度减少</w:t>
      </w:r>
      <w:r>
        <w:rPr>
          <w:rFonts w:hint="eastAsia" w:eastAsia="仿宋_GB2312" w:cs="仿宋_GB2312"/>
          <w:color w:val="auto"/>
          <w:kern w:val="2"/>
          <w:sz w:val="32"/>
          <w:szCs w:val="32"/>
          <w:highlight w:val="none"/>
          <w:lang w:val="en-US" w:eastAsia="zh-CN" w:bidi="ar-SA"/>
        </w:rPr>
        <w:t>17.11</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97.72</w:t>
      </w:r>
      <w:r>
        <w:rPr>
          <w:rFonts w:hint="eastAsia" w:ascii="Times New Roman" w:hAnsi="Times New Roman" w:eastAsia="仿宋_GB2312" w:cs="仿宋_GB2312"/>
          <w:color w:val="auto"/>
          <w:kern w:val="2"/>
          <w:sz w:val="32"/>
          <w:szCs w:val="32"/>
          <w:highlight w:val="none"/>
          <w:lang w:val="en-US" w:eastAsia="zh-CN" w:bidi="ar-SA"/>
        </w:rPr>
        <w:t>%。决算数小于预算数的主要原因是</w:t>
      </w:r>
      <w:r>
        <w:rPr>
          <w:rFonts w:hint="eastAsia" w:eastAsia="仿宋_GB2312" w:cs="仿宋_GB2312"/>
          <w:color w:val="auto"/>
          <w:kern w:val="2"/>
          <w:sz w:val="32"/>
          <w:szCs w:val="32"/>
          <w:highlight w:val="none"/>
          <w:lang w:val="en-US" w:eastAsia="zh-CN" w:bidi="ar-SA"/>
        </w:rPr>
        <w:t>严格执行“八项规定”，减少公务开支。</w:t>
      </w:r>
    </w:p>
    <w:p w14:paraId="6C3912F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5"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45"/>
    </w:p>
    <w:p w14:paraId="4A79BB87">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万元，占0%；公务用车购置及运行维护费支出决算</w:t>
      </w:r>
      <w:r>
        <w:rPr>
          <w:rFonts w:hint="eastAsia" w:ascii="仿宋_GB2312" w:hAnsi="仿宋_GB2312" w:eastAsia="仿宋_GB2312" w:cs="仿宋_GB2312"/>
          <w:sz w:val="32"/>
          <w:szCs w:val="32"/>
        </w:rPr>
        <w:t>0.46</w:t>
      </w:r>
      <w:r>
        <w:rPr>
          <w:rFonts w:hint="eastAsia" w:ascii="仿宋_GB2312" w:hAnsi="仿宋_GB2312" w:eastAsia="仿宋_GB2312" w:cs="仿宋_GB2312"/>
          <w:color w:val="auto"/>
          <w:kern w:val="2"/>
          <w:sz w:val="32"/>
          <w:szCs w:val="32"/>
          <w:highlight w:val="none"/>
          <w:lang w:val="en-US" w:eastAsia="zh-CN" w:bidi="ar-SA"/>
        </w:rPr>
        <w:t>万元，占100%；公务接待费支出决算</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万元，占0%。具体情况如下：</w:t>
      </w:r>
    </w:p>
    <w:p w14:paraId="54B1160F">
      <w:pPr>
        <w:numPr>
          <w:ilvl w:val="0"/>
          <w:numId w:val="2"/>
        </w:num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w:t>
      </w:r>
      <w:r>
        <w:rPr>
          <w:rFonts w:hint="eastAsia" w:ascii="仿宋_GB2312" w:hAnsi="仿宋_GB2312" w:eastAsia="仿宋_GB2312" w:cs="仿宋_GB2312"/>
          <w:color w:val="auto"/>
          <w:kern w:val="2"/>
          <w:sz w:val="32"/>
          <w:szCs w:val="32"/>
          <w:highlight w:val="none"/>
          <w:lang w:val="en-US" w:eastAsia="zh-CN" w:bidi="ar-SA"/>
        </w:rPr>
        <w:t>组</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人</w:t>
      </w:r>
      <w:r>
        <w:rPr>
          <w:rFonts w:hint="eastAsia" w:ascii="Times New Roman" w:hAnsi="Times New Roman" w:eastAsia="仿宋_GB2312" w:cs="仿宋_GB2312"/>
          <w:color w:val="auto"/>
          <w:kern w:val="2"/>
          <w:sz w:val="32"/>
          <w:szCs w:val="32"/>
          <w:highlight w:val="none"/>
          <w:lang w:val="en-US" w:eastAsia="zh-CN" w:bidi="ar-SA"/>
        </w:rPr>
        <w:t>。因公出国（境）支出决算比2023年</w:t>
      </w:r>
      <w:r>
        <w:rPr>
          <w:rFonts w:hint="eastAsia" w:eastAsia="仿宋_GB2312" w:cs="仿宋_GB2312"/>
          <w:color w:val="auto"/>
          <w:kern w:val="2"/>
          <w:sz w:val="32"/>
          <w:szCs w:val="32"/>
          <w:highlight w:val="none"/>
          <w:lang w:val="en-US" w:eastAsia="zh-CN" w:bidi="ar-SA"/>
        </w:rPr>
        <w:t>持平。</w:t>
      </w:r>
    </w:p>
    <w:p w14:paraId="6F8BC8F0">
      <w:pPr>
        <w:numPr>
          <w:ilvl w:val="0"/>
          <w:numId w:val="0"/>
        </w:numPr>
        <w:spacing w:line="600" w:lineRule="exact"/>
        <w:ind w:firstLine="643"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ascii="仿宋_GB2312" w:hAnsi="仿宋_GB2312" w:eastAsia="仿宋_GB2312" w:cs="仿宋_GB2312"/>
          <w:b/>
          <w:bCs/>
          <w:color w:val="auto"/>
          <w:kern w:val="2"/>
          <w:sz w:val="32"/>
          <w:szCs w:val="32"/>
          <w:highlight w:val="none"/>
          <w:lang w:val="en-US" w:eastAsia="zh-CN" w:bidi="ar-SA"/>
        </w:rPr>
        <w:t>0.46万</w:t>
      </w:r>
      <w:r>
        <w:rPr>
          <w:rFonts w:hint="eastAsia" w:ascii="Times New Roman" w:hAnsi="Times New Roman" w:eastAsia="仿宋_GB2312" w:cs="仿宋_GB2312"/>
          <w:b/>
          <w:bCs/>
          <w:color w:val="auto"/>
          <w:kern w:val="2"/>
          <w:sz w:val="32"/>
          <w:szCs w:val="32"/>
          <w:highlight w:val="none"/>
          <w:lang w:val="en-US" w:eastAsia="zh-CN" w:bidi="ar-SA"/>
        </w:rPr>
        <w:t>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100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2023年度</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w:t>
      </w:r>
    </w:p>
    <w:p w14:paraId="0DE684A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41</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41</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14:paraId="13CB86B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0.46</w:t>
      </w:r>
      <w:r>
        <w:rPr>
          <w:rFonts w:hint="eastAsia" w:ascii="Times New Roman" w:hAnsi="Times New Roman" w:eastAsia="仿宋_GB2312" w:cs="仿宋_GB2312"/>
          <w:color w:val="auto"/>
          <w:kern w:val="2"/>
          <w:sz w:val="32"/>
          <w:szCs w:val="32"/>
          <w:highlight w:val="none"/>
          <w:lang w:val="en-US" w:eastAsia="zh-CN" w:bidi="ar-SA"/>
        </w:rPr>
        <w:t>万元。主要用于所需的公务用车燃料费、过路过桥费、等支出。</w:t>
      </w:r>
    </w:p>
    <w:p w14:paraId="0F5FCA1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ascii="仿宋_GB2312" w:hAnsi="仿宋_GB2312" w:eastAsia="仿宋_GB2312" w:cs="仿宋_GB2312"/>
          <w:b/>
          <w:bCs/>
          <w:color w:val="auto"/>
          <w:kern w:val="2"/>
          <w:sz w:val="32"/>
          <w:szCs w:val="32"/>
          <w:highlight w:val="none"/>
          <w:lang w:val="en-US" w:eastAsia="zh-CN" w:bidi="ar-SA"/>
        </w:rPr>
        <w:t>0万</w:t>
      </w:r>
      <w:r>
        <w:rPr>
          <w:rFonts w:hint="eastAsia" w:ascii="Times New Roman" w:hAnsi="Times New Roman" w:eastAsia="仿宋_GB2312" w:cs="仿宋_GB2312"/>
          <w:b/>
          <w:bCs/>
          <w:color w:val="auto"/>
          <w:kern w:val="2"/>
          <w:sz w:val="32"/>
          <w:szCs w:val="32"/>
          <w:highlight w:val="none"/>
          <w:lang w:val="en-US" w:eastAsia="zh-CN" w:bidi="ar-SA"/>
        </w:rPr>
        <w:t>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与</w:t>
      </w:r>
      <w:r>
        <w:rPr>
          <w:rFonts w:hint="eastAsia" w:ascii="Times New Roman" w:hAnsi="Times New Roman" w:eastAsia="仿宋_GB2312" w:cs="仿宋_GB2312"/>
          <w:color w:val="auto"/>
          <w:kern w:val="2"/>
          <w:sz w:val="32"/>
          <w:szCs w:val="32"/>
          <w:highlight w:val="none"/>
          <w:lang w:val="en-US" w:eastAsia="zh-CN" w:bidi="ar-SA"/>
        </w:rPr>
        <w:t>2023年度</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。其中：</w:t>
      </w:r>
    </w:p>
    <w:p w14:paraId="15A58948">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元。外事接待支</w:t>
      </w:r>
      <w:r>
        <w:rPr>
          <w:rFonts w:hint="eastAsia" w:ascii="仿宋_GB2312" w:hAnsi="仿宋_GB2312" w:eastAsia="仿宋_GB2312" w:cs="仿宋_GB2312"/>
          <w:color w:val="auto"/>
          <w:kern w:val="2"/>
          <w:sz w:val="32"/>
          <w:szCs w:val="32"/>
          <w:highlight w:val="none"/>
          <w:lang w:val="en-US" w:eastAsia="zh-CN" w:bidi="ar-SA"/>
        </w:rPr>
        <w:t>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p>
    <w:p w14:paraId="5934391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46" w:name="_Toc15396610"/>
      <w:bookmarkStart w:id="47" w:name="_Toc15377218"/>
    </w:p>
    <w:p w14:paraId="7F253438">
      <w:pPr>
        <w:spacing w:line="600" w:lineRule="exact"/>
        <w:ind w:firstLine="640"/>
        <w:outlineLvl w:val="1"/>
        <w:rPr>
          <w:rStyle w:val="30"/>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30"/>
          <w:rFonts w:hint="eastAsia" w:ascii="Times New Roman" w:hAnsi="Times New Roman" w:eastAsia="黑体"/>
          <w:b w:val="0"/>
          <w:color w:val="auto"/>
          <w:highlight w:val="none"/>
        </w:rPr>
        <w:t>政府性基金预算支出决算情况说明</w:t>
      </w:r>
      <w:bookmarkEnd w:id="46"/>
      <w:bookmarkEnd w:id="47"/>
    </w:p>
    <w:p w14:paraId="5853BFA7">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31488.2</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49.69</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w:t>
      </w:r>
      <w:r>
        <w:rPr>
          <w:rFonts w:hint="eastAsia" w:eastAsia="仿宋_GB2312" w:cs="仿宋_GB2312"/>
          <w:color w:val="auto"/>
          <w:kern w:val="2"/>
          <w:sz w:val="32"/>
          <w:szCs w:val="32"/>
          <w:highlight w:val="none"/>
          <w:lang w:val="en-US" w:eastAsia="zh-CN" w:bidi="ar-SA"/>
        </w:rPr>
        <w:t>12723.42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67.80</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本年度项目增加。</w:t>
      </w:r>
    </w:p>
    <w:p w14:paraId="32A523EC">
      <w:pPr>
        <w:pStyle w:val="2"/>
        <w:rPr>
          <w:rFonts w:hint="eastAsia"/>
          <w:lang w:val="en-US" w:eastAsia="zh-CN"/>
        </w:rPr>
      </w:pPr>
    </w:p>
    <w:p w14:paraId="3296B0CB">
      <w:pPr>
        <w:numPr>
          <w:ilvl w:val="0"/>
          <w:numId w:val="0"/>
        </w:numPr>
        <w:spacing w:line="600" w:lineRule="exact"/>
        <w:ind w:left="630" w:leftChars="0"/>
        <w:outlineLvl w:val="1"/>
        <w:rPr>
          <w:rStyle w:val="30"/>
          <w:rFonts w:ascii="Times New Roman" w:hAnsi="Times New Roman" w:eastAsia="黑体"/>
          <w:b w:val="0"/>
          <w:color w:val="auto"/>
          <w:highlight w:val="none"/>
        </w:rPr>
      </w:pPr>
      <w:bookmarkStart w:id="48" w:name="_Toc15396611"/>
      <w:bookmarkStart w:id="49" w:name="_Toc15377219"/>
      <w:r>
        <w:rPr>
          <w:rStyle w:val="30"/>
          <w:rFonts w:hint="eastAsia" w:ascii="Times New Roman" w:hAnsi="Times New Roman" w:eastAsia="黑体"/>
          <w:b w:val="0"/>
          <w:color w:val="auto"/>
          <w:highlight w:val="none"/>
          <w:lang w:eastAsia="zh-CN"/>
        </w:rPr>
        <w:t>九、</w:t>
      </w:r>
      <w:r>
        <w:rPr>
          <w:rStyle w:val="30"/>
          <w:rFonts w:hint="eastAsia" w:ascii="Times New Roman" w:hAnsi="Times New Roman" w:eastAsia="黑体"/>
          <w:b w:val="0"/>
          <w:color w:val="auto"/>
          <w:highlight w:val="none"/>
        </w:rPr>
        <w:t>国有资本经营预算支出决算情况说明</w:t>
      </w:r>
      <w:bookmarkEnd w:id="48"/>
      <w:bookmarkEnd w:id="49"/>
    </w:p>
    <w:p w14:paraId="7C8D67E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。与2023年度相比，国有资本经营预算财政拨款支出</w:t>
      </w:r>
      <w:r>
        <w:rPr>
          <w:rFonts w:hint="eastAsia" w:eastAsia="仿宋_GB2312" w:cs="仿宋_GB2312"/>
          <w:color w:val="auto"/>
          <w:kern w:val="2"/>
          <w:sz w:val="32"/>
          <w:szCs w:val="32"/>
          <w:highlight w:val="none"/>
          <w:lang w:val="en-US" w:eastAsia="zh-CN" w:bidi="ar-SA"/>
        </w:rPr>
        <w:t>持平</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无</w:t>
      </w:r>
      <w:r>
        <w:rPr>
          <w:rFonts w:hint="eastAsia" w:ascii="Times New Roman" w:hAnsi="Times New Roman" w:eastAsia="仿宋_GB2312" w:cs="仿宋_GB2312"/>
          <w:color w:val="auto"/>
          <w:kern w:val="2"/>
          <w:sz w:val="32"/>
          <w:szCs w:val="32"/>
          <w:highlight w:val="none"/>
          <w:lang w:val="en-US" w:eastAsia="zh-CN" w:bidi="ar-SA"/>
        </w:rPr>
        <w:t>国有资本经营预算财政拨款支出</w:t>
      </w:r>
    </w:p>
    <w:p w14:paraId="3DA813C2">
      <w:pPr>
        <w:pStyle w:val="2"/>
        <w:rPr>
          <w:rFonts w:hint="eastAsia"/>
          <w:lang w:val="en-US" w:eastAsia="zh-CN"/>
        </w:rPr>
      </w:pPr>
    </w:p>
    <w:p w14:paraId="169E28D8">
      <w:pPr>
        <w:numPr>
          <w:ilvl w:val="0"/>
          <w:numId w:val="0"/>
        </w:numPr>
        <w:spacing w:line="600" w:lineRule="exact"/>
        <w:ind w:left="630" w:leftChars="0"/>
        <w:outlineLvl w:val="1"/>
        <w:rPr>
          <w:rStyle w:val="30"/>
          <w:rFonts w:hint="eastAsia" w:ascii="Times New Roman" w:hAnsi="Times New Roman" w:eastAsia="黑体"/>
          <w:b w:val="0"/>
          <w:color w:val="auto"/>
          <w:highlight w:val="none"/>
        </w:rPr>
      </w:pPr>
      <w:bookmarkStart w:id="50" w:name="_Toc15377221"/>
      <w:bookmarkStart w:id="51" w:name="_Toc15396612"/>
      <w:r>
        <w:rPr>
          <w:rStyle w:val="30"/>
          <w:rFonts w:hint="eastAsia" w:ascii="Times New Roman" w:hAnsi="Times New Roman" w:eastAsia="黑体"/>
          <w:b w:val="0"/>
          <w:color w:val="auto"/>
          <w:highlight w:val="none"/>
          <w:lang w:eastAsia="zh-CN"/>
        </w:rPr>
        <w:t>十、</w:t>
      </w:r>
      <w:r>
        <w:rPr>
          <w:rStyle w:val="30"/>
          <w:rFonts w:hint="eastAsia" w:ascii="Times New Roman" w:hAnsi="Times New Roman" w:eastAsia="黑体"/>
          <w:b w:val="0"/>
          <w:color w:val="auto"/>
          <w:highlight w:val="none"/>
        </w:rPr>
        <w:t>其他重要事项的情况说明</w:t>
      </w:r>
      <w:bookmarkEnd w:id="50"/>
      <w:bookmarkEnd w:id="51"/>
    </w:p>
    <w:p w14:paraId="1CAD4AF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2" w:name="_Toc15377222"/>
      <w:r>
        <w:rPr>
          <w:rFonts w:hint="eastAsia" w:ascii="Times New Roman" w:hAnsi="Times New Roman" w:eastAsia="楷体_GB2312" w:cs="楷体_GB2312"/>
          <w:b/>
          <w:color w:val="auto"/>
          <w:sz w:val="32"/>
          <w:szCs w:val="32"/>
          <w:highlight w:val="none"/>
        </w:rPr>
        <w:t>（一）机关运行经费支出情况</w:t>
      </w:r>
      <w:bookmarkEnd w:id="52"/>
    </w:p>
    <w:p w14:paraId="039A060D">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乐山市五通桥区住房和城乡建设局</w:t>
      </w:r>
      <w:r>
        <w:rPr>
          <w:rFonts w:hint="eastAsia" w:ascii="仿宋_GB2312" w:hAnsi="仿宋_GB2312" w:eastAsia="仿宋_GB2312" w:cs="仿宋_GB2312"/>
          <w:color w:val="auto"/>
          <w:kern w:val="2"/>
          <w:sz w:val="32"/>
          <w:szCs w:val="32"/>
          <w:highlight w:val="none"/>
          <w:lang w:val="en-US" w:eastAsia="zh-CN" w:bidi="ar-SA"/>
        </w:rPr>
        <w:t>机关运行经费支出</w:t>
      </w:r>
      <w:r>
        <w:rPr>
          <w:rFonts w:hint="eastAsia" w:ascii="仿宋_GB2312" w:hAnsi="仿宋_GB2312" w:eastAsia="仿宋_GB2312" w:cs="仿宋_GB2312"/>
          <w:sz w:val="32"/>
          <w:szCs w:val="32"/>
        </w:rPr>
        <w:t>42.91</w:t>
      </w:r>
      <w:r>
        <w:rPr>
          <w:rFonts w:hint="eastAsia" w:ascii="仿宋_GB2312" w:hAnsi="仿宋_GB2312" w:eastAsia="仿宋_GB2312" w:cs="仿宋_GB2312"/>
          <w:color w:val="auto"/>
          <w:kern w:val="2"/>
          <w:sz w:val="32"/>
          <w:szCs w:val="32"/>
          <w:highlight w:val="none"/>
          <w:lang w:val="en-US" w:eastAsia="zh-CN" w:bidi="ar-SA"/>
        </w:rPr>
        <w:t>万</w:t>
      </w:r>
      <w:r>
        <w:rPr>
          <w:rFonts w:hint="eastAsia" w:ascii="Times New Roman" w:hAnsi="Times New Roman" w:eastAsia="仿宋_GB2312" w:cs="仿宋_GB2312"/>
          <w:color w:val="auto"/>
          <w:kern w:val="2"/>
          <w:sz w:val="32"/>
          <w:szCs w:val="32"/>
          <w:highlight w:val="none"/>
          <w:lang w:val="en-US" w:eastAsia="zh-CN" w:bidi="ar-SA"/>
        </w:rPr>
        <w:t>元，比2023年度减少</w:t>
      </w:r>
      <w:r>
        <w:rPr>
          <w:rFonts w:hint="eastAsia" w:eastAsia="仿宋_GB2312" w:cs="仿宋_GB2312"/>
          <w:color w:val="auto"/>
          <w:kern w:val="2"/>
          <w:sz w:val="32"/>
          <w:szCs w:val="32"/>
          <w:highlight w:val="none"/>
          <w:lang w:val="en-US" w:eastAsia="zh-CN" w:bidi="ar-SA"/>
        </w:rPr>
        <w:t>3.71</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7.96</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本年度本单位人员减少。</w:t>
      </w:r>
    </w:p>
    <w:p w14:paraId="00B0DA4A">
      <w:pPr>
        <w:pStyle w:val="2"/>
        <w:rPr>
          <w:rFonts w:hint="eastAsia"/>
          <w:lang w:val="en-US" w:eastAsia="zh-CN"/>
        </w:rPr>
      </w:pPr>
    </w:p>
    <w:p w14:paraId="6B314D7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3" w:name="_Toc15377223"/>
      <w:r>
        <w:rPr>
          <w:rFonts w:hint="eastAsia" w:ascii="Times New Roman" w:hAnsi="Times New Roman" w:eastAsia="楷体_GB2312" w:cs="楷体_GB2312"/>
          <w:b/>
          <w:color w:val="auto"/>
          <w:sz w:val="32"/>
          <w:szCs w:val="32"/>
          <w:highlight w:val="none"/>
        </w:rPr>
        <w:t>（二）政府采购支出情况</w:t>
      </w:r>
      <w:bookmarkEnd w:id="53"/>
    </w:p>
    <w:p w14:paraId="5510C25B">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2024年度，</w:t>
      </w:r>
      <w:r>
        <w:rPr>
          <w:rFonts w:hint="eastAsia" w:ascii="仿宋_GB2312" w:hAnsi="仿宋_GB2312" w:eastAsia="仿宋_GB2312" w:cs="仿宋_GB2312"/>
          <w:sz w:val="32"/>
          <w:szCs w:val="32"/>
        </w:rPr>
        <w:t>乐山市五通桥区住房和城乡建设局</w:t>
      </w:r>
      <w:r>
        <w:rPr>
          <w:rFonts w:hint="eastAsia" w:ascii="仿宋_GB2312" w:hAnsi="仿宋_GB2312" w:eastAsia="仿宋_GB2312" w:cs="仿宋_GB2312"/>
          <w:color w:val="auto"/>
          <w:kern w:val="2"/>
          <w:sz w:val="32"/>
          <w:szCs w:val="32"/>
          <w:highlight w:val="none"/>
          <w:lang w:val="en-US" w:eastAsia="zh-CN" w:bidi="ar-SA"/>
        </w:rPr>
        <w:t>政府采购支出总额</w:t>
      </w:r>
      <w:r>
        <w:rPr>
          <w:rFonts w:hint="eastAsia" w:ascii="仿宋_GB2312" w:hAnsi="仿宋_GB2312" w:eastAsia="仿宋_GB2312" w:cs="仿宋_GB2312"/>
          <w:sz w:val="32"/>
          <w:szCs w:val="32"/>
        </w:rPr>
        <w:t>91.44</w:t>
      </w:r>
      <w:r>
        <w:rPr>
          <w:rFonts w:hint="eastAsia" w:ascii="仿宋_GB2312" w:hAnsi="仿宋_GB2312" w:eastAsia="仿宋_GB2312" w:cs="仿宋_GB2312"/>
          <w:color w:val="auto"/>
          <w:kern w:val="2"/>
          <w:sz w:val="32"/>
          <w:szCs w:val="32"/>
          <w:highlight w:val="none"/>
          <w:lang w:val="en-US" w:eastAsia="zh-CN" w:bidi="ar-SA"/>
        </w:rPr>
        <w:t>万元，其中：政府采购货物支出</w:t>
      </w:r>
      <w:r>
        <w:rPr>
          <w:rFonts w:hint="eastAsia" w:ascii="仿宋_GB2312" w:hAnsi="仿宋_GB2312" w:eastAsia="仿宋_GB2312" w:cs="仿宋_GB2312"/>
          <w:sz w:val="32"/>
          <w:szCs w:val="32"/>
        </w:rPr>
        <w:t>91.44</w:t>
      </w:r>
      <w:r>
        <w:rPr>
          <w:rFonts w:hint="eastAsia" w:ascii="仿宋_GB2312" w:hAnsi="仿宋_GB2312" w:eastAsia="仿宋_GB2312" w:cs="仿宋_GB2312"/>
          <w:color w:val="auto"/>
          <w:kern w:val="2"/>
          <w:sz w:val="32"/>
          <w:szCs w:val="32"/>
          <w:highlight w:val="none"/>
          <w:lang w:val="en-US" w:eastAsia="zh-CN" w:bidi="ar-SA"/>
        </w:rPr>
        <w:t>万元、政府采购工程支出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万元、政府采购服务支出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万元。主要用于单位日常运转工作。授予中小企业合同金额</w:t>
      </w:r>
      <w:r>
        <w:rPr>
          <w:rFonts w:hint="eastAsia" w:ascii="仿宋_GB2312" w:hAnsi="仿宋_GB2312" w:eastAsia="仿宋_GB2312" w:cs="仿宋_GB2312"/>
          <w:sz w:val="32"/>
          <w:szCs w:val="32"/>
        </w:rPr>
        <w:t>91.44</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rPr>
        <w:t>100</w:t>
      </w:r>
      <w:r>
        <w:rPr>
          <w:rFonts w:hint="eastAsia" w:ascii="仿宋_GB2312" w:hAnsi="仿宋_GB2312" w:eastAsia="仿宋_GB2312" w:cs="仿宋_GB2312"/>
          <w:color w:val="auto"/>
          <w:kern w:val="2"/>
          <w:sz w:val="32"/>
          <w:szCs w:val="32"/>
          <w:highlight w:val="none"/>
          <w:lang w:val="en-US" w:eastAsia="zh-CN" w:bidi="ar-SA"/>
        </w:rPr>
        <w:t>%，其中：授予小微企业合同金额</w:t>
      </w:r>
      <w:r>
        <w:rPr>
          <w:rFonts w:hint="eastAsia" w:ascii="仿宋_GB2312" w:hAnsi="仿宋_GB2312" w:eastAsia="仿宋_GB2312" w:cs="仿宋_GB2312"/>
          <w:sz w:val="32"/>
          <w:szCs w:val="32"/>
          <w:lang w:val="en-US" w:eastAsia="zh-CN"/>
        </w:rPr>
        <w:t>91.44</w:t>
      </w:r>
      <w:r>
        <w:rPr>
          <w:rFonts w:hint="eastAsia" w:ascii="仿宋_GB2312" w:hAnsi="仿宋_GB2312" w:eastAsia="仿宋_GB2312" w:cs="仿宋_GB2312"/>
          <w:color w:val="auto"/>
          <w:kern w:val="2"/>
          <w:sz w:val="32"/>
          <w:szCs w:val="32"/>
          <w:highlight w:val="none"/>
          <w:lang w:val="en-US" w:eastAsia="zh-CN" w:bidi="ar-SA"/>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kern w:val="2"/>
          <w:sz w:val="32"/>
          <w:szCs w:val="32"/>
          <w:highlight w:val="none"/>
          <w:lang w:val="en-US" w:eastAsia="zh-CN" w:bidi="ar-SA"/>
        </w:rPr>
        <w:t>%。</w:t>
      </w:r>
    </w:p>
    <w:p w14:paraId="43724D7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854B4CC">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54" w:name="_Toc15377224"/>
      <w:r>
        <w:rPr>
          <w:rFonts w:hint="eastAsia" w:ascii="Times New Roman" w:hAnsi="Times New Roman" w:eastAsia="楷体_GB2312" w:cs="楷体_GB2312"/>
          <w:b/>
          <w:color w:val="auto"/>
          <w:sz w:val="32"/>
          <w:szCs w:val="32"/>
          <w:highlight w:val="none"/>
        </w:rPr>
        <w:t>（三）国有资产占有使用情况</w:t>
      </w:r>
      <w:bookmarkEnd w:id="54"/>
    </w:p>
    <w:p w14:paraId="500075F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截至2024年12月31日，</w:t>
      </w:r>
      <w:r>
        <w:rPr>
          <w:rFonts w:hint="eastAsia" w:ascii="仿宋_GB2312" w:hAnsi="仿宋_GB2312" w:eastAsia="仿宋_GB2312" w:cs="仿宋_GB2312"/>
          <w:sz w:val="32"/>
          <w:szCs w:val="32"/>
        </w:rPr>
        <w:t>乐山市五通桥区住房和城乡建设局</w:t>
      </w:r>
      <w:r>
        <w:rPr>
          <w:rFonts w:hint="eastAsia" w:ascii="仿宋_GB2312" w:hAnsi="仿宋_GB2312" w:eastAsia="仿宋_GB2312" w:cs="仿宋_GB2312"/>
          <w:color w:val="auto"/>
          <w:kern w:val="2"/>
          <w:sz w:val="32"/>
          <w:szCs w:val="32"/>
          <w:highlight w:val="none"/>
          <w:lang w:val="en-US" w:eastAsia="zh-CN" w:bidi="ar-SA"/>
        </w:rPr>
        <w:t>共有车辆</w:t>
      </w:r>
      <w:r>
        <w:rPr>
          <w:rFonts w:hint="eastAsia" w:ascii="仿宋_GB2312" w:hAnsi="仿宋_GB2312" w:eastAsia="仿宋_GB2312" w:cs="仿宋_GB2312"/>
          <w:sz w:val="32"/>
          <w:szCs w:val="32"/>
        </w:rPr>
        <w:t>41</w:t>
      </w:r>
      <w:r>
        <w:rPr>
          <w:rFonts w:hint="eastAsia" w:ascii="仿宋_GB2312" w:hAnsi="仿宋_GB2312" w:eastAsia="仿宋_GB2312" w:cs="仿宋_GB2312"/>
          <w:color w:val="auto"/>
          <w:kern w:val="2"/>
          <w:sz w:val="32"/>
          <w:szCs w:val="32"/>
          <w:highlight w:val="none"/>
          <w:lang w:val="en-US" w:eastAsia="zh-CN" w:bidi="ar-SA"/>
        </w:rPr>
        <w:t>辆，其中：主要负责人用车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辆、机要通信用车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辆、应急保障用车</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辆、其他用车</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color w:val="auto"/>
          <w:kern w:val="2"/>
          <w:sz w:val="32"/>
          <w:szCs w:val="32"/>
          <w:highlight w:val="none"/>
          <w:lang w:val="en-US" w:eastAsia="zh-CN" w:bidi="ar-SA"/>
        </w:rPr>
        <w:t>辆，其他用车主要是用于维修及执法等。单价100万元（含）以上设备（不含车辆）</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kern w:val="2"/>
          <w:sz w:val="32"/>
          <w:szCs w:val="32"/>
          <w:highlight w:val="none"/>
          <w:lang w:val="en-US" w:eastAsia="zh-CN" w:bidi="ar-SA"/>
        </w:rPr>
        <w:t>台（套）</w:t>
      </w:r>
      <w:r>
        <w:rPr>
          <w:rFonts w:hint="eastAsia" w:ascii="Times New Roman" w:hAnsi="Times New Roman" w:eastAsia="仿宋_GB2312" w:cs="仿宋_GB2312"/>
          <w:color w:val="auto"/>
          <w:kern w:val="2"/>
          <w:sz w:val="32"/>
          <w:szCs w:val="32"/>
          <w:highlight w:val="none"/>
          <w:lang w:val="en-US" w:eastAsia="zh-CN" w:bidi="ar-SA"/>
        </w:rPr>
        <w:t>。</w:t>
      </w:r>
    </w:p>
    <w:p w14:paraId="4C45A71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54CFC4D5">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65A7B05E">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ascii="仿宋_GB2312" w:hAnsi="仿宋_GB2312" w:eastAsia="仿宋_GB2312" w:cs="仿宋_GB2312"/>
          <w:sz w:val="32"/>
          <w:szCs w:val="32"/>
        </w:rPr>
        <w:t>乐山市五通桥区住房和城乡建设局</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ascii="仿宋_GB2312" w:hAnsi="仿宋_GB2312" w:eastAsia="仿宋_GB2312" w:cs="仿宋_GB2312"/>
          <w:sz w:val="32"/>
          <w:szCs w:val="32"/>
        </w:rPr>
        <w:t>牛华清扫保洁社会购买服务费项目</w:t>
      </w:r>
      <w:r>
        <w:rPr>
          <w:rFonts w:hint="eastAsia" w:ascii="仿宋_GB2312" w:hAnsi="仿宋_GB2312" w:eastAsia="仿宋_GB2312" w:cs="仿宋_GB2312"/>
          <w:sz w:val="32"/>
          <w:szCs w:val="32"/>
          <w:lang w:eastAsia="zh-CN"/>
        </w:rPr>
        <w:t>、垃圾处理费</w:t>
      </w:r>
      <w:r>
        <w:rPr>
          <w:rFonts w:hint="eastAsia" w:ascii="Times New Roman" w:hAnsi="Times New Roman" w:eastAsia="仿宋_GB2312" w:cs="仿宋_GB2312"/>
          <w:color w:val="auto"/>
          <w:kern w:val="2"/>
          <w:sz w:val="32"/>
          <w:szCs w:val="32"/>
          <w:highlight w:val="none"/>
          <w:lang w:val="en-US" w:eastAsia="zh-CN" w:bidi="ar-SA"/>
        </w:rPr>
        <w:t>等</w:t>
      </w:r>
      <w:r>
        <w:rPr>
          <w:rFonts w:hint="eastAsia" w:eastAsia="仿宋_GB2312" w:cs="仿宋_GB2312"/>
          <w:color w:val="auto"/>
          <w:kern w:val="2"/>
          <w:sz w:val="32"/>
          <w:szCs w:val="32"/>
          <w:highlight w:val="none"/>
          <w:lang w:val="en-US" w:eastAsia="zh-CN" w:bidi="ar-SA"/>
        </w:rPr>
        <w:t>45</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40</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en-US" w:eastAsia="zh-CN" w:bidi="ar-SA"/>
        </w:rPr>
        <w:t>个项目开展绩效监控。</w:t>
      </w:r>
    </w:p>
    <w:p w14:paraId="634BA8C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组织对2024年度一般公共预算、政府性基金预算、国有资本经营预算、社会保险基金预算以及资本资产、债券资金等全面开展绩效自评，形成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rPr>
        <w:t>乐山市五通桥区住房和城乡建设局</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部门整体（含部门预算项目）绩效自评报告、</w:t>
      </w:r>
      <w:r>
        <w:rPr>
          <w:rFonts w:hint="eastAsia" w:ascii="仿宋_GB2312" w:hAnsi="仿宋_GB2312" w:eastAsia="仿宋_GB2312" w:cs="仿宋_GB2312"/>
          <w:sz w:val="32"/>
          <w:szCs w:val="32"/>
        </w:rPr>
        <w:t>牛华清扫保洁社会购买服务费项目</w:t>
      </w:r>
      <w:r>
        <w:rPr>
          <w:rFonts w:hint="eastAsia" w:ascii="Times New Roman" w:hAnsi="Times New Roman" w:eastAsia="仿宋_GB2312" w:cs="仿宋_GB2312"/>
          <w:color w:val="auto"/>
          <w:kern w:val="2"/>
          <w:sz w:val="32"/>
          <w:szCs w:val="32"/>
          <w:highlight w:val="none"/>
          <w:lang w:val="en-US" w:eastAsia="zh-CN" w:bidi="ar-SA"/>
        </w:rPr>
        <w:t>等专项预算项目绩效自评报告，其中，</w:t>
      </w:r>
      <w:r>
        <w:rPr>
          <w:rFonts w:hint="eastAsia" w:ascii="仿宋_GB2312" w:hAnsi="仿宋_GB2312" w:eastAsia="仿宋_GB2312" w:cs="仿宋_GB2312"/>
          <w:sz w:val="32"/>
          <w:szCs w:val="32"/>
        </w:rPr>
        <w:t>乐山市五通桥区住房和城乡建设局（本级）</w:t>
      </w:r>
      <w:r>
        <w:rPr>
          <w:rFonts w:hint="eastAsia" w:ascii="Times New Roman" w:hAnsi="Times New Roman" w:eastAsia="仿宋_GB2312" w:cs="仿宋_GB2312"/>
          <w:color w:val="auto"/>
          <w:kern w:val="2"/>
          <w:sz w:val="32"/>
          <w:szCs w:val="32"/>
          <w:highlight w:val="none"/>
          <w:lang w:val="en-US" w:eastAsia="zh-CN" w:bidi="ar-SA"/>
        </w:rPr>
        <w:t>部门整体（含部门预算项目）绩效自评得分为</w:t>
      </w:r>
      <w:r>
        <w:rPr>
          <w:rFonts w:hint="eastAsia" w:eastAsia="仿宋_GB2312" w:cs="仿宋_GB2312"/>
          <w:color w:val="auto"/>
          <w:kern w:val="2"/>
          <w:sz w:val="32"/>
          <w:szCs w:val="32"/>
          <w:highlight w:val="none"/>
          <w:lang w:val="en-US" w:eastAsia="zh-CN" w:bidi="ar-SA"/>
        </w:rPr>
        <w:t>98</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单位整体支出较好，预算执行较好</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rPr>
        <w:t>牛华清扫保洁社会购买服务费项目</w:t>
      </w:r>
      <w:r>
        <w:rPr>
          <w:rFonts w:hint="eastAsia" w:ascii="Times New Roman" w:hAnsi="Times New Roman" w:eastAsia="仿宋_GB2312" w:cs="仿宋_GB2312"/>
          <w:color w:val="auto"/>
          <w:kern w:val="2"/>
          <w:sz w:val="32"/>
          <w:szCs w:val="32"/>
          <w:highlight w:val="none"/>
          <w:lang w:val="en-US" w:eastAsia="zh-CN" w:bidi="ar-SA"/>
        </w:rPr>
        <w:t>专项预算项目绩效自评得分为</w:t>
      </w:r>
      <w:r>
        <w:rPr>
          <w:rFonts w:hint="eastAsia" w:eastAsia="仿宋_GB2312" w:cs="仿宋_GB2312"/>
          <w:color w:val="auto"/>
          <w:kern w:val="2"/>
          <w:sz w:val="32"/>
          <w:szCs w:val="32"/>
          <w:highlight w:val="none"/>
          <w:lang w:val="en-US" w:eastAsia="zh-CN" w:bidi="ar-SA"/>
        </w:rPr>
        <w:t>96</w:t>
      </w:r>
      <w:r>
        <w:rPr>
          <w:rFonts w:hint="eastAsia" w:ascii="Times New Roman" w:hAnsi="Times New Roman" w:eastAsia="仿宋_GB2312" w:cs="仿宋_GB2312"/>
          <w:color w:val="auto"/>
          <w:kern w:val="2"/>
          <w:sz w:val="32"/>
          <w:szCs w:val="32"/>
          <w:highlight w:val="none"/>
          <w:lang w:val="en-US" w:eastAsia="zh-CN" w:bidi="ar-SA"/>
        </w:rPr>
        <w:t>分，绩效自评综述</w:t>
      </w:r>
      <w:r>
        <w:rPr>
          <w:rFonts w:hint="eastAsia" w:eastAsia="仿宋_GB2312" w:cs="仿宋_GB2312"/>
          <w:color w:val="auto"/>
          <w:kern w:val="2"/>
          <w:sz w:val="32"/>
          <w:szCs w:val="32"/>
          <w:highlight w:val="none"/>
          <w:lang w:val="en-US" w:eastAsia="zh-CN" w:bidi="ar-SA"/>
        </w:rPr>
        <w:t>项目执行较好，资金支付及时</w:t>
      </w:r>
      <w:r>
        <w:rPr>
          <w:rFonts w:hint="eastAsia" w:ascii="Times New Roman" w:hAnsi="Times New Roman" w:eastAsia="仿宋_GB2312" w:cs="仿宋_GB2312"/>
          <w:color w:val="auto"/>
          <w:kern w:val="2"/>
          <w:sz w:val="32"/>
          <w:szCs w:val="32"/>
          <w:highlight w:val="none"/>
          <w:lang w:val="en-US" w:eastAsia="zh-CN" w:bidi="ar-SA"/>
        </w:rPr>
        <w:t>。绩效自评报告详见附件。</w:t>
      </w:r>
    </w:p>
    <w:p w14:paraId="3050A2C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457B570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77253825">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55" w:name="_Toc15396613"/>
      <w:bookmarkStart w:id="56" w:name="_Toc15377225"/>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55"/>
      <w:bookmarkEnd w:id="56"/>
    </w:p>
    <w:p w14:paraId="15DBB54D">
      <w:pPr>
        <w:spacing w:line="600" w:lineRule="exact"/>
        <w:jc w:val="left"/>
        <w:rPr>
          <w:rFonts w:ascii="Times New Roman" w:hAnsi="Times New Roman"/>
          <w:b/>
          <w:color w:val="auto"/>
          <w:sz w:val="44"/>
          <w:szCs w:val="44"/>
          <w:highlight w:val="none"/>
        </w:rPr>
      </w:pPr>
    </w:p>
    <w:p w14:paraId="151604C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7" w:name="_Toc15377226"/>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56AF974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w:t>
      </w:r>
    </w:p>
    <w:p w14:paraId="0857A57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14:paraId="07F12EF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 </w:t>
      </w:r>
    </w:p>
    <w:p w14:paraId="6274934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14:paraId="4151DA8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14:paraId="0F59FCB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14:paraId="4887B68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14:paraId="7F53A08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9.卫生健康支出（210）行政事业单位医疗（11）行政单位医疗（01）:反映财政部门集中原行政单位基本医疗保险缴费经费，未参加医疗保险的行政单位的公费医疗经费，按国家规定享受离休人员、红军战士待遇人员的医疗经费。</w:t>
      </w:r>
    </w:p>
    <w:p w14:paraId="5BF964E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zh-CN" w:eastAsia="zh-CN" w:bidi="ar-SA"/>
        </w:rPr>
        <w:t>社会保障和就业支出（208）行政事业单位养老支出（0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）机关事业单位基本养老保险支出（0</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en-US" w:eastAsia="zh-CN" w:bidi="ar-SA"/>
        </w:rPr>
        <w:t>反映职工养老保险等相关支出。</w:t>
      </w:r>
    </w:p>
    <w:p w14:paraId="3CACCD3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卫生健康支出（</w:t>
      </w:r>
      <w:r>
        <w:rPr>
          <w:rFonts w:hint="eastAsia" w:ascii="Times New Roman" w:hAnsi="Times New Roman" w:eastAsia="仿宋_GB2312" w:cs="仿宋_GB2312"/>
          <w:color w:val="auto"/>
          <w:kern w:val="2"/>
          <w:sz w:val="32"/>
          <w:szCs w:val="32"/>
          <w:highlight w:val="none"/>
          <w:lang w:val="en-US" w:eastAsia="zh-CN" w:bidi="ar-SA"/>
        </w:rPr>
        <w:t>210</w:t>
      </w:r>
      <w:r>
        <w:rPr>
          <w:rFonts w:hint="eastAsia" w:ascii="Times New Roman" w:hAnsi="Times New Roman" w:eastAsia="仿宋_GB2312" w:cs="仿宋_GB2312"/>
          <w:color w:val="auto"/>
          <w:kern w:val="2"/>
          <w:sz w:val="32"/>
          <w:szCs w:val="32"/>
          <w:highlight w:val="none"/>
          <w:lang w:val="zh-CN" w:eastAsia="zh-CN" w:bidi="ar-SA"/>
        </w:rPr>
        <w:t>）行政事业单位医疗（</w:t>
      </w:r>
      <w:r>
        <w:rPr>
          <w:rFonts w:hint="eastAsia" w:ascii="Times New Roman" w:hAnsi="Times New Roman"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zh-CN" w:eastAsia="zh-CN" w:bidi="ar-SA"/>
        </w:rPr>
        <w:t>）公务员医疗补助（0</w:t>
      </w: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en-US" w:eastAsia="zh-CN" w:bidi="ar-SA"/>
        </w:rPr>
        <w:t>反映职工</w:t>
      </w:r>
      <w:r>
        <w:rPr>
          <w:rFonts w:hint="eastAsia" w:ascii="Times New Roman" w:hAnsi="Times New Roman" w:eastAsia="仿宋_GB2312" w:cs="仿宋_GB2312"/>
          <w:color w:val="auto"/>
          <w:kern w:val="2"/>
          <w:sz w:val="32"/>
          <w:szCs w:val="32"/>
          <w:highlight w:val="none"/>
          <w:lang w:val="zh-CN" w:eastAsia="zh-CN" w:bidi="ar-SA"/>
        </w:rPr>
        <w:t>公务员医疗补助</w:t>
      </w:r>
      <w:r>
        <w:rPr>
          <w:rFonts w:hint="eastAsia" w:ascii="Times New Roman" w:hAnsi="Times New Roman" w:eastAsia="仿宋_GB2312" w:cs="仿宋_GB2312"/>
          <w:color w:val="auto"/>
          <w:kern w:val="2"/>
          <w:sz w:val="32"/>
          <w:szCs w:val="32"/>
          <w:highlight w:val="none"/>
          <w:lang w:val="en-US" w:eastAsia="zh-CN" w:bidi="ar-SA"/>
        </w:rPr>
        <w:t>等相关支出。</w:t>
      </w:r>
    </w:p>
    <w:p w14:paraId="73E18C6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12.住房保障支出（221）住房改革支出（02）住房公积金（01）：反映行政事业单位按人力资源和社会保障部、财政部规定的基本工资和津贴补贴以及规定比例为职工缴纳的住房公积金。</w:t>
      </w:r>
    </w:p>
    <w:p w14:paraId="49C14A2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14:paraId="5254E8D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14:paraId="560EDE6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14:paraId="4F1FD9B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16</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C17DA7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17</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350ADA4">
      <w:pPr>
        <w:spacing w:line="600" w:lineRule="exact"/>
        <w:jc w:val="center"/>
        <w:rPr>
          <w:rStyle w:val="29"/>
          <w:rFonts w:hint="eastAsia" w:ascii="Times New Roman" w:hAnsi="Times New Roman" w:eastAsia="黑体"/>
          <w:b w:val="0"/>
          <w:color w:val="auto"/>
          <w:highlight w:val="none"/>
          <w:lang w:eastAsia="zh-CN"/>
        </w:rPr>
      </w:pPr>
      <w:r>
        <w:rPr>
          <w:rFonts w:hint="eastAsia" w:ascii="Times New Roman" w:hAnsi="Times New Roman" w:eastAsia="仿宋_GB2312" w:cs="仿宋_GB2312"/>
          <w:color w:val="auto"/>
          <w:kern w:val="2"/>
          <w:sz w:val="32"/>
          <w:szCs w:val="32"/>
          <w:highlight w:val="none"/>
          <w:lang w:val="en-US" w:eastAsia="zh-CN" w:bidi="ar-SA"/>
        </w:rPr>
        <w:br w:type="page"/>
      </w:r>
      <w:bookmarkStart w:id="58"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8"/>
    </w:p>
    <w:p w14:paraId="27E63258">
      <w:pPr>
        <w:keepNext w:val="0"/>
        <w:keepLines w:val="0"/>
        <w:pageBreakBefore w:val="0"/>
        <w:widowControl/>
        <w:kinsoku/>
        <w:wordWrap/>
        <w:overflowPunct/>
        <w:topLinePunct w:val="0"/>
        <w:autoSpaceDE/>
        <w:autoSpaceDN/>
        <w:bidi w:val="0"/>
        <w:spacing w:line="578" w:lineRule="exact"/>
        <w:contextualSpacing/>
        <w:jc w:val="both"/>
        <w:textAlignment w:val="auto"/>
        <w:outlineLvl w:val="9"/>
        <w:rPr>
          <w:rFonts w:hint="default" w:ascii="Times New Roman" w:hAnsi="Times New Roman" w:eastAsia="方正小标宋简体" w:cs="Times New Roman"/>
          <w:b w:val="0"/>
          <w:bCs/>
          <w:sz w:val="44"/>
          <w:szCs w:val="44"/>
          <w:highlight w:val="none"/>
          <w:shd w:val="clear" w:color="auto" w:fill="FFFFFF"/>
        </w:rPr>
      </w:pPr>
    </w:p>
    <w:p w14:paraId="59B58767">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黑体" w:cs="Times New Roman"/>
          <w:color w:val="000000"/>
          <w:kern w:val="0"/>
          <w:sz w:val="24"/>
          <w:szCs w:val="32"/>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7287CE8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eastAsia" w:ascii="Times New Roman" w:hAnsi="Times New Roman" w:eastAsia="黑体" w:cs="Times New Roman"/>
          <w:color w:val="000000"/>
          <w:kern w:val="0"/>
          <w:sz w:val="32"/>
          <w:szCs w:val="32"/>
          <w:highlight w:val="none"/>
          <w:shd w:val="clear" w:color="auto" w:fill="FFFFFF"/>
          <w:lang w:val="zh-CN"/>
        </w:rPr>
        <w:t>一、</w:t>
      </w:r>
      <w:r>
        <w:rPr>
          <w:rFonts w:hint="default" w:ascii="Times New Roman" w:hAnsi="Times New Roman" w:eastAsia="黑体" w:cs="Times New Roman"/>
          <w:color w:val="000000"/>
          <w:kern w:val="0"/>
          <w:sz w:val="32"/>
          <w:szCs w:val="32"/>
          <w:highlight w:val="none"/>
          <w:shd w:val="clear" w:color="auto" w:fill="FFFFFF"/>
          <w:lang w:val="zh-CN"/>
        </w:rPr>
        <w:t>部门（单位）基本情况</w:t>
      </w:r>
    </w:p>
    <w:p w14:paraId="276EABA0">
      <w:pPr>
        <w:spacing w:line="600" w:lineRule="exact"/>
        <w:ind w:firstLine="643" w:firstLineChars="20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楷体_GB2312" w:cs="楷体_GB2312"/>
          <w:b/>
          <w:color w:val="auto"/>
          <w:sz w:val="32"/>
          <w:szCs w:val="32"/>
          <w:highlight w:val="none"/>
          <w:lang w:val="zh-CN"/>
        </w:rPr>
        <w:t>（一）</w:t>
      </w:r>
      <w:r>
        <w:rPr>
          <w:rFonts w:hint="default" w:ascii="Times New Roman" w:hAnsi="Times New Roman" w:eastAsia="楷体_GB2312" w:cs="楷体_GB2312"/>
          <w:b/>
          <w:color w:val="auto"/>
          <w:sz w:val="32"/>
          <w:szCs w:val="32"/>
          <w:highlight w:val="none"/>
          <w:lang w:val="zh-CN"/>
        </w:rPr>
        <w:t>机构组成。</w:t>
      </w:r>
      <w:r>
        <w:rPr>
          <w:rFonts w:hint="eastAsia" w:ascii="Times New Roman" w:hAnsi="Times New Roman" w:eastAsia="仿宋_GB2312" w:cs="仿宋_GB2312"/>
          <w:color w:val="auto"/>
          <w:kern w:val="2"/>
          <w:sz w:val="32"/>
          <w:szCs w:val="32"/>
          <w:highlight w:val="none"/>
          <w:lang w:val="zh-CN" w:eastAsia="zh-CN" w:bidi="ar-SA"/>
        </w:rPr>
        <w:t>乐山市五通桥区住房和城乡建设局下属二级预算单位</w:t>
      </w:r>
      <w:r>
        <w:rPr>
          <w:rFonts w:hint="eastAsia" w:ascii="Times New Roman" w:hAnsi="Times New Roman" w:eastAsia="仿宋_GB2312" w:cs="仿宋_GB2312"/>
          <w:color w:val="auto"/>
          <w:kern w:val="2"/>
          <w:sz w:val="32"/>
          <w:szCs w:val="32"/>
          <w:highlight w:val="none"/>
          <w:lang w:val="en-US" w:eastAsia="zh-CN" w:bidi="ar-SA"/>
        </w:rPr>
        <w:t>6</w:t>
      </w:r>
      <w:r>
        <w:rPr>
          <w:rFonts w:hint="eastAsia" w:ascii="Times New Roman" w:hAnsi="Times New Roman" w:eastAsia="仿宋_GB2312" w:cs="仿宋_GB2312"/>
          <w:color w:val="auto"/>
          <w:kern w:val="2"/>
          <w:sz w:val="32"/>
          <w:szCs w:val="32"/>
          <w:highlight w:val="none"/>
          <w:lang w:val="zh-CN" w:eastAsia="zh-CN" w:bidi="ar-SA"/>
        </w:rPr>
        <w:t>个，其中行政单位</w:t>
      </w: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个，参照公务员法管理的事业单位</w:t>
      </w:r>
      <w:r>
        <w:rPr>
          <w:rFonts w:hint="eastAsia" w:ascii="Times New Roman" w:hAnsi="Times New Roman"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zh-CN" w:eastAsia="zh-CN" w:bidi="ar-SA"/>
        </w:rPr>
        <w:t>个，其他事业单位</w:t>
      </w:r>
      <w:r>
        <w:rPr>
          <w:rFonts w:hint="eastAsia" w:ascii="Times New Roman" w:hAnsi="Times New Roman"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zh-CN" w:eastAsia="zh-CN" w:bidi="ar-SA"/>
        </w:rPr>
        <w:t>个。</w:t>
      </w:r>
    </w:p>
    <w:p w14:paraId="7561C293">
      <w:pPr>
        <w:spacing w:line="600" w:lineRule="exact"/>
        <w:ind w:firstLine="640" w:firstLineChars="200"/>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zh-CN" w:eastAsia="zh-CN" w:bidi="ar-SA"/>
        </w:rPr>
        <w:t>纳入乐山市五通桥区住房和城乡建设局2024年度部门决算编制范围的二级预算单位包括：</w:t>
      </w:r>
    </w:p>
    <w:p w14:paraId="7428E7BE">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五通桥区住房和城乡建设局（本级）2、五通桥区住房和城乡建设局风景园林所3、五通桥区住房和城乡建设局环境卫生管理所4、五通桥区住房和城乡建设局房地产管理所5、五通桥区住房和城乡建设局市政管理所6、五通桥区建设工程质量安全监督站</w:t>
      </w:r>
    </w:p>
    <w:p w14:paraId="6D2ABE3C">
      <w:pPr>
        <w:spacing w:line="600" w:lineRule="exact"/>
        <w:ind w:firstLine="643" w:firstLineChars="200"/>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楷体_GB2312"/>
          <w:b/>
          <w:color w:val="auto"/>
          <w:sz w:val="32"/>
          <w:szCs w:val="32"/>
          <w:highlight w:val="none"/>
          <w:lang w:val="zh-CN"/>
        </w:rPr>
        <w:t>（二）机构职能</w:t>
      </w:r>
      <w:r>
        <w:rPr>
          <w:rFonts w:hint="eastAsia" w:ascii="Times New Roman" w:hAnsi="Times New Roman" w:eastAsia="楷体_GB2312" w:cs="楷体_GB2312"/>
          <w:b/>
          <w:color w:val="auto"/>
          <w:sz w:val="32"/>
          <w:szCs w:val="32"/>
          <w:highlight w:val="none"/>
          <w:lang w:val="zh-CN"/>
        </w:rPr>
        <w:t>。</w:t>
      </w:r>
      <w:r>
        <w:rPr>
          <w:rFonts w:hint="eastAsia" w:ascii="Times New Roman" w:hAnsi="Times New Roman" w:eastAsia="仿宋_GB2312" w:cs="仿宋_GB2312"/>
          <w:color w:val="auto"/>
          <w:kern w:val="2"/>
          <w:sz w:val="32"/>
          <w:szCs w:val="32"/>
          <w:highlight w:val="none"/>
          <w:lang w:val="zh-CN" w:eastAsia="zh-CN" w:bidi="ar-SA"/>
        </w:rPr>
        <w:t>其基本职能主要：根据乐山市五通桥区委办公室、乐山市五通桥区人民政府办公室《关于印发乐山市五通桥区住房和城乡建设局职能配置、内设机构和人员编制规定的通知》（五委办发〔2019〕27 号）的精神，贯彻国家、省、市住房和城乡建设的法律、法规和方针、政策。研究拟订全区住房保障、工程建设、城市建设、村镇建设、建筑业、房屋装饰装修业、住宅与房地产业、市政公用、园林绿化和城市市容环境卫生管理的有关规定以及相关发展战略并指导实施，进行行业管理；负责本系统、本部门依法行政工作。承担推进住房制度改革，保障城镇低收入家庭住房的职责。贯彻国家、省、市住房及住房保障相关政策，会同有关部门做好国家、省、市有关保障性住房资金安排并组织实施；编制住房保障发展规划和年度计划并组织实施。承担规范全区房地产市场秩序、监督管理房地产市场的职责。贯彻执行房地产市场监督管理政策，会同有关部门拟订相关配套办法；指导城镇土地使用有偿转让和开发利用工作；拟订房地产业发展规划；贯彻房地产业政策和房地产开发、房屋租赁、房屋面积管理、危房鉴定、白蚁防治、房地产估价与经纪管理、物业管理、国有土地上房屋征收、棚户区改造的规章制度并监督执行。承担监督管理建筑市场、规范市场各方主体行为的职责。承担全区城镇基础设施建设项目的实施工作和建设管理的的责任。承担城市园林绿化管理和历史文化名城保护工作。负责城市公园、城市广场、城市雕塑的建设、维护和管理工作；负责城区古树名木的管理工作；负责城市园林绿化中有害生物的防治工作。承担市容市貌和环境卫生管理的职责。承担推进建筑节能、城镇减排的职责。承担贯彻执行国家关于人民防空工作的方针、政策和法律、法规。负责制定防空袭各种保障计划、方案；检查、指导城市防空抗毁能力各项措施的落实；制定人民防空工程、通信、警报建设的规划和计划；组织对城市和经济目标的防控建设进行监督、检查和管理。拟定住房和城乡建设行业人才培养和教育发展规划并组织实施；指导住房和城乡建设行业科技人才队伍建设和执业资格管理工作；指导和监督管理住房和城乡建设行业协会、学会以及相关社会中介组织。负责建设工程抗震设防工作；执行房屋建筑和市政设施抗震技术地方规范和标准图集；负责编制城镇建设抗震规划，组织开展全区建筑物抗震性能普查、鉴定加固和改造工作；指导我区城市地下空间的开发利用；指导和组织灾后恢复重建工作。承担全区工程建设标准体系组织实施的责任。组织实施工程建设实施阶段的国家标准、全国统一定额和行业标准定额；贯彻执行建设项目可行性研究评价方法、经济参数、建设标准和工程造价的管理制度，拟订工程建设的地方标准并上报审批；指导监督各类工程建设标准定额的实施和工程造价计价；组织发布工程造价信息。承担贯彻执行区政府非经营性投资项目“代建制”的责任。负责区政府非经营性投资有关项目“代建制”的推行。负责职责范围内的安全生产和职业健康、生态环境保护等工作。完成区委、区政府交办的其他任务。</w:t>
      </w:r>
    </w:p>
    <w:p w14:paraId="7C6CD22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cs="Times New Roman"/>
          <w:szCs w:val="32"/>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年末，</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default" w:ascii="Times New Roman" w:hAnsi="Times New Roman" w:eastAsia="仿宋_GB2312" w:cs="Times New Roman"/>
          <w:sz w:val="32"/>
          <w:szCs w:val="32"/>
          <w:lang w:val="en-US" w:eastAsia="zh-CN"/>
        </w:rPr>
        <w:t>单位编制</w:t>
      </w:r>
      <w:r>
        <w:rPr>
          <w:rFonts w:hint="eastAsia" w:eastAsia="仿宋_GB2312" w:cs="Times New Roman"/>
          <w:sz w:val="32"/>
          <w:szCs w:val="32"/>
          <w:lang w:val="en-US" w:eastAsia="zh-CN"/>
        </w:rPr>
        <w:t>数为45人，</w:t>
      </w:r>
      <w:r>
        <w:rPr>
          <w:rFonts w:hint="default" w:ascii="Times New Roman" w:hAnsi="Times New Roman" w:eastAsia="仿宋_GB2312" w:cs="Times New Roman"/>
          <w:sz w:val="32"/>
          <w:szCs w:val="32"/>
          <w:lang w:val="en-US" w:eastAsia="zh-CN"/>
        </w:rPr>
        <w:t>年末实有人数</w:t>
      </w:r>
      <w:r>
        <w:rPr>
          <w:rFonts w:hint="eastAsia" w:eastAsia="仿宋_GB2312" w:cs="Times New Roman"/>
          <w:sz w:val="32"/>
          <w:szCs w:val="32"/>
          <w:lang w:val="en-US" w:eastAsia="zh-CN"/>
        </w:rPr>
        <w:t>为40人</w:t>
      </w:r>
      <w:r>
        <w:rPr>
          <w:rFonts w:hint="eastAsia" w:ascii="Times New Roman" w:hAnsi="Times New Roman" w:eastAsia="仿宋_GB2312" w:cs="Times New Roman"/>
          <w:sz w:val="32"/>
          <w:szCs w:val="32"/>
          <w:lang w:val="en-US" w:eastAsia="zh-CN"/>
        </w:rPr>
        <w:t>。</w:t>
      </w:r>
    </w:p>
    <w:p w14:paraId="0542458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二、部门资金收支情况</w:t>
      </w:r>
    </w:p>
    <w:p w14:paraId="23EF112F">
      <w:pPr>
        <w:ind w:firstLine="803" w:firstLineChars="250"/>
        <w:rPr>
          <w:rFonts w:hint="eastAsia" w:ascii="Times New Roman" w:hAnsi="Times New Roman" w:eastAsia="仿宋_GB2312" w:cs="仿宋_GB2312"/>
          <w:color w:val="auto"/>
          <w:sz w:val="32"/>
          <w:szCs w:val="32"/>
          <w:highlight w:val="none"/>
          <w:lang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eastAsia" w:ascii="仿宋_GB2312" w:hAnsi="仿宋_GB2312" w:eastAsia="仿宋_GB2312" w:cs="仿宋_GB2312"/>
          <w:color w:val="auto"/>
          <w:sz w:val="32"/>
          <w:szCs w:val="32"/>
          <w:highlight w:val="none"/>
          <w:lang w:eastAsia="zh-CN"/>
        </w:rPr>
        <w:t>2024年度本年收入合计</w:t>
      </w:r>
      <w:r>
        <w:rPr>
          <w:rFonts w:hint="eastAsia" w:ascii="仿宋_GB2312" w:hAnsi="仿宋_GB2312" w:eastAsia="仿宋_GB2312" w:cs="仿宋_GB2312"/>
          <w:sz w:val="32"/>
          <w:szCs w:val="32"/>
        </w:rPr>
        <w:t>57363.87万元，其中：一般公共预算财政拨款收入25875.67</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45.1</w:t>
      </w:r>
      <w:r>
        <w:rPr>
          <w:rFonts w:hint="eastAsia" w:ascii="仿宋_GB2312" w:hAnsi="仿宋_GB2312" w:eastAsia="仿宋_GB2312" w:cs="仿宋_GB2312"/>
          <w:color w:val="auto"/>
          <w:sz w:val="32"/>
          <w:szCs w:val="32"/>
          <w:highlight w:val="none"/>
          <w:lang w:eastAsia="zh-CN"/>
        </w:rPr>
        <w:t>%；政府性基金预算财政拨款收入</w:t>
      </w:r>
      <w:r>
        <w:rPr>
          <w:rFonts w:hint="eastAsia" w:ascii="仿宋_GB2312" w:hAnsi="仿宋_GB2312" w:eastAsia="仿宋_GB2312" w:cs="仿宋_GB2312"/>
          <w:sz w:val="32"/>
          <w:szCs w:val="32"/>
        </w:rPr>
        <w:t>31488.2</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54.89</w:t>
      </w:r>
      <w:r>
        <w:rPr>
          <w:rFonts w:hint="eastAsia" w:ascii="仿宋_GB2312" w:hAnsi="仿宋_GB2312" w:eastAsia="仿宋_GB2312" w:cs="仿宋_GB2312"/>
          <w:color w:val="auto"/>
          <w:sz w:val="32"/>
          <w:szCs w:val="32"/>
          <w:highlight w:val="none"/>
          <w:lang w:eastAsia="zh-CN"/>
        </w:rPr>
        <w:t>%；国有资本经营预算财政拨款收入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%；上级补助收入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%；事业收入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%；其他收入</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31A4B8E9">
      <w:pPr>
        <w:ind w:firstLine="803" w:firstLineChars="250"/>
        <w:rPr>
          <w:rFonts w:hint="eastAsia" w:ascii="Times New Roman" w:hAnsi="Times New Roman" w:eastAsia="仿宋_GB2312" w:cs="仿宋_GB2312"/>
          <w:color w:val="auto"/>
          <w:sz w:val="32"/>
          <w:szCs w:val="32"/>
          <w:highlight w:val="none"/>
          <w:lang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仿宋_GB2312" w:cs="仿宋_GB2312"/>
          <w:color w:val="auto"/>
          <w:kern w:val="2"/>
          <w:sz w:val="32"/>
          <w:szCs w:val="32"/>
          <w:highlight w:val="none"/>
          <w:lang w:val="en-US" w:eastAsia="zh-CN" w:bidi="ar-SA"/>
        </w:rPr>
        <w:t>乐山市五通桥区住房和城乡建设局（本级）</w:t>
      </w:r>
      <w:r>
        <w:rPr>
          <w:rFonts w:hint="eastAsia" w:ascii="仿宋_GB2312" w:hAnsi="仿宋_GB2312" w:eastAsia="仿宋_GB2312" w:cs="仿宋_GB2312"/>
          <w:color w:val="auto"/>
          <w:sz w:val="32"/>
          <w:szCs w:val="32"/>
          <w:highlight w:val="none"/>
          <w:lang w:eastAsia="zh-CN"/>
        </w:rPr>
        <w:t>2024年度本年支出合计</w:t>
      </w:r>
      <w:r>
        <w:rPr>
          <w:rFonts w:hint="eastAsia" w:ascii="仿宋_GB2312" w:hAnsi="仿宋_GB2312" w:eastAsia="仿宋_GB2312" w:cs="仿宋_GB2312"/>
          <w:sz w:val="32"/>
          <w:szCs w:val="32"/>
        </w:rPr>
        <w:t>63363.89</w:t>
      </w:r>
      <w:r>
        <w:rPr>
          <w:rFonts w:hint="eastAsia" w:ascii="仿宋_GB2312" w:hAnsi="仿宋_GB2312" w:eastAsia="仿宋_GB2312" w:cs="仿宋_GB2312"/>
          <w:color w:val="auto"/>
          <w:sz w:val="32"/>
          <w:szCs w:val="32"/>
          <w:highlight w:val="none"/>
          <w:lang w:eastAsia="zh-CN"/>
        </w:rPr>
        <w:t>万元，其中：基本支出</w:t>
      </w:r>
      <w:r>
        <w:rPr>
          <w:rFonts w:hint="eastAsia" w:ascii="仿宋_GB2312" w:hAnsi="仿宋_GB2312" w:eastAsia="仿宋_GB2312" w:cs="仿宋_GB2312"/>
          <w:sz w:val="32"/>
          <w:szCs w:val="32"/>
        </w:rPr>
        <w:t>3550.84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5.6</w:t>
      </w:r>
      <w:r>
        <w:rPr>
          <w:rFonts w:hint="eastAsia" w:ascii="仿宋_GB2312" w:hAnsi="仿宋_GB2312" w:eastAsia="仿宋_GB2312" w:cs="仿宋_GB2312"/>
          <w:color w:val="auto"/>
          <w:sz w:val="32"/>
          <w:szCs w:val="32"/>
          <w:highlight w:val="none"/>
          <w:lang w:eastAsia="zh-CN"/>
        </w:rPr>
        <w:t>%；项目支出</w:t>
      </w:r>
      <w:r>
        <w:rPr>
          <w:rFonts w:hint="eastAsia" w:ascii="仿宋_GB2312" w:hAnsi="仿宋_GB2312" w:eastAsia="仿宋_GB2312" w:cs="仿宋_GB2312"/>
          <w:sz w:val="32"/>
          <w:szCs w:val="32"/>
        </w:rPr>
        <w:t>59813.04</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94.39</w:t>
      </w:r>
      <w:r>
        <w:rPr>
          <w:rFonts w:hint="eastAsia" w:ascii="仿宋_GB2312" w:hAnsi="仿宋_GB2312" w:eastAsia="仿宋_GB2312" w:cs="仿宋_GB2312"/>
          <w:color w:val="auto"/>
          <w:sz w:val="32"/>
          <w:szCs w:val="32"/>
          <w:highlight w:val="none"/>
          <w:lang w:eastAsia="zh-CN"/>
        </w:rPr>
        <w:t>%；上缴上级支出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%；经营支出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%；对附属单位补助支出</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sz w:val="32"/>
          <w:szCs w:val="32"/>
        </w:rPr>
        <w:t>0</w:t>
      </w:r>
      <w:r>
        <w:rPr>
          <w:rFonts w:hint="eastAsia" w:ascii="仿宋_GB2312" w:hAnsi="仿宋_GB2312" w:eastAsia="仿宋_GB2312" w:cs="仿宋_GB2312"/>
          <w:color w:val="auto"/>
          <w:sz w:val="32"/>
          <w:szCs w:val="32"/>
          <w:highlight w:val="none"/>
          <w:lang w:eastAsia="zh-CN"/>
        </w:rPr>
        <w:t>%。</w:t>
      </w:r>
    </w:p>
    <w:p w14:paraId="2962BDCF">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仿宋_GB2312" w:hAnsi="仿宋_GB2312" w:eastAsia="仿宋_GB2312" w:cs="仿宋_GB2312"/>
          <w:color w:val="auto"/>
          <w:sz w:val="32"/>
          <w:szCs w:val="32"/>
          <w:highlight w:val="none"/>
          <w:lang w:val="en-US" w:eastAsia="zh-CN"/>
        </w:rPr>
        <w:t>乐山市五通桥区住房和城乡建设局（本级）2024年决算报表无</w:t>
      </w:r>
      <w:r>
        <w:rPr>
          <w:rFonts w:hint="default" w:ascii="仿宋_GB2312" w:hAnsi="仿宋_GB2312" w:eastAsia="仿宋_GB2312" w:cs="仿宋_GB2312"/>
          <w:color w:val="auto"/>
          <w:sz w:val="32"/>
          <w:szCs w:val="32"/>
          <w:highlight w:val="none"/>
          <w:lang w:val="en-US" w:eastAsia="zh-CN"/>
        </w:rPr>
        <w:t>结转结余</w:t>
      </w:r>
      <w:r>
        <w:rPr>
          <w:rFonts w:hint="eastAsia" w:ascii="仿宋_GB2312" w:hAnsi="仿宋_GB2312" w:eastAsia="仿宋_GB2312" w:cs="仿宋_GB2312"/>
          <w:color w:val="auto"/>
          <w:sz w:val="32"/>
          <w:szCs w:val="32"/>
          <w:highlight w:val="none"/>
          <w:lang w:val="en-US" w:eastAsia="zh-CN"/>
        </w:rPr>
        <w:t>情况</w:t>
      </w:r>
      <w:r>
        <w:rPr>
          <w:rFonts w:hint="default" w:ascii="仿宋_GB2312" w:hAnsi="仿宋_GB2312" w:eastAsia="仿宋_GB2312" w:cs="仿宋_GB2312"/>
          <w:color w:val="auto"/>
          <w:sz w:val="32"/>
          <w:szCs w:val="32"/>
          <w:highlight w:val="none"/>
          <w:lang w:val="en-US" w:eastAsia="zh-CN"/>
        </w:rPr>
        <w:t>。</w:t>
      </w:r>
    </w:p>
    <w:p w14:paraId="4DEB3FA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eastAsia="zh-CN"/>
        </w:rPr>
      </w:pPr>
      <w:r>
        <w:rPr>
          <w:rFonts w:hint="default" w:ascii="Times New Roman" w:hAnsi="Times New Roman" w:eastAsia="黑体" w:cs="Times New Roman"/>
          <w:color w:val="000000"/>
          <w:kern w:val="0"/>
          <w:sz w:val="32"/>
          <w:szCs w:val="32"/>
          <w:highlight w:val="none"/>
          <w:shd w:val="clear" w:color="auto" w:fill="FFFFFF"/>
          <w:lang w:val="zh-CN" w:eastAsia="zh-CN"/>
        </w:rPr>
        <w:t>三、部门预算绩效分析</w:t>
      </w:r>
    </w:p>
    <w:p w14:paraId="2EAEB02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14:paraId="61F84B32">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color w:val="auto"/>
          <w:sz w:val="32"/>
          <w:szCs w:val="32"/>
          <w:highlight w:val="none"/>
          <w:lang w:val="zh-CN" w:eastAsia="zh-CN"/>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履职效能。</w:t>
      </w:r>
      <w:r>
        <w:rPr>
          <w:rFonts w:hint="eastAsia" w:ascii="仿宋_GB2312" w:hAnsi="仿宋_GB2312" w:eastAsia="仿宋_GB2312" w:cs="仿宋_GB2312"/>
          <w:color w:val="auto"/>
          <w:sz w:val="32"/>
          <w:szCs w:val="32"/>
          <w:highlight w:val="none"/>
          <w:lang w:val="en-US" w:eastAsia="zh-CN"/>
        </w:rPr>
        <w:t>乐山市五通桥区住房和城乡建设局（本级）严格按照职能职责开展相关工作，2024年较好的完成全年目标</w:t>
      </w:r>
      <w:r>
        <w:rPr>
          <w:rFonts w:hint="eastAsia" w:ascii="仿宋_GB2312" w:hAnsi="仿宋_GB2312" w:eastAsia="仿宋_GB2312" w:cs="仿宋_GB2312"/>
          <w:color w:val="auto"/>
          <w:sz w:val="32"/>
          <w:szCs w:val="32"/>
          <w:highlight w:val="none"/>
          <w:lang w:val="zh-CN" w:eastAsia="zh-CN"/>
        </w:rPr>
        <w:t>。</w:t>
      </w:r>
    </w:p>
    <w:p w14:paraId="61A0E64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预算管理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2024年度</w:t>
      </w:r>
      <w:r>
        <w:rPr>
          <w:rFonts w:hint="eastAsia" w:ascii="Times New Roman" w:hAnsi="Times New Roman" w:eastAsia="仿宋_GB2312" w:cs="仿宋_GB2312"/>
          <w:color w:val="auto"/>
          <w:kern w:val="2"/>
          <w:sz w:val="32"/>
          <w:szCs w:val="32"/>
          <w:highlight w:val="none"/>
          <w:lang w:val="zh-CN" w:eastAsia="zh-CN" w:bidi="ar-SA"/>
        </w:rPr>
        <w:t>预算编制质量</w:t>
      </w:r>
      <w:r>
        <w:rPr>
          <w:rFonts w:hint="eastAsia" w:eastAsia="仿宋_GB2312" w:cs="仿宋_GB2312"/>
          <w:color w:val="auto"/>
          <w:kern w:val="2"/>
          <w:sz w:val="32"/>
          <w:szCs w:val="32"/>
          <w:highlight w:val="none"/>
          <w:lang w:val="en-US" w:eastAsia="zh-CN" w:bidi="ar-SA"/>
        </w:rPr>
        <w:t>较高，完成情况较好，执行率为100%</w:t>
      </w:r>
      <w:r>
        <w:rPr>
          <w:rFonts w:hint="eastAsia" w:ascii="Times New Roman" w:hAnsi="Times New Roman" w:eastAsia="仿宋_GB2312" w:cs="仿宋_GB2312"/>
          <w:color w:val="auto"/>
          <w:kern w:val="2"/>
          <w:sz w:val="32"/>
          <w:szCs w:val="32"/>
          <w:highlight w:val="none"/>
          <w:lang w:val="zh-CN" w:eastAsia="zh-CN" w:bidi="ar-SA"/>
        </w:rPr>
        <w:t>。</w:t>
      </w:r>
    </w:p>
    <w:p w14:paraId="0490B7E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3.</w:t>
      </w:r>
      <w:r>
        <w:rPr>
          <w:rFonts w:hint="default" w:ascii="Times New Roman" w:hAnsi="Times New Roman" w:eastAsia="仿宋_GB2312" w:cs="仿宋_GB2312"/>
          <w:color w:val="auto"/>
          <w:kern w:val="2"/>
          <w:sz w:val="32"/>
          <w:szCs w:val="32"/>
          <w:highlight w:val="none"/>
          <w:lang w:val="zh-CN" w:eastAsia="zh-CN" w:bidi="ar-SA"/>
        </w:rPr>
        <w:t>财务管理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单位</w:t>
      </w:r>
      <w:r>
        <w:rPr>
          <w:rFonts w:hint="eastAsia" w:ascii="Times New Roman" w:hAnsi="Times New Roman" w:eastAsia="仿宋_GB2312" w:cs="仿宋_GB2312"/>
          <w:color w:val="auto"/>
          <w:kern w:val="2"/>
          <w:sz w:val="32"/>
          <w:szCs w:val="32"/>
          <w:highlight w:val="none"/>
          <w:lang w:val="zh-CN" w:eastAsia="zh-CN" w:bidi="ar-SA"/>
        </w:rPr>
        <w:t>财务管理制度</w:t>
      </w:r>
      <w:r>
        <w:rPr>
          <w:rFonts w:hint="eastAsia" w:eastAsia="仿宋_GB2312" w:cs="仿宋_GB2312"/>
          <w:color w:val="auto"/>
          <w:kern w:val="2"/>
          <w:sz w:val="32"/>
          <w:szCs w:val="32"/>
          <w:highlight w:val="none"/>
          <w:lang w:val="en-US" w:eastAsia="zh-CN" w:bidi="ar-SA"/>
        </w:rPr>
        <w:t>较完善</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财务岗位设置</w:t>
      </w:r>
      <w:r>
        <w:rPr>
          <w:rFonts w:hint="eastAsia" w:eastAsia="仿宋_GB2312" w:cs="仿宋_GB2312"/>
          <w:color w:val="auto"/>
          <w:kern w:val="2"/>
          <w:sz w:val="32"/>
          <w:szCs w:val="32"/>
          <w:highlight w:val="none"/>
          <w:lang w:val="en-US" w:eastAsia="zh-CN" w:bidi="ar-SA"/>
        </w:rPr>
        <w:t>合理，</w:t>
      </w:r>
      <w:r>
        <w:rPr>
          <w:rFonts w:hint="eastAsia" w:ascii="Times New Roman" w:hAnsi="Times New Roman" w:eastAsia="仿宋_GB2312" w:cs="仿宋_GB2312"/>
          <w:color w:val="auto"/>
          <w:kern w:val="2"/>
          <w:sz w:val="32"/>
          <w:szCs w:val="32"/>
          <w:highlight w:val="none"/>
          <w:lang w:val="zh-CN" w:eastAsia="zh-CN" w:bidi="ar-SA"/>
        </w:rPr>
        <w:t>资金使用规范。</w:t>
      </w:r>
    </w:p>
    <w:p w14:paraId="54730DB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4.</w:t>
      </w:r>
      <w:r>
        <w:rPr>
          <w:rFonts w:hint="default" w:ascii="Times New Roman" w:hAnsi="Times New Roman" w:eastAsia="仿宋_GB2312" w:cs="仿宋_GB2312"/>
          <w:color w:val="auto"/>
          <w:kern w:val="2"/>
          <w:sz w:val="32"/>
          <w:szCs w:val="32"/>
          <w:highlight w:val="none"/>
          <w:lang w:val="zh-CN" w:eastAsia="zh-CN" w:bidi="ar-SA"/>
        </w:rPr>
        <w:t>资产管理</w:t>
      </w:r>
      <w:r>
        <w:rPr>
          <w:rFonts w:hint="eastAsia" w:ascii="Times New Roman" w:hAnsi="Times New Roman" w:eastAsia="仿宋_GB2312" w:cs="仿宋_GB2312"/>
          <w:color w:val="auto"/>
          <w:kern w:val="2"/>
          <w:sz w:val="32"/>
          <w:szCs w:val="32"/>
          <w:highlight w:val="none"/>
          <w:lang w:val="zh-CN" w:eastAsia="zh-CN" w:bidi="ar-SA"/>
        </w:rPr>
        <w:t>。人均资产变化率</w:t>
      </w:r>
      <w:r>
        <w:rPr>
          <w:rFonts w:hint="eastAsia" w:eastAsia="仿宋_GB2312" w:cs="仿宋_GB2312"/>
          <w:color w:val="auto"/>
          <w:kern w:val="2"/>
          <w:sz w:val="32"/>
          <w:szCs w:val="32"/>
          <w:highlight w:val="none"/>
          <w:lang w:val="en-US" w:eastAsia="zh-CN" w:bidi="ar-SA"/>
        </w:rPr>
        <w:t>较底</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资产利用率</w:t>
      </w:r>
      <w:r>
        <w:rPr>
          <w:rFonts w:hint="eastAsia" w:eastAsia="仿宋_GB2312" w:cs="仿宋_GB2312"/>
          <w:color w:val="auto"/>
          <w:kern w:val="2"/>
          <w:sz w:val="32"/>
          <w:szCs w:val="32"/>
          <w:highlight w:val="none"/>
          <w:lang w:val="en-US" w:eastAsia="zh-CN" w:bidi="ar-SA"/>
        </w:rPr>
        <w:t>高</w:t>
      </w:r>
      <w:r>
        <w:rPr>
          <w:rFonts w:hint="eastAsia" w:ascii="Times New Roman" w:hAnsi="Times New Roman" w:eastAsia="仿宋_GB2312" w:cs="仿宋_GB2312"/>
          <w:color w:val="auto"/>
          <w:kern w:val="2"/>
          <w:sz w:val="32"/>
          <w:szCs w:val="32"/>
          <w:highlight w:val="none"/>
          <w:lang w:val="zh-CN" w:eastAsia="zh-CN" w:bidi="ar-SA"/>
        </w:rPr>
        <w:t>。</w:t>
      </w:r>
    </w:p>
    <w:p w14:paraId="4F3229C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5.</w:t>
      </w:r>
      <w:r>
        <w:rPr>
          <w:rFonts w:hint="default" w:ascii="Times New Roman" w:hAnsi="Times New Roman" w:eastAsia="仿宋_GB2312" w:cs="仿宋_GB2312"/>
          <w:color w:val="auto"/>
          <w:kern w:val="2"/>
          <w:sz w:val="32"/>
          <w:szCs w:val="32"/>
          <w:highlight w:val="none"/>
          <w:lang w:val="zh-CN" w:eastAsia="zh-CN" w:bidi="ar-SA"/>
        </w:rPr>
        <w:t>采购管理</w:t>
      </w:r>
      <w:r>
        <w:rPr>
          <w:rFonts w:hint="eastAsia" w:ascii="Times New Roman" w:hAnsi="Times New Roman" w:eastAsia="仿宋_GB2312" w:cs="仿宋_GB2312"/>
          <w:color w:val="auto"/>
          <w:kern w:val="2"/>
          <w:sz w:val="32"/>
          <w:szCs w:val="32"/>
          <w:highlight w:val="none"/>
          <w:lang w:val="zh-CN" w:eastAsia="zh-CN" w:bidi="ar-SA"/>
        </w:rPr>
        <w:t>。</w:t>
      </w:r>
      <w:r>
        <w:rPr>
          <w:rFonts w:hint="eastAsia" w:eastAsia="仿宋_GB2312" w:cs="仿宋_GB2312"/>
          <w:color w:val="auto"/>
          <w:kern w:val="2"/>
          <w:sz w:val="32"/>
          <w:szCs w:val="32"/>
          <w:highlight w:val="none"/>
          <w:lang w:val="en-US" w:eastAsia="zh-CN" w:bidi="ar-SA"/>
        </w:rPr>
        <w:t>本年度本单位无采购</w:t>
      </w:r>
      <w:r>
        <w:rPr>
          <w:rFonts w:hint="eastAsia" w:ascii="Times New Roman" w:hAnsi="Times New Roman" w:eastAsia="仿宋_GB2312" w:cs="仿宋_GB2312"/>
          <w:color w:val="auto"/>
          <w:kern w:val="2"/>
          <w:sz w:val="32"/>
          <w:szCs w:val="32"/>
          <w:highlight w:val="none"/>
          <w:lang w:val="zh-CN" w:eastAsia="zh-CN" w:bidi="ar-SA"/>
        </w:rPr>
        <w:t>。</w:t>
      </w:r>
    </w:p>
    <w:p w14:paraId="6360D50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14:paraId="5EBADB2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常年项目绩效分析。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40</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ascii="仿宋_GB2312" w:hAnsi="仿宋_GB2312" w:eastAsia="仿宋_GB2312" w:cs="仿宋_GB2312"/>
          <w:sz w:val="32"/>
          <w:szCs w:val="32"/>
        </w:rPr>
        <w:t>63363.89</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100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14:paraId="5A18274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default" w:ascii="Times New Roman" w:hAnsi="Times New Roman" w:eastAsia="仿宋_GB2312" w:cs="仿宋_GB2312"/>
          <w:color w:val="auto"/>
          <w:kern w:val="2"/>
          <w:sz w:val="32"/>
          <w:szCs w:val="32"/>
          <w:highlight w:val="none"/>
          <w:lang w:val="zh-CN" w:eastAsia="zh-CN" w:bidi="ar-SA"/>
        </w:rPr>
      </w:pPr>
      <w:r>
        <w:rPr>
          <w:rFonts w:hint="default" w:ascii="Times New Roman" w:hAnsi="Times New Roman" w:eastAsia="仿宋_GB2312" w:cs="仿宋_GB2312"/>
          <w:color w:val="auto"/>
          <w:kern w:val="2"/>
          <w:sz w:val="32"/>
          <w:szCs w:val="32"/>
          <w:highlight w:val="none"/>
          <w:lang w:val="en-US" w:eastAsia="zh-CN" w:bidi="ar-SA"/>
        </w:rPr>
        <w:t>阶段</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一次性</w:t>
      </w:r>
      <w:r>
        <w:rPr>
          <w:rFonts w:hint="eastAsia" w:ascii="Times New Roman" w:hAnsi="Times New Roman" w:eastAsia="仿宋_GB2312" w:cs="仿宋_GB2312"/>
          <w:color w:val="auto"/>
          <w:kern w:val="2"/>
          <w:sz w:val="32"/>
          <w:szCs w:val="32"/>
          <w:highlight w:val="none"/>
          <w:lang w:val="en-US" w:eastAsia="zh-CN" w:bidi="ar-SA"/>
        </w:rPr>
        <w:t>）</w:t>
      </w:r>
      <w:r>
        <w:rPr>
          <w:rFonts w:hint="default" w:ascii="Times New Roman" w:hAnsi="Times New Roman" w:eastAsia="仿宋_GB2312" w:cs="仿宋_GB2312"/>
          <w:color w:val="auto"/>
          <w:kern w:val="2"/>
          <w:sz w:val="32"/>
          <w:szCs w:val="32"/>
          <w:highlight w:val="none"/>
          <w:lang w:val="en-US" w:eastAsia="zh-CN" w:bidi="ar-SA"/>
        </w:rPr>
        <w:t>项目绩效分析。</w:t>
      </w:r>
      <w:r>
        <w:rPr>
          <w:rFonts w:hint="default" w:ascii="Times New Roman" w:hAnsi="Times New Roman" w:eastAsia="仿宋_GB2312" w:cs="仿宋_GB2312"/>
          <w:color w:val="auto"/>
          <w:kern w:val="2"/>
          <w:sz w:val="32"/>
          <w:szCs w:val="32"/>
          <w:highlight w:val="none"/>
          <w:lang w:val="zh-CN" w:eastAsia="zh-CN" w:bidi="ar-SA"/>
        </w:rPr>
        <w:t>该类项目总数</w:t>
      </w:r>
      <w:r>
        <w:rPr>
          <w:rFonts w:hint="eastAsia"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个，涉及预算总金额</w:t>
      </w:r>
      <w:r>
        <w:rPr>
          <w:rFonts w:hint="eastAsia" w:eastAsia="仿宋_GB2312" w:cs="仿宋_GB2312"/>
          <w:color w:val="auto"/>
          <w:kern w:val="2"/>
          <w:sz w:val="32"/>
          <w:szCs w:val="32"/>
          <w:highlight w:val="none"/>
          <w:lang w:val="en-US" w:eastAsia="zh-CN" w:bidi="ar-SA"/>
        </w:rPr>
        <w:t>29538.00</w:t>
      </w:r>
      <w:r>
        <w:rPr>
          <w:rFonts w:hint="default" w:ascii="Times New Roman" w:hAnsi="Times New Roman" w:eastAsia="仿宋_GB2312" w:cs="仿宋_GB2312"/>
          <w:color w:val="auto"/>
          <w:kern w:val="2"/>
          <w:sz w:val="32"/>
          <w:szCs w:val="32"/>
          <w:highlight w:val="none"/>
          <w:lang w:val="zh-CN" w:eastAsia="zh-CN" w:bidi="ar-SA"/>
        </w:rPr>
        <w:t>万元，1</w:t>
      </w:r>
      <w:r>
        <w:rPr>
          <w:rFonts w:hint="eastAsia" w:ascii="Times New Roman" w:hAnsi="Times New Roman" w:eastAsia="仿宋_GB2312" w:cs="仿宋_GB2312"/>
          <w:color w:val="auto"/>
          <w:kern w:val="2"/>
          <w:sz w:val="32"/>
          <w:szCs w:val="32"/>
          <w:highlight w:val="none"/>
          <w:lang w:val="zh-CN" w:eastAsia="zh-CN" w:bidi="ar-SA"/>
        </w:rPr>
        <w:t>—</w:t>
      </w:r>
      <w:r>
        <w:rPr>
          <w:rFonts w:hint="default" w:ascii="Times New Roman" w:hAnsi="Times New Roman" w:eastAsia="仿宋_GB2312" w:cs="仿宋_GB2312"/>
          <w:color w:val="auto"/>
          <w:kern w:val="2"/>
          <w:sz w:val="32"/>
          <w:szCs w:val="32"/>
          <w:highlight w:val="none"/>
          <w:lang w:val="zh-CN" w:eastAsia="zh-CN" w:bidi="ar-SA"/>
        </w:rPr>
        <w:t>1</w:t>
      </w:r>
      <w:r>
        <w:rPr>
          <w:rFonts w:hint="default" w:ascii="Times New Roman" w:hAnsi="Times New Roman" w:eastAsia="仿宋_GB2312" w:cs="仿宋_GB2312"/>
          <w:color w:val="auto"/>
          <w:kern w:val="2"/>
          <w:sz w:val="32"/>
          <w:szCs w:val="32"/>
          <w:highlight w:val="none"/>
          <w:lang w:val="en-US" w:eastAsia="zh-CN" w:bidi="ar-SA"/>
        </w:rPr>
        <w:t>2</w:t>
      </w:r>
      <w:r>
        <w:rPr>
          <w:rFonts w:hint="default" w:ascii="Times New Roman" w:hAnsi="Times New Roman" w:eastAsia="仿宋_GB2312" w:cs="仿宋_GB2312"/>
          <w:color w:val="auto"/>
          <w:kern w:val="2"/>
          <w:sz w:val="32"/>
          <w:szCs w:val="32"/>
          <w:highlight w:val="none"/>
          <w:lang w:val="zh-CN" w:eastAsia="zh-CN" w:bidi="ar-SA"/>
        </w:rPr>
        <w:t>月预算执行总体进度为</w:t>
      </w:r>
      <w:r>
        <w:rPr>
          <w:rFonts w:hint="eastAsia" w:eastAsia="仿宋_GB2312" w:cs="仿宋_GB2312"/>
          <w:color w:val="auto"/>
          <w:kern w:val="2"/>
          <w:sz w:val="32"/>
          <w:szCs w:val="32"/>
          <w:highlight w:val="none"/>
          <w:lang w:val="en-US" w:eastAsia="zh-CN" w:bidi="ar-SA"/>
        </w:rPr>
        <w:t>100</w:t>
      </w:r>
      <w:r>
        <w:rPr>
          <w:rFonts w:hint="default" w:ascii="Times New Roman" w:hAnsi="Times New Roman" w:eastAsia="仿宋_GB2312" w:cs="仿宋_GB2312"/>
          <w:color w:val="auto"/>
          <w:kern w:val="2"/>
          <w:sz w:val="32"/>
          <w:szCs w:val="32"/>
          <w:highlight w:val="none"/>
          <w:lang w:val="zh-CN" w:eastAsia="zh-CN" w:bidi="ar-SA"/>
        </w:rPr>
        <w:t>%，其中：预算结余率大于</w:t>
      </w:r>
      <w:r>
        <w:rPr>
          <w:rFonts w:hint="default" w:ascii="Times New Roman" w:hAnsi="Times New Roman" w:eastAsia="仿宋_GB2312" w:cs="仿宋_GB2312"/>
          <w:color w:val="auto"/>
          <w:kern w:val="2"/>
          <w:sz w:val="32"/>
          <w:szCs w:val="32"/>
          <w:highlight w:val="none"/>
          <w:lang w:val="en-US" w:eastAsia="zh-CN" w:bidi="ar-SA"/>
        </w:rPr>
        <w:t>10%</w:t>
      </w:r>
      <w:r>
        <w:rPr>
          <w:rFonts w:hint="default" w:ascii="Times New Roman" w:hAnsi="Times New Roman" w:eastAsia="仿宋_GB2312" w:cs="仿宋_GB2312"/>
          <w:color w:val="auto"/>
          <w:kern w:val="2"/>
          <w:sz w:val="32"/>
          <w:szCs w:val="32"/>
          <w:highlight w:val="none"/>
          <w:lang w:val="zh-CN" w:eastAsia="zh-CN" w:bidi="ar-SA"/>
        </w:rPr>
        <w:t>的项目共计</w:t>
      </w:r>
      <w:r>
        <w:rPr>
          <w:rFonts w:hint="eastAsia" w:eastAsia="仿宋_GB2312" w:cs="仿宋_GB2312"/>
          <w:color w:val="auto"/>
          <w:kern w:val="2"/>
          <w:sz w:val="32"/>
          <w:szCs w:val="32"/>
          <w:highlight w:val="none"/>
          <w:lang w:val="en-US" w:eastAsia="zh-CN" w:bidi="ar-SA"/>
        </w:rPr>
        <w:t>0</w:t>
      </w:r>
      <w:r>
        <w:rPr>
          <w:rFonts w:hint="default" w:ascii="Times New Roman" w:hAnsi="Times New Roman" w:eastAsia="仿宋_GB2312" w:cs="仿宋_GB2312"/>
          <w:color w:val="auto"/>
          <w:kern w:val="2"/>
          <w:sz w:val="32"/>
          <w:szCs w:val="32"/>
          <w:highlight w:val="none"/>
          <w:lang w:val="zh-CN" w:eastAsia="zh-CN" w:bidi="ar-SA"/>
        </w:rPr>
        <w:t>个。</w:t>
      </w:r>
    </w:p>
    <w:p w14:paraId="245CD4A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zh-CN" w:eastAsia="zh-CN" w:bidi="ar-SA"/>
        </w:rPr>
        <w:t>项目决策。决策程序</w:t>
      </w:r>
      <w:r>
        <w:rPr>
          <w:rFonts w:hint="eastAsia" w:eastAsia="仿宋_GB2312" w:cs="仿宋_GB2312"/>
          <w:color w:val="auto"/>
          <w:kern w:val="2"/>
          <w:sz w:val="32"/>
          <w:szCs w:val="32"/>
          <w:highlight w:val="none"/>
          <w:lang w:val="en-US" w:eastAsia="zh-CN" w:bidi="ar-SA"/>
        </w:rPr>
        <w:t>合规</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目标设置</w:t>
      </w:r>
      <w:r>
        <w:rPr>
          <w:rFonts w:hint="eastAsia" w:eastAsia="仿宋_GB2312" w:cs="仿宋_GB2312"/>
          <w:color w:val="auto"/>
          <w:kern w:val="2"/>
          <w:sz w:val="32"/>
          <w:szCs w:val="32"/>
          <w:highlight w:val="none"/>
          <w:lang w:val="en-US" w:eastAsia="zh-CN" w:bidi="ar-SA"/>
        </w:rPr>
        <w:t>合理</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项目入库</w:t>
      </w:r>
      <w:r>
        <w:rPr>
          <w:rFonts w:hint="eastAsia" w:eastAsia="仿宋_GB2312" w:cs="仿宋_GB2312"/>
          <w:color w:val="auto"/>
          <w:kern w:val="2"/>
          <w:sz w:val="32"/>
          <w:szCs w:val="32"/>
          <w:highlight w:val="none"/>
          <w:lang w:val="en-US" w:eastAsia="zh-CN" w:bidi="ar-SA"/>
        </w:rPr>
        <w:t>完整</w:t>
      </w:r>
      <w:r>
        <w:rPr>
          <w:rFonts w:hint="eastAsia" w:ascii="Times New Roman" w:hAnsi="Times New Roman" w:eastAsia="仿宋_GB2312" w:cs="仿宋_GB2312"/>
          <w:color w:val="auto"/>
          <w:kern w:val="2"/>
          <w:sz w:val="32"/>
          <w:szCs w:val="32"/>
          <w:highlight w:val="none"/>
          <w:lang w:val="zh-CN" w:eastAsia="zh-CN" w:bidi="ar-SA"/>
        </w:rPr>
        <w:t>。</w:t>
      </w:r>
    </w:p>
    <w:p w14:paraId="4B947E1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2.项目执行</w:t>
      </w:r>
      <w:r>
        <w:rPr>
          <w:rFonts w:hint="eastAsia" w:ascii="Times New Roman" w:hAnsi="Times New Roman" w:eastAsia="仿宋_GB2312" w:cs="仿宋_GB2312"/>
          <w:color w:val="auto"/>
          <w:kern w:val="2"/>
          <w:sz w:val="32"/>
          <w:szCs w:val="32"/>
          <w:highlight w:val="none"/>
          <w:lang w:val="zh-CN" w:eastAsia="zh-CN" w:bidi="ar-SA"/>
        </w:rPr>
        <w:t>。资金执行</w:t>
      </w:r>
      <w:r>
        <w:rPr>
          <w:rFonts w:hint="eastAsia" w:eastAsia="仿宋_GB2312" w:cs="仿宋_GB2312"/>
          <w:color w:val="auto"/>
          <w:kern w:val="2"/>
          <w:sz w:val="32"/>
          <w:szCs w:val="32"/>
          <w:highlight w:val="none"/>
          <w:lang w:val="en-US" w:eastAsia="zh-CN" w:bidi="ar-SA"/>
        </w:rPr>
        <w:t>率高</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项目调整</w:t>
      </w:r>
      <w:r>
        <w:rPr>
          <w:rFonts w:hint="eastAsia" w:eastAsia="仿宋_GB2312" w:cs="仿宋_GB2312"/>
          <w:color w:val="auto"/>
          <w:kern w:val="2"/>
          <w:sz w:val="32"/>
          <w:szCs w:val="32"/>
          <w:highlight w:val="none"/>
          <w:lang w:val="en-US" w:eastAsia="zh-CN" w:bidi="ar-SA"/>
        </w:rPr>
        <w:t>数量较少，</w:t>
      </w:r>
      <w:r>
        <w:rPr>
          <w:rFonts w:hint="eastAsia" w:ascii="Times New Roman" w:hAnsi="Times New Roman" w:eastAsia="仿宋_GB2312" w:cs="仿宋_GB2312"/>
          <w:color w:val="auto"/>
          <w:kern w:val="2"/>
          <w:sz w:val="32"/>
          <w:szCs w:val="32"/>
          <w:highlight w:val="none"/>
          <w:lang w:val="zh-CN" w:eastAsia="zh-CN" w:bidi="ar-SA"/>
        </w:rPr>
        <w:t>执行结果</w:t>
      </w:r>
      <w:r>
        <w:rPr>
          <w:rFonts w:hint="eastAsia" w:eastAsia="仿宋_GB2312" w:cs="仿宋_GB2312"/>
          <w:color w:val="auto"/>
          <w:kern w:val="2"/>
          <w:sz w:val="32"/>
          <w:szCs w:val="32"/>
          <w:highlight w:val="none"/>
          <w:lang w:val="en-US" w:eastAsia="zh-CN" w:bidi="ar-SA"/>
        </w:rPr>
        <w:t>较好</w:t>
      </w:r>
      <w:r>
        <w:rPr>
          <w:rFonts w:hint="eastAsia" w:ascii="Times New Roman" w:hAnsi="Times New Roman" w:eastAsia="仿宋_GB2312" w:cs="仿宋_GB2312"/>
          <w:color w:val="auto"/>
          <w:kern w:val="2"/>
          <w:sz w:val="32"/>
          <w:szCs w:val="32"/>
          <w:highlight w:val="none"/>
          <w:lang w:val="zh-CN" w:eastAsia="zh-CN" w:bidi="ar-SA"/>
        </w:rPr>
        <w:t>。</w:t>
      </w:r>
    </w:p>
    <w:p w14:paraId="6ACD555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both"/>
        <w:textAlignment w:val="auto"/>
        <w:outlineLvl w:val="9"/>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zh-CN" w:eastAsia="zh-CN" w:bidi="ar-SA"/>
        </w:rPr>
        <w:t>目标实现。目标完成</w:t>
      </w:r>
      <w:r>
        <w:rPr>
          <w:rFonts w:hint="eastAsia" w:eastAsia="仿宋_GB2312" w:cs="仿宋_GB2312"/>
          <w:color w:val="auto"/>
          <w:kern w:val="2"/>
          <w:sz w:val="32"/>
          <w:szCs w:val="32"/>
          <w:highlight w:val="none"/>
          <w:lang w:val="en-US" w:eastAsia="zh-CN" w:bidi="ar-SA"/>
        </w:rPr>
        <w:t>情况较好</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目标偏离</w:t>
      </w:r>
      <w:r>
        <w:rPr>
          <w:rFonts w:hint="eastAsia" w:eastAsia="仿宋_GB2312" w:cs="仿宋_GB2312"/>
          <w:color w:val="auto"/>
          <w:kern w:val="2"/>
          <w:sz w:val="32"/>
          <w:szCs w:val="32"/>
          <w:highlight w:val="none"/>
          <w:lang w:val="en-US" w:eastAsia="zh-CN" w:bidi="ar-SA"/>
        </w:rPr>
        <w:t>度较低</w:t>
      </w:r>
      <w:r>
        <w:rPr>
          <w:rFonts w:hint="eastAsia" w:eastAsia="仿宋_GB2312" w:cs="仿宋_GB2312"/>
          <w:color w:val="auto"/>
          <w:kern w:val="2"/>
          <w:sz w:val="32"/>
          <w:szCs w:val="32"/>
          <w:highlight w:val="none"/>
          <w:lang w:val="zh-CN" w:eastAsia="zh-CN" w:bidi="ar-SA"/>
        </w:rPr>
        <w:t>，</w:t>
      </w:r>
      <w:r>
        <w:rPr>
          <w:rFonts w:hint="eastAsia" w:ascii="Times New Roman" w:hAnsi="Times New Roman" w:eastAsia="仿宋_GB2312" w:cs="仿宋_GB2312"/>
          <w:color w:val="auto"/>
          <w:kern w:val="2"/>
          <w:sz w:val="32"/>
          <w:szCs w:val="32"/>
          <w:highlight w:val="none"/>
          <w:lang w:val="zh-CN" w:eastAsia="zh-CN" w:bidi="ar-SA"/>
        </w:rPr>
        <w:t>实现效果</w:t>
      </w:r>
      <w:r>
        <w:rPr>
          <w:rFonts w:hint="eastAsia" w:eastAsia="仿宋_GB2312" w:cs="仿宋_GB2312"/>
          <w:color w:val="auto"/>
          <w:kern w:val="2"/>
          <w:sz w:val="32"/>
          <w:szCs w:val="32"/>
          <w:highlight w:val="none"/>
          <w:lang w:val="en-US" w:eastAsia="zh-CN" w:bidi="ar-SA"/>
        </w:rPr>
        <w:t>均达到预期</w:t>
      </w:r>
      <w:r>
        <w:rPr>
          <w:rFonts w:hint="eastAsia" w:ascii="Times New Roman" w:hAnsi="Times New Roman" w:eastAsia="仿宋_GB2312" w:cs="仿宋_GB2312"/>
          <w:color w:val="auto"/>
          <w:kern w:val="2"/>
          <w:sz w:val="32"/>
          <w:szCs w:val="32"/>
          <w:highlight w:val="none"/>
          <w:lang w:val="zh-CN" w:eastAsia="zh-CN" w:bidi="ar-SA"/>
        </w:rPr>
        <w:t>。</w:t>
      </w:r>
    </w:p>
    <w:p w14:paraId="14574733">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default" w:ascii="Times New Roman" w:hAnsi="Times New Roman" w:eastAsia="仿宋_GB2312" w:cs="Times New Roman"/>
          <w:sz w:val="32"/>
          <w:szCs w:val="32"/>
          <w:highlight w:val="none"/>
          <w:u w:val="none"/>
          <w:lang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楷体_GB2312" w:cs="Times New Roman"/>
          <w:b/>
          <w:bCs/>
          <w:color w:val="000000"/>
          <w:kern w:val="0"/>
          <w:sz w:val="32"/>
          <w:szCs w:val="32"/>
          <w:highlight w:val="none"/>
          <w:shd w:val="clear" w:color="auto" w:fill="FFFFFF"/>
          <w:lang w:val="en-US" w:eastAsia="zh-CN"/>
        </w:rPr>
        <w:t>三</w:t>
      </w:r>
      <w:r>
        <w:rPr>
          <w:rFonts w:hint="default" w:ascii="Times New Roman" w:hAnsi="Times New Roman" w:eastAsia="楷体_GB2312" w:cs="Times New Roman"/>
          <w:b/>
          <w:bCs/>
          <w:color w:val="000000"/>
          <w:kern w:val="0"/>
          <w:sz w:val="32"/>
          <w:szCs w:val="32"/>
          <w:highlight w:val="none"/>
          <w:shd w:val="clear" w:color="auto" w:fill="FFFFFF"/>
          <w:lang w:val="zh-CN" w:eastAsia="zh-CN"/>
        </w:rPr>
        <w:t>）绩效结果应用情况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eastAsia="仿宋_GB2312" w:cs="Times New Roman"/>
          <w:sz w:val="32"/>
          <w:szCs w:val="32"/>
          <w:highlight w:val="none"/>
          <w:u w:val="none"/>
          <w:lang w:val="en-US" w:eastAsia="zh-CN" w:bidi="ar"/>
        </w:rPr>
        <w:t>所实施项目</w:t>
      </w:r>
      <w:r>
        <w:rPr>
          <w:rFonts w:hint="eastAsia" w:ascii="Times New Roman" w:hAnsi="Times New Roman" w:eastAsia="仿宋_GB2312" w:cs="Times New Roman"/>
          <w:sz w:val="32"/>
          <w:szCs w:val="32"/>
          <w:highlight w:val="none"/>
          <w:u w:val="none"/>
          <w:lang w:val="zh-CN" w:eastAsia="zh-CN" w:bidi="ar"/>
        </w:rPr>
        <w:t>应用情况</w:t>
      </w:r>
      <w:r>
        <w:rPr>
          <w:rFonts w:hint="eastAsia" w:eastAsia="仿宋_GB2312" w:cs="Times New Roman"/>
          <w:sz w:val="32"/>
          <w:szCs w:val="32"/>
          <w:highlight w:val="none"/>
          <w:u w:val="none"/>
          <w:lang w:val="en-US" w:eastAsia="zh-CN" w:bidi="ar"/>
        </w:rPr>
        <w:t>较好</w:t>
      </w:r>
      <w:r>
        <w:rPr>
          <w:rFonts w:hint="eastAsia" w:eastAsia="仿宋_GB2312" w:cs="Times New Roman"/>
          <w:sz w:val="32"/>
          <w:szCs w:val="32"/>
          <w:highlight w:val="none"/>
          <w:u w:val="none"/>
          <w:lang w:val="zh-CN" w:eastAsia="zh-CN" w:bidi="ar"/>
        </w:rPr>
        <w:t>，</w:t>
      </w:r>
      <w:r>
        <w:rPr>
          <w:rFonts w:hint="eastAsia" w:eastAsia="仿宋_GB2312" w:cs="Times New Roman"/>
          <w:sz w:val="32"/>
          <w:szCs w:val="32"/>
          <w:highlight w:val="none"/>
          <w:u w:val="none"/>
          <w:lang w:val="en-US" w:eastAsia="zh-CN" w:bidi="ar"/>
        </w:rPr>
        <w:t>均依法进行</w:t>
      </w:r>
      <w:r>
        <w:rPr>
          <w:rFonts w:hint="default" w:ascii="Times New Roman" w:hAnsi="Times New Roman" w:eastAsia="仿宋_GB2312" w:cs="Times New Roman"/>
          <w:sz w:val="32"/>
          <w:szCs w:val="32"/>
          <w:highlight w:val="none"/>
          <w:u w:val="none"/>
          <w:lang w:val="zh-CN" w:eastAsia="zh-CN" w:bidi="ar"/>
        </w:rPr>
        <w:t>信息公开</w:t>
      </w:r>
      <w:r>
        <w:rPr>
          <w:rFonts w:hint="eastAsia" w:eastAsia="仿宋_GB2312" w:cs="Times New Roman"/>
          <w:sz w:val="32"/>
          <w:szCs w:val="32"/>
          <w:highlight w:val="none"/>
          <w:u w:val="none"/>
          <w:lang w:val="zh-CN" w:eastAsia="zh-CN" w:bidi="ar"/>
        </w:rPr>
        <w:t>，</w:t>
      </w:r>
      <w:r>
        <w:rPr>
          <w:rFonts w:hint="eastAsia" w:eastAsia="仿宋_GB2312" w:cs="Times New Roman"/>
          <w:sz w:val="32"/>
          <w:szCs w:val="32"/>
          <w:highlight w:val="none"/>
          <w:u w:val="none"/>
          <w:lang w:val="en-US" w:eastAsia="zh-CN" w:bidi="ar"/>
        </w:rPr>
        <w:t>对反馈有问题项目</w:t>
      </w:r>
      <w:r>
        <w:rPr>
          <w:rFonts w:hint="default" w:ascii="Times New Roman" w:hAnsi="Times New Roman" w:eastAsia="仿宋_GB2312" w:cs="Times New Roman"/>
          <w:sz w:val="32"/>
          <w:szCs w:val="32"/>
          <w:highlight w:val="none"/>
          <w:u w:val="none"/>
          <w:lang w:val="zh-CN" w:eastAsia="zh-CN" w:bidi="ar"/>
        </w:rPr>
        <w:t>整改</w:t>
      </w:r>
      <w:r>
        <w:rPr>
          <w:rFonts w:hint="eastAsia" w:eastAsia="仿宋_GB2312" w:cs="Times New Roman"/>
          <w:sz w:val="32"/>
          <w:szCs w:val="32"/>
          <w:highlight w:val="none"/>
          <w:u w:val="none"/>
          <w:lang w:val="en-US" w:eastAsia="zh-CN" w:bidi="ar"/>
        </w:rPr>
        <w:t>完成</w:t>
      </w:r>
      <w:r>
        <w:rPr>
          <w:rFonts w:hint="eastAsia" w:ascii="Times New Roman" w:hAnsi="Times New Roman" w:eastAsia="仿宋_GB2312" w:cs="Times New Roman"/>
          <w:sz w:val="32"/>
          <w:szCs w:val="32"/>
          <w:highlight w:val="none"/>
          <w:u w:val="none"/>
          <w:lang w:val="zh-CN" w:eastAsia="zh-CN" w:bidi="ar"/>
        </w:rPr>
        <w:t>。</w:t>
      </w:r>
    </w:p>
    <w:p w14:paraId="2C781D6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lang w:val="zh-CN"/>
        </w:rPr>
      </w:pPr>
      <w:r>
        <w:rPr>
          <w:rFonts w:hint="default" w:ascii="Times New Roman" w:hAnsi="Times New Roman" w:eastAsia="黑体" w:cs="Times New Roman"/>
          <w:color w:val="000000"/>
          <w:kern w:val="0"/>
          <w:sz w:val="32"/>
          <w:szCs w:val="32"/>
          <w:highlight w:val="none"/>
          <w:shd w:val="clear" w:color="auto" w:fill="FFFFFF"/>
          <w:lang w:val="zh-CN" w:eastAsia="zh-CN"/>
        </w:rPr>
        <w:t>四、</w:t>
      </w:r>
      <w:r>
        <w:rPr>
          <w:rFonts w:hint="default" w:ascii="Times New Roman" w:hAnsi="Times New Roman" w:eastAsia="黑体" w:cs="Times New Roman"/>
          <w:color w:val="000000"/>
          <w:kern w:val="0"/>
          <w:sz w:val="32"/>
          <w:szCs w:val="32"/>
          <w:highlight w:val="none"/>
          <w:shd w:val="clear" w:color="auto" w:fill="FFFFFF"/>
          <w:lang w:val="zh-CN"/>
        </w:rPr>
        <w:t>评价结论及建议</w:t>
      </w:r>
    </w:p>
    <w:p w14:paraId="19781AC5">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r>
        <w:rPr>
          <w:rFonts w:hint="eastAsia" w:eastAsia="仿宋_GB2312" w:cs="Times New Roman"/>
          <w:sz w:val="32"/>
          <w:szCs w:val="32"/>
          <w:u w:val="none"/>
          <w:lang w:val="en-US" w:eastAsia="zh-CN" w:bidi="ar"/>
        </w:rPr>
        <w:t>本年度本单位整体绩效运行情况较好</w:t>
      </w:r>
      <w:r>
        <w:rPr>
          <w:rFonts w:hint="eastAsia" w:ascii="Times New Roman" w:hAnsi="Times New Roman" w:eastAsia="仿宋_GB2312" w:cs="Times New Roman"/>
          <w:sz w:val="32"/>
          <w:szCs w:val="32"/>
          <w:u w:val="none"/>
          <w:lang w:val="en-US" w:eastAsia="zh-CN" w:bidi="ar"/>
        </w:rPr>
        <w:t>，</w:t>
      </w:r>
      <w:r>
        <w:rPr>
          <w:rFonts w:hint="eastAsia" w:eastAsia="仿宋_GB2312" w:cs="Times New Roman"/>
          <w:sz w:val="32"/>
          <w:szCs w:val="32"/>
          <w:u w:val="none"/>
          <w:lang w:val="en-US" w:eastAsia="zh-CN" w:bidi="ar"/>
        </w:rPr>
        <w:t>预算执行率较高，</w:t>
      </w:r>
      <w:r>
        <w:rPr>
          <w:rFonts w:hint="eastAsia" w:ascii="Times New Roman" w:hAnsi="Times New Roman" w:eastAsia="仿宋_GB2312" w:cs="Times New Roman"/>
          <w:sz w:val="32"/>
          <w:szCs w:val="32"/>
          <w:u w:val="none"/>
          <w:lang w:val="en-US" w:eastAsia="zh-CN" w:bidi="ar"/>
        </w:rPr>
        <w:t>自评得分</w:t>
      </w:r>
      <w:r>
        <w:rPr>
          <w:rFonts w:hint="eastAsia" w:eastAsia="仿宋_GB2312" w:cs="Times New Roman"/>
          <w:sz w:val="32"/>
          <w:szCs w:val="32"/>
          <w:u w:val="none"/>
          <w:lang w:val="en-US" w:eastAsia="zh-CN" w:bidi="ar"/>
        </w:rPr>
        <w:t>为98分</w:t>
      </w:r>
      <w:r>
        <w:rPr>
          <w:rFonts w:hint="eastAsia" w:ascii="Times New Roman" w:hAnsi="Times New Roman" w:eastAsia="仿宋_GB2312" w:cs="Times New Roman"/>
          <w:sz w:val="32"/>
          <w:szCs w:val="32"/>
          <w:u w:val="none"/>
          <w:lang w:val="en-US" w:eastAsia="zh-CN" w:bidi="ar"/>
        </w:rPr>
        <w:t>。</w:t>
      </w:r>
    </w:p>
    <w:p w14:paraId="0ECC913B">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en-US"/>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r>
        <w:rPr>
          <w:rFonts w:hint="eastAsia" w:eastAsia="仿宋_GB2312" w:cs="Times New Roman"/>
          <w:sz w:val="32"/>
          <w:szCs w:val="32"/>
          <w:u w:val="none"/>
          <w:lang w:val="en-US" w:eastAsia="zh-CN" w:bidi="ar"/>
        </w:rPr>
        <w:t>部分项目目标绩效设置不合理，部分指标设置不够规范，需要加强培训学习。</w:t>
      </w:r>
    </w:p>
    <w:p w14:paraId="148E9468">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bookmarkStart w:id="59" w:name="_Hlk110546638"/>
      <w:r>
        <w:rPr>
          <w:rFonts w:hint="eastAsia" w:eastAsia="仿宋_GB2312" w:cs="Times New Roman"/>
          <w:sz w:val="32"/>
          <w:szCs w:val="32"/>
          <w:u w:val="none"/>
          <w:lang w:val="en-US" w:eastAsia="zh-CN" w:bidi="ar"/>
        </w:rPr>
        <w:t>对单位负责绩效人员进行培训，提升其业务水平</w:t>
      </w:r>
      <w:r>
        <w:rPr>
          <w:rFonts w:hint="eastAsia" w:ascii="Times New Roman" w:hAnsi="Times New Roman" w:eastAsia="仿宋_GB2312" w:cs="Times New Roman"/>
          <w:sz w:val="32"/>
          <w:szCs w:val="32"/>
          <w:u w:val="none"/>
          <w:lang w:val="en-US" w:eastAsia="zh-CN" w:bidi="ar"/>
        </w:rPr>
        <w:t>。</w:t>
      </w:r>
    </w:p>
    <w:bookmarkEnd w:id="59"/>
    <w:p w14:paraId="61D73303">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p>
    <w:p w14:paraId="6CEE92B1">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Times New Roman"/>
          <w:kern w:val="2"/>
          <w:sz w:val="32"/>
          <w:szCs w:val="32"/>
          <w:u w:val="none"/>
          <w:lang w:val="zh-CN" w:eastAsia="zh-CN" w:bidi="ar"/>
        </w:rPr>
      </w:pPr>
      <w:r>
        <w:rPr>
          <w:rFonts w:hint="eastAsia" w:ascii="Times New Roman" w:hAnsi="Times New Roman" w:eastAsia="仿宋_GB2312" w:cs="Times New Roman"/>
          <w:kern w:val="2"/>
          <w:sz w:val="32"/>
          <w:szCs w:val="32"/>
          <w:u w:val="none"/>
          <w:lang w:val="zh-CN" w:eastAsia="zh-CN" w:bidi="ar"/>
        </w:rPr>
        <w:t>附表：</w:t>
      </w:r>
      <w:r>
        <w:rPr>
          <w:rFonts w:hint="eastAsia" w:ascii="Times New Roman" w:hAnsi="Times New Roman" w:eastAsia="仿宋_GB2312" w:cs="Times New Roman"/>
          <w:kern w:val="2"/>
          <w:sz w:val="32"/>
          <w:szCs w:val="32"/>
          <w:u w:val="none"/>
          <w:lang w:val="en-US" w:eastAsia="zh-CN" w:bidi="ar"/>
        </w:rPr>
        <w:t>部门预算项目支出绩效自评表（2024年度）</w:t>
      </w:r>
    </w:p>
    <w:p w14:paraId="4D66B33D">
      <w:pPr>
        <w:pStyle w:val="8"/>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cs="仿宋_GB2312"/>
          <w:b w:val="0"/>
          <w:bCs w:val="0"/>
          <w:kern w:val="0"/>
          <w:position w:val="0"/>
          <w:sz w:val="32"/>
          <w:szCs w:val="32"/>
          <w:highlight w:val="none"/>
          <w:lang w:val="zh-CN" w:eastAsia="zh-CN" w:bidi="ar-SA"/>
        </w:rPr>
      </w:pPr>
    </w:p>
    <w:p w14:paraId="33CDE284">
      <w:pPr>
        <w:pStyle w:val="8"/>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14:paraId="533B9F9E">
      <w:pPr>
        <w:widowControl/>
        <w:jc w:val="center"/>
        <w:rPr>
          <w:rFonts w:hint="eastAsia" w:ascii="Times New Roman" w:hAnsi="Times New Roman" w:eastAsia="仿宋"/>
          <w:b w:val="0"/>
          <w:color w:val="auto"/>
          <w:highlight w:val="none"/>
        </w:rPr>
      </w:pPr>
      <w:bookmarkStart w:id="60" w:name="_Toc15396618"/>
      <w:r>
        <w:rPr>
          <w:rFonts w:hint="eastAsia" w:ascii="Times New Roman" w:hAnsi="Times New Roman" w:eastAsia="黑体"/>
          <w:color w:val="auto"/>
          <w:sz w:val="44"/>
          <w:szCs w:val="44"/>
          <w:highlight w:val="none"/>
        </w:rPr>
        <w:t>第</w:t>
      </w:r>
      <w:r>
        <w:rPr>
          <w:rStyle w:val="29"/>
          <w:rFonts w:hint="eastAsia" w:ascii="Times New Roman" w:hAnsi="Times New Roman" w:eastAsia="黑体"/>
          <w:b w:val="0"/>
          <w:color w:val="auto"/>
          <w:highlight w:val="none"/>
        </w:rPr>
        <w:t>五部分 附表</w:t>
      </w:r>
      <w:bookmarkEnd w:id="57"/>
      <w:bookmarkEnd w:id="60"/>
      <w:bookmarkStart w:id="61" w:name="_Toc15396619"/>
    </w:p>
    <w:p w14:paraId="22B62D33">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3A8261E1">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61"/>
    </w:p>
    <w:p w14:paraId="053756A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0"/>
      <w:r>
        <w:rPr>
          <w:rFonts w:hint="eastAsia" w:ascii="Times New Roman" w:hAnsi="Times New Roman" w:eastAsia="仿宋_GB2312" w:cs="仿宋_GB2312"/>
          <w:color w:val="auto"/>
          <w:sz w:val="32"/>
          <w:szCs w:val="32"/>
          <w:highlight w:val="none"/>
        </w:rPr>
        <w:t>二、收入决算表</w:t>
      </w:r>
      <w:bookmarkEnd w:id="62"/>
    </w:p>
    <w:p w14:paraId="5934D7E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1"/>
      <w:r>
        <w:rPr>
          <w:rFonts w:hint="eastAsia" w:ascii="Times New Roman" w:hAnsi="Times New Roman" w:eastAsia="仿宋_GB2312" w:cs="仿宋_GB2312"/>
          <w:color w:val="auto"/>
          <w:sz w:val="32"/>
          <w:szCs w:val="32"/>
          <w:highlight w:val="none"/>
        </w:rPr>
        <w:t>三、支出决算表</w:t>
      </w:r>
      <w:bookmarkEnd w:id="63"/>
    </w:p>
    <w:p w14:paraId="354CD89D">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2"/>
      <w:r>
        <w:rPr>
          <w:rFonts w:hint="eastAsia" w:ascii="Times New Roman" w:hAnsi="Times New Roman" w:eastAsia="仿宋_GB2312" w:cs="仿宋_GB2312"/>
          <w:color w:val="auto"/>
          <w:sz w:val="32"/>
          <w:szCs w:val="32"/>
          <w:highlight w:val="none"/>
        </w:rPr>
        <w:t>四、财政拨款收入支出决算总表</w:t>
      </w:r>
      <w:bookmarkEnd w:id="64"/>
    </w:p>
    <w:p w14:paraId="46389F19">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23"/>
      <w:r>
        <w:rPr>
          <w:rFonts w:hint="eastAsia" w:ascii="Times New Roman" w:hAnsi="Times New Roman" w:eastAsia="仿宋_GB2312" w:cs="仿宋_GB2312"/>
          <w:color w:val="auto"/>
          <w:sz w:val="32"/>
          <w:szCs w:val="32"/>
          <w:highlight w:val="none"/>
        </w:rPr>
        <w:t>五、财政拨款支出决算明细表</w:t>
      </w:r>
      <w:bookmarkEnd w:id="65"/>
      <w:bookmarkStart w:id="66" w:name="_Toc15396624"/>
    </w:p>
    <w:p w14:paraId="0FD094D2">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66"/>
    </w:p>
    <w:p w14:paraId="476D28D5">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7" w:name="_Toc15396625"/>
      <w:r>
        <w:rPr>
          <w:rFonts w:hint="eastAsia" w:ascii="Times New Roman" w:hAnsi="Times New Roman" w:eastAsia="仿宋_GB2312" w:cs="仿宋_GB2312"/>
          <w:color w:val="auto"/>
          <w:sz w:val="32"/>
          <w:szCs w:val="32"/>
          <w:highlight w:val="none"/>
        </w:rPr>
        <w:t>七、一般公共预算财政拨款支出决算明细表</w:t>
      </w:r>
      <w:bookmarkEnd w:id="67"/>
    </w:p>
    <w:p w14:paraId="147373E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8" w:name="_Toc15396626"/>
      <w:r>
        <w:rPr>
          <w:rFonts w:hint="eastAsia" w:ascii="Times New Roman" w:hAnsi="Times New Roman" w:eastAsia="仿宋_GB2312" w:cs="仿宋_GB2312"/>
          <w:color w:val="auto"/>
          <w:sz w:val="32"/>
          <w:szCs w:val="32"/>
          <w:highlight w:val="none"/>
        </w:rPr>
        <w:t>八、一般公共预算财政拨款基本支出决算表</w:t>
      </w:r>
      <w:bookmarkEnd w:id="68"/>
    </w:p>
    <w:p w14:paraId="5A204E1B">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9" w:name="_Toc15396627"/>
      <w:r>
        <w:rPr>
          <w:rFonts w:hint="eastAsia" w:ascii="Times New Roman" w:hAnsi="Times New Roman" w:eastAsia="仿宋_GB2312" w:cs="仿宋_GB2312"/>
          <w:color w:val="auto"/>
          <w:sz w:val="32"/>
          <w:szCs w:val="32"/>
          <w:highlight w:val="none"/>
        </w:rPr>
        <w:t>九、一般公共预算财政拨款项目支出决算表</w:t>
      </w:r>
      <w:bookmarkEnd w:id="69"/>
    </w:p>
    <w:p w14:paraId="0A1AA54B">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0" w:name="_Toc15396628"/>
      <w:r>
        <w:rPr>
          <w:rFonts w:hint="eastAsia" w:ascii="Times New Roman" w:hAnsi="Times New Roman" w:eastAsia="仿宋_GB2312" w:cs="仿宋_GB2312"/>
          <w:color w:val="auto"/>
          <w:sz w:val="32"/>
          <w:szCs w:val="32"/>
          <w:highlight w:val="none"/>
        </w:rPr>
        <w:t>十、</w:t>
      </w:r>
      <w:bookmarkEnd w:id="70"/>
      <w:r>
        <w:rPr>
          <w:rFonts w:hint="eastAsia" w:ascii="Times New Roman" w:hAnsi="Times New Roman" w:eastAsia="仿宋_GB2312" w:cs="仿宋_GB2312"/>
          <w:color w:val="auto"/>
          <w:sz w:val="32"/>
          <w:szCs w:val="32"/>
          <w:highlight w:val="none"/>
        </w:rPr>
        <w:t>政府性基金预算财政拨款收入支出决算表</w:t>
      </w:r>
    </w:p>
    <w:p w14:paraId="7461EBAC">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1" w:name="_Toc15396629"/>
      <w:r>
        <w:rPr>
          <w:rFonts w:hint="eastAsia" w:ascii="Times New Roman" w:hAnsi="Times New Roman" w:eastAsia="仿宋_GB2312" w:cs="仿宋_GB2312"/>
          <w:color w:val="auto"/>
          <w:sz w:val="32"/>
          <w:szCs w:val="32"/>
          <w:highlight w:val="none"/>
        </w:rPr>
        <w:t>十一、</w:t>
      </w:r>
      <w:bookmarkEnd w:id="71"/>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0CC17196">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2" w:name="_Toc15396630"/>
      <w:r>
        <w:rPr>
          <w:rFonts w:hint="eastAsia" w:ascii="Times New Roman" w:hAnsi="Times New Roman" w:eastAsia="仿宋_GB2312" w:cs="仿宋_GB2312"/>
          <w:color w:val="auto"/>
          <w:sz w:val="32"/>
          <w:szCs w:val="32"/>
          <w:highlight w:val="none"/>
        </w:rPr>
        <w:t>十二、</w:t>
      </w:r>
      <w:bookmarkEnd w:id="72"/>
      <w:r>
        <w:rPr>
          <w:rFonts w:hint="eastAsia" w:ascii="Times New Roman" w:hAnsi="Times New Roman" w:eastAsia="仿宋_GB2312" w:cs="仿宋_GB2312"/>
          <w:color w:val="auto"/>
          <w:sz w:val="32"/>
          <w:szCs w:val="32"/>
          <w:highlight w:val="none"/>
          <w:lang w:eastAsia="zh-CN"/>
        </w:rPr>
        <w:t>国有资本经营预算财政拨款支出决算表</w:t>
      </w:r>
    </w:p>
    <w:p w14:paraId="07641C66">
      <w:pPr>
        <w:pStyle w:val="15"/>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73" w:name="_Toc15396631"/>
      <w:r>
        <w:rPr>
          <w:rFonts w:hint="eastAsia" w:ascii="Times New Roman" w:hAnsi="Times New Roman" w:eastAsia="仿宋_GB2312" w:cs="仿宋_GB2312"/>
          <w:color w:val="auto"/>
          <w:sz w:val="32"/>
          <w:szCs w:val="32"/>
          <w:highlight w:val="none"/>
        </w:rPr>
        <w:t>十三、</w:t>
      </w:r>
      <w:bookmarkEnd w:id="73"/>
      <w:r>
        <w:rPr>
          <w:rFonts w:hint="eastAsia" w:ascii="Times New Roman" w:hAnsi="Times New Roman" w:eastAsia="仿宋_GB2312" w:cs="仿宋_GB2312"/>
          <w:color w:val="auto"/>
          <w:sz w:val="32"/>
          <w:szCs w:val="32"/>
          <w:highlight w:val="none"/>
          <w:lang w:eastAsia="zh-CN"/>
        </w:rPr>
        <w:t>财政拨款“三公”经费支出决算表</w:t>
      </w:r>
    </w:p>
    <w:p w14:paraId="4D71B1FE">
      <w:pPr>
        <w:rPr>
          <w:rFonts w:hint="eastAsia" w:ascii="Times New Roman" w:hAnsi="Times New Roman"/>
          <w:lang w:eastAsia="zh-CN"/>
        </w:rPr>
      </w:pPr>
    </w:p>
    <w:sectPr>
      <w:footerReference r:id="rId9" w:type="first"/>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2D518">
    <w:pPr>
      <w:pStyle w:val="11"/>
      <w:jc w:val="center"/>
    </w:pPr>
  </w:p>
  <w:p w14:paraId="4094DD35">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A2D2">
    <w:pPr>
      <w:pStyle w:val="11"/>
      <w:jc w:val="center"/>
    </w:pPr>
  </w:p>
  <w:p w14:paraId="4601962F">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98B40">
    <w:pPr>
      <w:pStyle w:val="11"/>
    </w:pP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5B8E8">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A9F518">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CA9F518">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14:paraId="136E36F7">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3981">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DFA19">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83DFA19">
                    <w:pPr>
                      <w:pStyle w:val="11"/>
                    </w:pPr>
                    <w:r>
                      <w:fldChar w:fldCharType="begin"/>
                    </w:r>
                    <w:r>
                      <w:instrText xml:space="preserve"> PAGE  \* MERGEFORMAT </w:instrText>
                    </w:r>
                    <w:r>
                      <w:fldChar w:fldCharType="separate"/>
                    </w:r>
                    <w:r>
                      <w:t>- 1 -</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4F892">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B081E">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A84875"/>
    <w:multiLevelType w:val="singleLevel"/>
    <w:tmpl w:val="32A84875"/>
    <w:lvl w:ilvl="0" w:tentative="0">
      <w:start w:val="1"/>
      <w:numFmt w:val="decimal"/>
      <w:lvlText w:val="%1."/>
      <w:lvlJc w:val="left"/>
      <w:pPr>
        <w:tabs>
          <w:tab w:val="left" w:pos="312"/>
        </w:tabs>
      </w:pPr>
    </w:lvl>
  </w:abstractNum>
  <w:abstractNum w:abstractNumId="1">
    <w:nsid w:val="6FF500AD"/>
    <w:multiLevelType w:val="singleLevel"/>
    <w:tmpl w:val="6FF500A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25D05"/>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3712F7"/>
    <w:rsid w:val="015975B8"/>
    <w:rsid w:val="01D152A8"/>
    <w:rsid w:val="024D2427"/>
    <w:rsid w:val="02FEBE30"/>
    <w:rsid w:val="04916F1E"/>
    <w:rsid w:val="061E35DE"/>
    <w:rsid w:val="066E0107"/>
    <w:rsid w:val="07996F6E"/>
    <w:rsid w:val="07DFD8BA"/>
    <w:rsid w:val="09867E8F"/>
    <w:rsid w:val="0A2032A3"/>
    <w:rsid w:val="0BBA4FFF"/>
    <w:rsid w:val="0BD53BE7"/>
    <w:rsid w:val="0CA8290A"/>
    <w:rsid w:val="0D35B1ED"/>
    <w:rsid w:val="0DC3019B"/>
    <w:rsid w:val="0DEE3D1F"/>
    <w:rsid w:val="0E254B6B"/>
    <w:rsid w:val="0F096081"/>
    <w:rsid w:val="0F98263C"/>
    <w:rsid w:val="101860EC"/>
    <w:rsid w:val="101F47CC"/>
    <w:rsid w:val="10C055FF"/>
    <w:rsid w:val="10CF50A9"/>
    <w:rsid w:val="11694EBD"/>
    <w:rsid w:val="11772AA4"/>
    <w:rsid w:val="118107EC"/>
    <w:rsid w:val="11833F44"/>
    <w:rsid w:val="12E24EE2"/>
    <w:rsid w:val="13D50BC4"/>
    <w:rsid w:val="14B17F78"/>
    <w:rsid w:val="165E0673"/>
    <w:rsid w:val="165F6ECF"/>
    <w:rsid w:val="16B831D5"/>
    <w:rsid w:val="16BB723D"/>
    <w:rsid w:val="17E50567"/>
    <w:rsid w:val="186504BB"/>
    <w:rsid w:val="186E164B"/>
    <w:rsid w:val="191532B1"/>
    <w:rsid w:val="19A445FC"/>
    <w:rsid w:val="1BE8440E"/>
    <w:rsid w:val="1D155CEE"/>
    <w:rsid w:val="1D1638FE"/>
    <w:rsid w:val="1D4110DC"/>
    <w:rsid w:val="1DD50EAA"/>
    <w:rsid w:val="1E2C58E8"/>
    <w:rsid w:val="1E312DEB"/>
    <w:rsid w:val="1E562965"/>
    <w:rsid w:val="1E740ACF"/>
    <w:rsid w:val="1FF35744"/>
    <w:rsid w:val="1FF6BC77"/>
    <w:rsid w:val="20B8304B"/>
    <w:rsid w:val="20D12777"/>
    <w:rsid w:val="2186353C"/>
    <w:rsid w:val="232C0139"/>
    <w:rsid w:val="23476D20"/>
    <w:rsid w:val="23860B96"/>
    <w:rsid w:val="240371BF"/>
    <w:rsid w:val="240A66CC"/>
    <w:rsid w:val="244F3473"/>
    <w:rsid w:val="24C97D99"/>
    <w:rsid w:val="25A718F0"/>
    <w:rsid w:val="25BB59F6"/>
    <w:rsid w:val="260F557C"/>
    <w:rsid w:val="26970054"/>
    <w:rsid w:val="269801A8"/>
    <w:rsid w:val="281408E2"/>
    <w:rsid w:val="29FD04D3"/>
    <w:rsid w:val="2B7B7EAF"/>
    <w:rsid w:val="2BA033A4"/>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4F760D5"/>
    <w:rsid w:val="36AA5135"/>
    <w:rsid w:val="36BE0DA7"/>
    <w:rsid w:val="376B6AA6"/>
    <w:rsid w:val="376D39B2"/>
    <w:rsid w:val="376E08C8"/>
    <w:rsid w:val="37E16F03"/>
    <w:rsid w:val="37F53A3B"/>
    <w:rsid w:val="389B6C89"/>
    <w:rsid w:val="38D469F0"/>
    <w:rsid w:val="39627CCD"/>
    <w:rsid w:val="397BAF1F"/>
    <w:rsid w:val="3AB79AF3"/>
    <w:rsid w:val="3AE834C0"/>
    <w:rsid w:val="3B7EF35A"/>
    <w:rsid w:val="3B9FDB6C"/>
    <w:rsid w:val="3BF5BC2F"/>
    <w:rsid w:val="3CEBA265"/>
    <w:rsid w:val="3D98207C"/>
    <w:rsid w:val="3DDE0AF1"/>
    <w:rsid w:val="3DEE7CF3"/>
    <w:rsid w:val="3E740A63"/>
    <w:rsid w:val="3E78745D"/>
    <w:rsid w:val="3EE17838"/>
    <w:rsid w:val="3F55381A"/>
    <w:rsid w:val="3F7F7599"/>
    <w:rsid w:val="3FF4CAE0"/>
    <w:rsid w:val="3FF7B227"/>
    <w:rsid w:val="42F56341"/>
    <w:rsid w:val="44E268DA"/>
    <w:rsid w:val="450D13D7"/>
    <w:rsid w:val="452F78E8"/>
    <w:rsid w:val="45506656"/>
    <w:rsid w:val="46405B25"/>
    <w:rsid w:val="46911EDD"/>
    <w:rsid w:val="476E221E"/>
    <w:rsid w:val="486A6C7A"/>
    <w:rsid w:val="494F67AB"/>
    <w:rsid w:val="4A627F82"/>
    <w:rsid w:val="4A6A13C3"/>
    <w:rsid w:val="4B0E749A"/>
    <w:rsid w:val="4B2477C4"/>
    <w:rsid w:val="4B4F25DA"/>
    <w:rsid w:val="4B8D6271"/>
    <w:rsid w:val="4BE068DB"/>
    <w:rsid w:val="4D577224"/>
    <w:rsid w:val="4DBF1CEB"/>
    <w:rsid w:val="4DF0007C"/>
    <w:rsid w:val="4DFA480C"/>
    <w:rsid w:val="4E6B74B7"/>
    <w:rsid w:val="4EAB630A"/>
    <w:rsid w:val="4ECE2238"/>
    <w:rsid w:val="4F6C798B"/>
    <w:rsid w:val="4F833267"/>
    <w:rsid w:val="4FE9BD67"/>
    <w:rsid w:val="4FFB052F"/>
    <w:rsid w:val="537E6D0A"/>
    <w:rsid w:val="53F74C96"/>
    <w:rsid w:val="542E520F"/>
    <w:rsid w:val="55170BA8"/>
    <w:rsid w:val="553218C9"/>
    <w:rsid w:val="55456CB4"/>
    <w:rsid w:val="567E1AA5"/>
    <w:rsid w:val="56E47B74"/>
    <w:rsid w:val="57175D52"/>
    <w:rsid w:val="57BD3DD4"/>
    <w:rsid w:val="57F8000E"/>
    <w:rsid w:val="5AF92295"/>
    <w:rsid w:val="5B250254"/>
    <w:rsid w:val="5BAA7871"/>
    <w:rsid w:val="5BDD79E6"/>
    <w:rsid w:val="5BF561CA"/>
    <w:rsid w:val="5BFF5DFC"/>
    <w:rsid w:val="5C0A47B4"/>
    <w:rsid w:val="5CD71FC4"/>
    <w:rsid w:val="5D1F11B5"/>
    <w:rsid w:val="5D695134"/>
    <w:rsid w:val="5DAE1B18"/>
    <w:rsid w:val="5DE7D9E5"/>
    <w:rsid w:val="5E355B65"/>
    <w:rsid w:val="5ECEC941"/>
    <w:rsid w:val="5F5C70D4"/>
    <w:rsid w:val="5FBF9FF3"/>
    <w:rsid w:val="5FCD4E2C"/>
    <w:rsid w:val="5FEF394A"/>
    <w:rsid w:val="5FF67715"/>
    <w:rsid w:val="61917F48"/>
    <w:rsid w:val="61C3343B"/>
    <w:rsid w:val="61DC0375"/>
    <w:rsid w:val="62141EE8"/>
    <w:rsid w:val="62BF3928"/>
    <w:rsid w:val="63B3701E"/>
    <w:rsid w:val="647F5392"/>
    <w:rsid w:val="65E66580"/>
    <w:rsid w:val="664B1D71"/>
    <w:rsid w:val="664B4E8E"/>
    <w:rsid w:val="67277B67"/>
    <w:rsid w:val="67AA3209"/>
    <w:rsid w:val="698D0931"/>
    <w:rsid w:val="6A1C198C"/>
    <w:rsid w:val="6A7FE5F3"/>
    <w:rsid w:val="6AF05745"/>
    <w:rsid w:val="6B053271"/>
    <w:rsid w:val="6B777044"/>
    <w:rsid w:val="6BDD78B3"/>
    <w:rsid w:val="6C4A05C8"/>
    <w:rsid w:val="6C7A3290"/>
    <w:rsid w:val="6C8742B8"/>
    <w:rsid w:val="6DBF5E93"/>
    <w:rsid w:val="6DFF077E"/>
    <w:rsid w:val="6E714EF0"/>
    <w:rsid w:val="6E7E3605"/>
    <w:rsid w:val="6E7F06C0"/>
    <w:rsid w:val="6E7FDCC7"/>
    <w:rsid w:val="6ED6A62E"/>
    <w:rsid w:val="6EE00B15"/>
    <w:rsid w:val="6F3B6306"/>
    <w:rsid w:val="6F6FB3EB"/>
    <w:rsid w:val="6F8731EA"/>
    <w:rsid w:val="6FCE6052"/>
    <w:rsid w:val="6FD57C00"/>
    <w:rsid w:val="6FEFFFD8"/>
    <w:rsid w:val="6FF5CC65"/>
    <w:rsid w:val="6FFB47EC"/>
    <w:rsid w:val="6FFF034A"/>
    <w:rsid w:val="70484440"/>
    <w:rsid w:val="712A28F1"/>
    <w:rsid w:val="715C0E4B"/>
    <w:rsid w:val="71992E7C"/>
    <w:rsid w:val="720C4469"/>
    <w:rsid w:val="72233669"/>
    <w:rsid w:val="72734D90"/>
    <w:rsid w:val="73160E6D"/>
    <w:rsid w:val="7332FE48"/>
    <w:rsid w:val="733A72D5"/>
    <w:rsid w:val="734D529E"/>
    <w:rsid w:val="736F5497"/>
    <w:rsid w:val="73AB61DA"/>
    <w:rsid w:val="73AD73D5"/>
    <w:rsid w:val="73B6EB34"/>
    <w:rsid w:val="73FA497D"/>
    <w:rsid w:val="744731E5"/>
    <w:rsid w:val="74BBD01D"/>
    <w:rsid w:val="74ED5379"/>
    <w:rsid w:val="75DEEEC2"/>
    <w:rsid w:val="75E32345"/>
    <w:rsid w:val="76E3355F"/>
    <w:rsid w:val="76FF5125"/>
    <w:rsid w:val="77000835"/>
    <w:rsid w:val="776F6FFA"/>
    <w:rsid w:val="778769C8"/>
    <w:rsid w:val="77A75DCA"/>
    <w:rsid w:val="77D9530E"/>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D823D52"/>
    <w:rsid w:val="7DCC76C3"/>
    <w:rsid w:val="7E3E411D"/>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pPr>
      <w:widowControl w:val="0"/>
      <w:jc w:val="both"/>
      <w:textAlignment w:val="baseline"/>
    </w:pPr>
    <w:rPr>
      <w:rFonts w:ascii="Times New Roman" w:hAnsi="Times New Roman" w:eastAsia="宋体" w:cs="Times New Roman"/>
      <w:kern w:val="2"/>
      <w:sz w:val="21"/>
      <w:szCs w:val="24"/>
      <w:lang w:val="en-US" w:eastAsia="zh-CN" w:bidi="ar-SA"/>
    </w:r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next w:val="8"/>
    <w:qFormat/>
    <w:uiPriority w:val="0"/>
    <w:pPr>
      <w:spacing w:after="120"/>
      <w:ind w:leftChars="200"/>
    </w:pPr>
    <w:rPr>
      <w:rFonts w:ascii="仿宋_GB2312"/>
      <w:szCs w:val="32"/>
    </w:rPr>
  </w:style>
  <w:style w:type="paragraph" w:styleId="8">
    <w:name w:val="Body Text First Indent 2"/>
    <w:basedOn w:val="7"/>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Char"/>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7"/>
    <w:link w:val="3"/>
    <w:qFormat/>
    <w:uiPriority w:val="9"/>
    <w:rPr>
      <w:rFonts w:ascii="Times New Roman" w:hAnsi="Times New Roman"/>
      <w:b/>
      <w:bCs/>
      <w:kern w:val="44"/>
      <w:sz w:val="44"/>
      <w:szCs w:val="44"/>
    </w:rPr>
  </w:style>
  <w:style w:type="character" w:customStyle="1" w:styleId="30">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10"/>
    <w:semiHidden/>
    <w:qFormat/>
    <w:uiPriority w:val="99"/>
    <w:rPr>
      <w:rFonts w:ascii="Times New Roman" w:hAnsi="Times New Roman"/>
      <w:kern w:val="2"/>
      <w:sz w:val="18"/>
      <w:szCs w:val="18"/>
    </w:rPr>
  </w:style>
  <w:style w:type="character" w:customStyle="1" w:styleId="33">
    <w:name w:val="标题 3 Char"/>
    <w:basedOn w:val="17"/>
    <w:link w:val="5"/>
    <w:qFormat/>
    <w:uiPriority w:val="9"/>
    <w:rPr>
      <w:rFonts w:ascii="Times New Roman" w:hAnsi="Times New Roman"/>
      <w:b/>
      <w:bCs/>
      <w:kern w:val="2"/>
      <w:sz w:val="32"/>
      <w:szCs w:val="32"/>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9223</Words>
  <Characters>10284</Characters>
  <Lines>61</Lines>
  <Paragraphs>17</Paragraphs>
  <TotalTime>1</TotalTime>
  <ScaleCrop>false</ScaleCrop>
  <LinksUpToDate>false</LinksUpToDate>
  <CharactersWithSpaces>10399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没有名字</cp:lastModifiedBy>
  <cp:lastPrinted>2025-08-06T17:34:00Z</cp:lastPrinted>
  <dcterms:modified xsi:type="dcterms:W3CDTF">2025-10-22T11:31:57Z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655E3023F50C4E8CAFFC6ACB2046AE5D_13</vt:lpwstr>
  </property>
  <property fmtid="{D5CDD505-2E9C-101B-9397-08002B2CF9AE}" pid="4" name="KSOTemplateDocerSaveRecord">
    <vt:lpwstr>eyJoZGlkIjoiZGQyZjk2MTZlZmI1ZjVmM2Q3YTg4Y2E5ZmJlNDBjOWUiLCJ1c2VySWQiOiI1Njk0ODU1MTAifQ==</vt:lpwstr>
  </property>
</Properties>
</file>