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eastAsia" w:ascii="Times New Roman" w:hAnsi="Times New Roman" w:eastAsia="方正小标宋简体" w:cs="Times New Roman"/>
          <w:color w:val="auto"/>
          <w:kern w:val="2"/>
          <w:sz w:val="72"/>
          <w:szCs w:val="72"/>
          <w:highlight w:val="none"/>
          <w:lang w:val="en-US" w:eastAsia="zh-CN" w:bidi="ar-SA"/>
        </w:rPr>
      </w:pPr>
      <w:bookmarkStart w:id="0" w:name="_Toc15377193"/>
      <w:bookmarkStart w:id="1" w:name="_Toc15396475"/>
      <w:bookmarkStart w:id="2" w:name="_Toc15377425"/>
      <w:bookmarkStart w:id="3" w:name="_Toc15378441"/>
      <w:bookmarkStart w:id="4" w:name="_Toc15396597"/>
      <w:bookmarkStart w:id="5" w:name="_Toc15306267"/>
    </w:p>
    <w:p>
      <w:pPr>
        <w:pStyle w:val="2"/>
        <w:rPr>
          <w:rFonts w:hint="eastAsia" w:ascii="Times New Roman" w:hAnsi="Times New Roman" w:eastAsia="方正小标宋简体" w:cs="Times New Roman"/>
          <w:color w:val="auto"/>
          <w:kern w:val="2"/>
          <w:sz w:val="72"/>
          <w:szCs w:val="72"/>
          <w:highlight w:val="none"/>
          <w:lang w:val="en-US" w:eastAsia="zh-CN" w:bidi="ar-SA"/>
        </w:rPr>
      </w:pPr>
    </w:p>
    <w:p>
      <w:pPr>
        <w:pStyle w:val="2"/>
        <w:rPr>
          <w:rFonts w:hint="eastAsia" w:ascii="Times New Roman" w:hAnsi="Times New Roman" w:eastAsia="方正小标宋简体" w:cs="Times New Roman"/>
          <w:color w:val="auto"/>
          <w:kern w:val="2"/>
          <w:sz w:val="72"/>
          <w:szCs w:val="72"/>
          <w:highlight w:val="none"/>
          <w:lang w:val="en-US" w:eastAsia="zh-CN" w:bidi="ar-SA"/>
        </w:rPr>
      </w:pPr>
    </w:p>
    <w:p>
      <w:pPr>
        <w:pStyle w:val="2"/>
        <w:jc w:val="center"/>
        <w:rPr>
          <w:rFonts w:hint="eastAsia" w:ascii="Times New Roman" w:hAnsi="Times New Roman" w:eastAsia="方正小标宋简体" w:cs="Times New Roman"/>
          <w:color w:val="auto"/>
          <w:kern w:val="2"/>
          <w:sz w:val="44"/>
          <w:szCs w:val="44"/>
          <w:highlight w:val="none"/>
          <w:lang w:val="en-US" w:eastAsia="zh-CN" w:bidi="ar-SA"/>
        </w:rPr>
      </w:pPr>
      <w:r>
        <w:rPr>
          <w:rFonts w:hint="eastAsia" w:ascii="Times New Roman" w:hAnsi="Times New Roman" w:eastAsia="方正小标宋简体" w:cs="Times New Roman"/>
          <w:color w:val="auto"/>
          <w:kern w:val="2"/>
          <w:sz w:val="44"/>
          <w:szCs w:val="44"/>
          <w:highlight w:val="none"/>
          <w:lang w:val="en-US" w:eastAsia="zh-CN" w:bidi="ar-SA"/>
        </w:rPr>
        <w:t>2024年度省级部门（单位）决算</w:t>
      </w:r>
    </w:p>
    <w:p>
      <w:pPr>
        <w:pStyle w:val="2"/>
        <w:jc w:val="center"/>
        <w:rPr>
          <w:rFonts w:hint="default" w:ascii="Times New Roman" w:hAnsi="Times New Roman" w:eastAsia="方正小标宋简体" w:cs="Times New Roman"/>
          <w:color w:val="auto"/>
          <w:kern w:val="2"/>
          <w:sz w:val="44"/>
          <w:szCs w:val="44"/>
          <w:highlight w:val="none"/>
          <w:lang w:val="en-US" w:eastAsia="zh-CN" w:bidi="ar-SA"/>
        </w:rPr>
      </w:pPr>
      <w:r>
        <w:rPr>
          <w:rFonts w:hint="eastAsia" w:ascii="Times New Roman" w:hAnsi="Times New Roman" w:eastAsia="方正小标宋简体" w:cs="Times New Roman"/>
          <w:color w:val="auto"/>
          <w:kern w:val="2"/>
          <w:sz w:val="44"/>
          <w:szCs w:val="44"/>
          <w:highlight w:val="none"/>
          <w:lang w:val="en-US" w:eastAsia="zh-CN" w:bidi="ar-SA"/>
        </w:rPr>
        <w:t>公开文字说明范本</w:t>
      </w:r>
    </w:p>
    <w:p>
      <w:pPr>
        <w:spacing w:line="600" w:lineRule="exact"/>
        <w:jc w:val="center"/>
        <w:outlineLvl w:val="0"/>
        <w:rPr>
          <w:rFonts w:ascii="Times New Roman" w:hAnsi="Times New Roman" w:eastAsia="方正小标宋简体"/>
          <w:color w:val="auto"/>
          <w:sz w:val="72"/>
          <w:szCs w:val="72"/>
          <w:highlight w:val="none"/>
        </w:rPr>
      </w:pPr>
    </w:p>
    <w:p>
      <w:pPr>
        <w:pStyle w:val="19"/>
        <w:rPr>
          <w:rFonts w:ascii="Times New Roman" w:hAnsi="Times New Roman"/>
        </w:rPr>
        <w:sectPr>
          <w:headerReference r:id="rId3" w:type="default"/>
          <w:footerReference r:id="rId4" w:type="default"/>
          <w:pgSz w:w="11906" w:h="16838"/>
          <w:pgMar w:top="1440" w:right="1800" w:bottom="1440" w:left="1800" w:header="851" w:footer="992" w:gutter="0"/>
          <w:pgNumType w:fmt="numberInDash" w:start="1"/>
          <w:cols w:space="425" w:num="1"/>
          <w:titlePg/>
          <w:docGrid w:type="lines" w:linePitch="312" w:charSpace="0"/>
        </w:sectPr>
      </w:pPr>
    </w:p>
    <w:p>
      <w:pPr>
        <w:rPr>
          <w:rFonts w:ascii="Times New Roman" w:hAnsi="Times New Roman"/>
        </w:rPr>
      </w:pPr>
    </w:p>
    <w:p>
      <w:pPr>
        <w:pStyle w:val="2"/>
        <w:jc w:val="center"/>
        <w:rPr>
          <w:rFonts w:hint="eastAsia" w:ascii="Times New Roman" w:hAnsi="Times New Roman" w:eastAsia="方正小标宋简体" w:cs="Times New Roman"/>
          <w:color w:val="auto"/>
          <w:kern w:val="2"/>
          <w:sz w:val="44"/>
          <w:szCs w:val="44"/>
          <w:highlight w:val="none"/>
          <w:lang w:val="en-US" w:eastAsia="zh-CN" w:bidi="ar-SA"/>
        </w:rPr>
      </w:pPr>
    </w:p>
    <w:p>
      <w:pPr>
        <w:pStyle w:val="2"/>
        <w:jc w:val="center"/>
        <w:rPr>
          <w:rFonts w:hint="eastAsia" w:ascii="Times New Roman" w:hAnsi="Times New Roman" w:eastAsia="方正小标宋简体" w:cs="Times New Roman"/>
          <w:color w:val="auto"/>
          <w:kern w:val="2"/>
          <w:sz w:val="44"/>
          <w:szCs w:val="44"/>
          <w:highlight w:val="none"/>
          <w:lang w:val="en-US" w:eastAsia="zh-CN" w:bidi="ar-SA"/>
        </w:rPr>
      </w:pPr>
    </w:p>
    <w:p>
      <w:pPr>
        <w:pStyle w:val="2"/>
        <w:jc w:val="center"/>
        <w:rPr>
          <w:rFonts w:hint="eastAsia" w:ascii="Times New Roman" w:hAnsi="Times New Roman" w:eastAsia="方正小标宋简体" w:cs="Times New Roman"/>
          <w:color w:val="auto"/>
          <w:kern w:val="2"/>
          <w:sz w:val="44"/>
          <w:szCs w:val="44"/>
          <w:highlight w:val="none"/>
          <w:lang w:val="en-US" w:eastAsia="zh-CN" w:bidi="ar-SA"/>
        </w:rPr>
      </w:pPr>
    </w:p>
    <w:p>
      <w:pPr>
        <w:pStyle w:val="2"/>
        <w:jc w:val="center"/>
        <w:rPr>
          <w:rFonts w:hint="eastAsia" w:ascii="Times New Roman" w:hAnsi="Times New Roman" w:eastAsia="方正小标宋简体" w:cs="Times New Roman"/>
          <w:color w:val="auto"/>
          <w:kern w:val="2"/>
          <w:sz w:val="44"/>
          <w:szCs w:val="44"/>
          <w:highlight w:val="none"/>
          <w:lang w:val="en-US" w:eastAsia="zh-CN" w:bidi="ar-SA"/>
        </w:rPr>
      </w:pPr>
    </w:p>
    <w:bookmarkEnd w:id="0"/>
    <w:bookmarkEnd w:id="1"/>
    <w:bookmarkEnd w:id="2"/>
    <w:bookmarkEnd w:id="3"/>
    <w:bookmarkEnd w:id="4"/>
    <w:p>
      <w:pPr>
        <w:pStyle w:val="2"/>
        <w:jc w:val="center"/>
        <w:rPr>
          <w:rFonts w:hint="eastAsia" w:ascii="Times New Roman" w:hAnsi="Times New Roman" w:eastAsia="方正小标宋简体" w:cs="Times New Roman"/>
          <w:color w:val="auto"/>
          <w:kern w:val="2"/>
          <w:sz w:val="44"/>
          <w:szCs w:val="44"/>
          <w:highlight w:val="none"/>
          <w:lang w:val="en-US" w:eastAsia="zh-CN" w:bidi="ar-SA"/>
        </w:rPr>
      </w:pPr>
      <w:bookmarkStart w:id="6" w:name="_Toc15377194"/>
      <w:bookmarkStart w:id="7" w:name="_Toc15378442"/>
      <w:bookmarkStart w:id="8" w:name="_Toc15396598"/>
      <w:bookmarkStart w:id="9" w:name="_Toc15377426"/>
      <w:bookmarkStart w:id="10" w:name="_Toc15396476"/>
      <w:r>
        <w:rPr>
          <w:rFonts w:hint="eastAsia" w:ascii="Times New Roman" w:hAnsi="Times New Roman" w:eastAsia="方正小标宋简体" w:cs="Times New Roman"/>
          <w:color w:val="auto"/>
          <w:kern w:val="2"/>
          <w:sz w:val="44"/>
          <w:szCs w:val="44"/>
          <w:highlight w:val="none"/>
          <w:lang w:val="en-US" w:eastAsia="zh-CN" w:bidi="ar-SA"/>
        </w:rPr>
        <w:t>2024年度四川省</w:t>
      </w:r>
      <w:bookmarkEnd w:id="5"/>
      <w:bookmarkStart w:id="11" w:name="_Toc15306268"/>
      <w:r>
        <w:rPr>
          <w:rFonts w:hint="eastAsia" w:ascii="Times New Roman" w:eastAsia="方正小标宋简体" w:cs="Times New Roman"/>
          <w:color w:val="auto"/>
          <w:kern w:val="2"/>
          <w:sz w:val="44"/>
          <w:szCs w:val="44"/>
          <w:highlight w:val="none"/>
          <w:lang w:val="en-US" w:eastAsia="zh-CN" w:bidi="ar-SA"/>
        </w:rPr>
        <w:t>乐山市五通桥区住房保障和房地产事务中心</w:t>
      </w:r>
      <w:r>
        <w:rPr>
          <w:rFonts w:hint="eastAsia" w:ascii="Times New Roman" w:hAnsi="Times New Roman" w:eastAsia="方正小标宋简体" w:cs="Times New Roman"/>
          <w:color w:val="auto"/>
          <w:kern w:val="2"/>
          <w:sz w:val="44"/>
          <w:szCs w:val="44"/>
          <w:highlight w:val="none"/>
          <w:lang w:val="en-US" w:eastAsia="zh-CN" w:bidi="ar-SA"/>
        </w:rPr>
        <w:t>部门决算</w:t>
      </w:r>
      <w:bookmarkEnd w:id="6"/>
      <w:bookmarkEnd w:id="7"/>
      <w:bookmarkEnd w:id="8"/>
      <w:bookmarkEnd w:id="9"/>
      <w:bookmarkEnd w:id="10"/>
      <w:bookmarkEnd w:id="11"/>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lang w:val="en-US" w:eastAsia="zh-CN"/>
        </w:rPr>
        <w:t>（注：</w:t>
      </w:r>
      <w:r>
        <w:rPr>
          <w:rFonts w:hint="eastAsia" w:eastAsia="仿宋_GB2312" w:cs="仿宋_GB2312"/>
          <w:color w:val="auto"/>
          <w:sz w:val="32"/>
          <w:szCs w:val="32"/>
          <w:highlight w:val="none"/>
          <w:lang w:val="en-US" w:eastAsia="zh-CN"/>
        </w:rPr>
        <w:t>以下为部门公开范本。单位公开内容应参照部门公开内容和报表格式，并与部门公开内容做好衔接）</w:t>
      </w:r>
    </w:p>
    <w:p>
      <w:pPr>
        <w:widowControl/>
        <w:jc w:val="center"/>
        <w:rPr>
          <w:rFonts w:ascii="Times New Roman" w:hAnsi="Times New Roman" w:eastAsia="黑体"/>
          <w:color w:val="auto"/>
          <w:sz w:val="48"/>
          <w:szCs w:val="48"/>
          <w:highlight w:val="none"/>
        </w:rPr>
      </w:pPr>
      <w:r>
        <w:rPr>
          <w:rFonts w:ascii="Times New Roman" w:hAnsi="Times New Roman" w:eastAsia="方正小标宋简体"/>
          <w:color w:val="auto"/>
          <w:sz w:val="36"/>
          <w:szCs w:val="36"/>
          <w:highlight w:val="none"/>
        </w:rPr>
        <w:br w:type="page"/>
      </w:r>
      <w:r>
        <w:rPr>
          <w:rFonts w:hint="eastAsia" w:ascii="Times New Roman" w:hAnsi="Times New Roman" w:eastAsia="黑体"/>
          <w:color w:val="auto"/>
          <w:sz w:val="48"/>
          <w:szCs w:val="48"/>
          <w:highlight w:val="none"/>
        </w:rPr>
        <w:t>目录</w:t>
      </w:r>
    </w:p>
    <w:p>
      <w:pPr>
        <w:widowControl/>
        <w:jc w:val="center"/>
        <w:rPr>
          <w:rFonts w:ascii="Times New Roman" w:hAnsi="Times New Roman" w:eastAsia="黑体" w:cstheme="minorBidi"/>
          <w:color w:val="auto"/>
          <w:sz w:val="28"/>
          <w:szCs w:val="28"/>
          <w:highlight w:val="none"/>
        </w:rPr>
      </w:pPr>
    </w:p>
    <w:p>
      <w:pPr>
        <w:pStyle w:val="12"/>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公开时间：20</w:t>
      </w:r>
      <w:r>
        <w:rPr>
          <w:rFonts w:hint="eastAsia" w:ascii="Times New Roman" w:hAnsi="Times New Roman" w:eastAsia="仿宋_GB2312" w:cs="仿宋_GB2312"/>
          <w:color w:val="auto"/>
          <w:sz w:val="32"/>
          <w:szCs w:val="32"/>
          <w:highlight w:val="none"/>
          <w:lang w:val="en-US" w:eastAsia="zh-CN"/>
        </w:rPr>
        <w:t>24</w:t>
      </w:r>
      <w:r>
        <w:rPr>
          <w:rFonts w:hint="eastAsia" w:ascii="Times New Roman" w:hAnsi="Times New Roman" w:eastAsia="仿宋_GB2312" w:cs="仿宋_GB2312"/>
          <w:color w:val="auto"/>
          <w:sz w:val="32"/>
          <w:szCs w:val="32"/>
          <w:highlight w:val="none"/>
        </w:rPr>
        <w:t>年</w:t>
      </w:r>
      <w:r>
        <w:rPr>
          <w:rFonts w:hint="eastAsia" w:ascii="Times New Roman" w:hAnsi="Times New Roman" w:eastAsia="仿宋_GB2312" w:cs="仿宋_GB2312"/>
          <w:color w:val="auto"/>
          <w:sz w:val="32"/>
          <w:szCs w:val="32"/>
          <w:highlight w:val="none"/>
          <w:lang w:val="en-US" w:eastAsia="zh-CN"/>
        </w:rPr>
        <w:t xml:space="preserve"> 10 </w:t>
      </w:r>
      <w:r>
        <w:rPr>
          <w:rFonts w:hint="eastAsia" w:ascii="Times New Roman" w:hAnsi="Times New Roman" w:eastAsia="仿宋_GB2312" w:cs="仿宋_GB2312"/>
          <w:color w:val="auto"/>
          <w:sz w:val="32"/>
          <w:szCs w:val="32"/>
          <w:highlight w:val="none"/>
        </w:rPr>
        <w:t>月</w:t>
      </w:r>
      <w:r>
        <w:rPr>
          <w:rFonts w:hint="eastAsia" w:ascii="Times New Roman" w:hAnsi="Times New Roman" w:eastAsia="仿宋_GB2312" w:cs="仿宋_GB2312"/>
          <w:color w:val="auto"/>
          <w:sz w:val="32"/>
          <w:szCs w:val="32"/>
          <w:highlight w:val="none"/>
          <w:lang w:val="en-US" w:eastAsia="zh-CN"/>
        </w:rPr>
        <w:t xml:space="preserve"> 13 </w:t>
      </w:r>
      <w:r>
        <w:rPr>
          <w:rFonts w:hint="eastAsia" w:ascii="Times New Roman" w:hAnsi="Times New Roman" w:eastAsia="仿宋_GB2312" w:cs="仿宋_GB2312"/>
          <w:color w:val="auto"/>
          <w:sz w:val="32"/>
          <w:szCs w:val="32"/>
          <w:highlight w:val="none"/>
        </w:rPr>
        <w:t>日</w:t>
      </w:r>
    </w:p>
    <w:p>
      <w:pPr>
        <w:rPr>
          <w:rFonts w:ascii="Times New Roman" w:hAnsi="Times New Roman"/>
          <w:color w:val="auto"/>
          <w:highlight w:val="none"/>
        </w:rPr>
      </w:pPr>
    </w:p>
    <w:p>
      <w:pPr>
        <w:pStyle w:val="12"/>
        <w:keepNext w:val="0"/>
        <w:keepLines w:val="0"/>
        <w:pageBreakBefore w:val="0"/>
        <w:kinsoku/>
        <w:wordWrap/>
        <w:overflowPunct/>
        <w:topLinePunct w:val="0"/>
        <w:autoSpaceDE/>
        <w:autoSpaceDN/>
        <w:bidi w:val="0"/>
        <w:adjustRightInd w:val="0"/>
        <w:snapToGrid w:val="0"/>
        <w:spacing w:before="0" w:line="560" w:lineRule="exact"/>
        <w:jc w:val="left"/>
        <w:textAlignment w:val="auto"/>
        <w:rPr>
          <w:rFonts w:hint="eastAsia" w:ascii="Times New Roman" w:hAnsi="Times New Roman" w:eastAsia="黑体" w:cs="黑体"/>
          <w:color w:val="auto"/>
          <w:sz w:val="32"/>
          <w:szCs w:val="32"/>
          <w:highlight w:val="none"/>
        </w:rPr>
      </w:pPr>
      <w:r>
        <w:rPr>
          <w:rFonts w:hint="eastAsia" w:ascii="Times New Roman" w:hAnsi="Times New Roman" w:eastAsia="黑体" w:cs="黑体"/>
          <w:color w:val="auto"/>
          <w:sz w:val="32"/>
          <w:szCs w:val="32"/>
          <w:highlight w:val="none"/>
        </w:rPr>
        <w:t>第一部分 部门概况</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一、</w:t>
      </w:r>
      <w:r>
        <w:rPr>
          <w:rFonts w:hint="eastAsia" w:ascii="Times New Roman" w:hAnsi="Times New Roman" w:eastAsia="仿宋_GB2312" w:cs="仿宋_GB2312"/>
          <w:color w:val="auto"/>
          <w:sz w:val="32"/>
          <w:szCs w:val="32"/>
          <w:highlight w:val="none"/>
          <w:lang w:eastAsia="zh-CN"/>
        </w:rPr>
        <w:t>部门职责</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二、机构设置</w:t>
      </w:r>
    </w:p>
    <w:p>
      <w:pPr>
        <w:pStyle w:val="12"/>
        <w:keepNext w:val="0"/>
        <w:keepLines w:val="0"/>
        <w:pageBreakBefore w:val="0"/>
        <w:kinsoku/>
        <w:wordWrap/>
        <w:overflowPunct/>
        <w:topLinePunct w:val="0"/>
        <w:autoSpaceDE/>
        <w:autoSpaceDN/>
        <w:bidi w:val="0"/>
        <w:adjustRightInd w:val="0"/>
        <w:snapToGrid w:val="0"/>
        <w:spacing w:before="0" w:line="560" w:lineRule="exact"/>
        <w:jc w:val="left"/>
        <w:textAlignment w:val="auto"/>
        <w:rPr>
          <w:rFonts w:hint="eastAsia" w:ascii="Times New Roman" w:hAnsi="Times New Roman" w:eastAsia="黑体" w:cs="黑体"/>
          <w:color w:val="auto"/>
          <w:sz w:val="32"/>
          <w:szCs w:val="32"/>
          <w:highlight w:val="none"/>
        </w:rPr>
      </w:pPr>
      <w:r>
        <w:rPr>
          <w:rFonts w:hint="eastAsia" w:ascii="Times New Roman" w:hAnsi="Times New Roman" w:eastAsia="黑体" w:cs="黑体"/>
          <w:color w:val="auto"/>
          <w:sz w:val="32"/>
          <w:szCs w:val="32"/>
          <w:highlight w:val="none"/>
        </w:rPr>
        <w:t>第二部分</w:t>
      </w:r>
      <w:r>
        <w:rPr>
          <w:rFonts w:hint="eastAsia" w:ascii="Times New Roman" w:hAnsi="Times New Roman" w:eastAsia="黑体" w:cs="黑体"/>
          <w:color w:val="auto"/>
          <w:sz w:val="32"/>
          <w:szCs w:val="32"/>
          <w:highlight w:val="none"/>
          <w:lang w:val="en-US" w:eastAsia="zh-CN"/>
        </w:rPr>
        <w:t xml:space="preserve"> 2024年度</w:t>
      </w:r>
      <w:r>
        <w:rPr>
          <w:rFonts w:hint="eastAsia" w:ascii="Times New Roman" w:hAnsi="Times New Roman" w:eastAsia="黑体" w:cs="黑体"/>
          <w:color w:val="auto"/>
          <w:sz w:val="32"/>
          <w:szCs w:val="32"/>
          <w:highlight w:val="none"/>
        </w:rPr>
        <w:t>部门决算情况说明</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一、收入支出决算总体情况说明</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二、收入决算情况说明</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三、支出决算情况说明</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四、财政拨款收入支出决算总体情况说明</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五、一般公共预算财政拨款支出决算情况说明</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六、一般公共预算财政拨款基本支出决算情况说明</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七、财政拨款</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highlight w:val="none"/>
        </w:rPr>
        <w:t>三公”经费支出决算情况说明</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八、政府性基金预算支出决算情况说明</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九、</w:t>
      </w:r>
      <w:r>
        <w:rPr>
          <w:rFonts w:hint="eastAsia" w:ascii="Times New Roman" w:hAnsi="Times New Roman" w:eastAsia="仿宋_GB2312" w:cs="仿宋_GB2312"/>
          <w:color w:val="auto"/>
          <w:sz w:val="32"/>
          <w:szCs w:val="32"/>
          <w:highlight w:val="none"/>
          <w:lang w:eastAsia="zh-CN"/>
        </w:rPr>
        <w:t>国</w:t>
      </w:r>
      <w:r>
        <w:rPr>
          <w:rFonts w:hint="eastAsia" w:ascii="Times New Roman" w:hAnsi="Times New Roman" w:eastAsia="仿宋_GB2312" w:cs="仿宋_GB2312"/>
          <w:color w:val="auto"/>
          <w:sz w:val="32"/>
          <w:szCs w:val="32"/>
          <w:highlight w:val="none"/>
        </w:rPr>
        <w:t>有资本经营预算支出决算情况说明</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lang w:eastAsia="zh-CN"/>
        </w:rPr>
        <w:t>十</w:t>
      </w:r>
      <w:r>
        <w:rPr>
          <w:rFonts w:hint="eastAsia" w:ascii="Times New Roman" w:hAnsi="Times New Roman" w:eastAsia="仿宋_GB2312" w:cs="仿宋_GB2312"/>
          <w:color w:val="auto"/>
          <w:sz w:val="32"/>
          <w:szCs w:val="32"/>
          <w:highlight w:val="none"/>
        </w:rPr>
        <w:t>、其他重要事项的情况说明</w:t>
      </w:r>
    </w:p>
    <w:p>
      <w:pPr>
        <w:pStyle w:val="12"/>
        <w:keepNext w:val="0"/>
        <w:keepLines w:val="0"/>
        <w:pageBreakBefore w:val="0"/>
        <w:kinsoku/>
        <w:wordWrap/>
        <w:overflowPunct/>
        <w:topLinePunct w:val="0"/>
        <w:autoSpaceDE/>
        <w:autoSpaceDN/>
        <w:bidi w:val="0"/>
        <w:adjustRightInd w:val="0"/>
        <w:snapToGrid w:val="0"/>
        <w:spacing w:before="0" w:line="560" w:lineRule="exact"/>
        <w:jc w:val="left"/>
        <w:textAlignment w:val="auto"/>
        <w:rPr>
          <w:rFonts w:hint="eastAsia" w:ascii="Times New Roman" w:hAnsi="Times New Roman" w:eastAsia="黑体" w:cs="黑体"/>
          <w:color w:val="auto"/>
          <w:sz w:val="32"/>
          <w:szCs w:val="32"/>
          <w:highlight w:val="none"/>
        </w:rPr>
      </w:pPr>
      <w:r>
        <w:rPr>
          <w:rFonts w:hint="eastAsia" w:ascii="Times New Roman" w:hAnsi="Times New Roman" w:eastAsia="黑体" w:cs="黑体"/>
          <w:color w:val="auto"/>
          <w:sz w:val="32"/>
          <w:szCs w:val="32"/>
          <w:highlight w:val="none"/>
        </w:rPr>
        <w:t>第三部分 名词解释</w:t>
      </w:r>
    </w:p>
    <w:p>
      <w:pPr>
        <w:pStyle w:val="12"/>
        <w:keepNext w:val="0"/>
        <w:keepLines w:val="0"/>
        <w:pageBreakBefore w:val="0"/>
        <w:kinsoku/>
        <w:wordWrap/>
        <w:overflowPunct/>
        <w:topLinePunct w:val="0"/>
        <w:autoSpaceDE/>
        <w:autoSpaceDN/>
        <w:bidi w:val="0"/>
        <w:adjustRightInd w:val="0"/>
        <w:snapToGrid w:val="0"/>
        <w:spacing w:before="0" w:line="560" w:lineRule="exact"/>
        <w:jc w:val="left"/>
        <w:textAlignment w:val="auto"/>
        <w:rPr>
          <w:rFonts w:hint="eastAsia" w:ascii="Times New Roman" w:hAnsi="Times New Roman" w:eastAsia="黑体" w:cs="黑体"/>
          <w:color w:val="auto"/>
          <w:sz w:val="32"/>
          <w:szCs w:val="32"/>
          <w:highlight w:val="none"/>
        </w:rPr>
      </w:pPr>
      <w:r>
        <w:rPr>
          <w:rFonts w:hint="eastAsia" w:ascii="Times New Roman" w:hAnsi="Times New Roman" w:eastAsia="黑体" w:cs="黑体"/>
          <w:color w:val="auto"/>
          <w:sz w:val="32"/>
          <w:szCs w:val="32"/>
          <w:highlight w:val="none"/>
        </w:rPr>
        <w:t>第四部分 附件</w:t>
      </w:r>
    </w:p>
    <w:p>
      <w:pPr>
        <w:pStyle w:val="12"/>
        <w:keepNext w:val="0"/>
        <w:keepLines w:val="0"/>
        <w:pageBreakBefore w:val="0"/>
        <w:kinsoku/>
        <w:wordWrap/>
        <w:overflowPunct/>
        <w:topLinePunct w:val="0"/>
        <w:autoSpaceDE/>
        <w:autoSpaceDN/>
        <w:bidi w:val="0"/>
        <w:adjustRightInd w:val="0"/>
        <w:snapToGrid w:val="0"/>
        <w:spacing w:before="0" w:line="560" w:lineRule="exact"/>
        <w:jc w:val="left"/>
        <w:textAlignment w:val="auto"/>
        <w:rPr>
          <w:rFonts w:hint="eastAsia" w:ascii="Times New Roman" w:hAnsi="Times New Roman" w:eastAsia="黑体" w:cs="黑体"/>
          <w:color w:val="auto"/>
          <w:sz w:val="32"/>
          <w:szCs w:val="32"/>
          <w:highlight w:val="none"/>
        </w:rPr>
      </w:pPr>
      <w:r>
        <w:rPr>
          <w:rFonts w:hint="eastAsia" w:ascii="Times New Roman" w:hAnsi="Times New Roman" w:eastAsia="黑体" w:cs="黑体"/>
          <w:color w:val="auto"/>
          <w:sz w:val="32"/>
          <w:szCs w:val="32"/>
          <w:highlight w:val="none"/>
        </w:rPr>
        <w:t>第五部分 附表</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一、收入支出决算总表</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二、收入决算表</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三、支出决算表</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四、财政拨款收入支出决算总表</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五、财政拨款支出决算明细表</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六、一般公共预算财政拨款支出决算表</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七、一般公共预算财政拨款支出决算明细表</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八、一般公共预算财政拨款基本支出决算</w:t>
      </w:r>
      <w:r>
        <w:rPr>
          <w:rFonts w:hint="eastAsia" w:ascii="Times New Roman" w:hAnsi="Times New Roman" w:eastAsia="仿宋_GB2312" w:cs="仿宋_GB2312"/>
          <w:color w:val="auto"/>
          <w:sz w:val="32"/>
          <w:szCs w:val="32"/>
          <w:highlight w:val="none"/>
          <w:lang w:eastAsia="zh-CN"/>
        </w:rPr>
        <w:t>明细</w:t>
      </w:r>
      <w:r>
        <w:rPr>
          <w:rFonts w:hint="eastAsia" w:ascii="Times New Roman" w:hAnsi="Times New Roman" w:eastAsia="仿宋_GB2312" w:cs="仿宋_GB2312"/>
          <w:color w:val="auto"/>
          <w:sz w:val="32"/>
          <w:szCs w:val="32"/>
          <w:highlight w:val="none"/>
        </w:rPr>
        <w:t>表</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九、一般公共预算财政拨款项目支出决算表</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十、政府性基金预算财政拨款收入支出决算表</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十一、国有资本经营预算财政拨款收入支出决算表</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十二、</w:t>
      </w:r>
      <w:r>
        <w:rPr>
          <w:rFonts w:hint="eastAsia" w:ascii="Times New Roman" w:hAnsi="Times New Roman" w:eastAsia="仿宋_GB2312" w:cs="仿宋_GB2312"/>
          <w:color w:val="auto"/>
          <w:sz w:val="32"/>
          <w:szCs w:val="32"/>
          <w:highlight w:val="none"/>
          <w:lang w:val="en-US" w:eastAsia="zh-CN"/>
        </w:rPr>
        <w:t>国有资本经营预算财政拨款支出决算表</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十三、财政拨款“三公”经费支出决算表</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3" w:firstLineChars="200"/>
        <w:jc w:val="left"/>
        <w:textAlignment w:val="auto"/>
        <w:rPr>
          <w:rFonts w:hint="eastAsia" w:ascii="Times New Roman" w:hAnsi="Times New Roman" w:eastAsia="仿宋_GB2312" w:cs="仿宋_GB2312"/>
          <w:b/>
          <w:bCs/>
          <w:color w:val="auto"/>
          <w:sz w:val="32"/>
          <w:szCs w:val="32"/>
          <w:highlight w:val="none"/>
          <w:lang w:eastAsia="zh-CN"/>
        </w:rPr>
      </w:pPr>
      <w:r>
        <w:rPr>
          <w:rFonts w:hint="eastAsia" w:ascii="Times New Roman" w:hAnsi="Times New Roman" w:eastAsia="仿宋_GB2312" w:cs="仿宋_GB2312"/>
          <w:b/>
          <w:bCs/>
          <w:color w:val="auto"/>
          <w:sz w:val="32"/>
          <w:szCs w:val="32"/>
          <w:highlight w:val="none"/>
          <w:lang w:eastAsia="zh-CN"/>
        </w:rPr>
        <w:t>（</w:t>
      </w:r>
      <w:r>
        <w:rPr>
          <w:rFonts w:hint="eastAsia" w:ascii="Times New Roman" w:hAnsi="Times New Roman" w:eastAsia="仿宋_GB2312" w:cs="仿宋_GB2312"/>
          <w:b/>
          <w:bCs/>
          <w:color w:val="auto"/>
          <w:sz w:val="32"/>
          <w:szCs w:val="32"/>
          <w:highlight w:val="none"/>
        </w:rPr>
        <w:t>注：请部门根据实际注明页码</w:t>
      </w:r>
      <w:r>
        <w:rPr>
          <w:rFonts w:hint="eastAsia" w:ascii="Times New Roman" w:hAnsi="Times New Roman" w:eastAsia="仿宋_GB2312" w:cs="仿宋_GB2312"/>
          <w:b/>
          <w:bCs/>
          <w:color w:val="auto"/>
          <w:sz w:val="32"/>
          <w:szCs w:val="32"/>
          <w:highlight w:val="none"/>
          <w:lang w:eastAsia="zh-CN"/>
        </w:rPr>
        <w:t>）</w:t>
      </w:r>
    </w:p>
    <w:p>
      <w:pPr>
        <w:keepNext w:val="0"/>
        <w:keepLines w:val="0"/>
        <w:pageBreakBefore w:val="0"/>
        <w:widowControl/>
        <w:kinsoku/>
        <w:wordWrap/>
        <w:overflowPunct/>
        <w:topLinePunct w:val="0"/>
        <w:autoSpaceDE/>
        <w:autoSpaceDN/>
        <w:bidi w:val="0"/>
        <w:spacing w:line="560" w:lineRule="exact"/>
        <w:jc w:val="left"/>
        <w:textAlignment w:val="auto"/>
        <w:rPr>
          <w:rFonts w:hint="eastAsia" w:ascii="Times New Roman" w:hAnsi="Times New Roman" w:eastAsia="仿宋_GB2312" w:cs="仿宋_GB2312"/>
          <w:bCs/>
          <w:color w:val="auto"/>
          <w:kern w:val="44"/>
          <w:sz w:val="32"/>
          <w:szCs w:val="32"/>
          <w:highlight w:val="none"/>
        </w:rPr>
      </w:pPr>
      <w:bookmarkStart w:id="12" w:name="_Toc15377196"/>
      <w:bookmarkStart w:id="13" w:name="_Toc15396599"/>
      <w:r>
        <w:rPr>
          <w:rFonts w:hint="eastAsia" w:ascii="Times New Roman" w:hAnsi="Times New Roman" w:eastAsia="仿宋_GB2312" w:cs="仿宋_GB2312"/>
          <w:b/>
          <w:color w:val="auto"/>
          <w:sz w:val="32"/>
          <w:szCs w:val="32"/>
          <w:highlight w:val="none"/>
        </w:rPr>
        <w:br w:type="page"/>
      </w:r>
    </w:p>
    <w:p>
      <w:pPr>
        <w:pStyle w:val="3"/>
        <w:jc w:val="center"/>
        <w:rPr>
          <w:rStyle w:val="28"/>
          <w:rFonts w:hint="eastAsia" w:ascii="Times New Roman" w:hAnsi="Times New Roman" w:eastAsia="方正小标宋简体" w:cs="方正小标宋简体"/>
          <w:b/>
          <w:bCs w:val="0"/>
          <w:color w:val="auto"/>
          <w:highlight w:val="none"/>
        </w:rPr>
      </w:pPr>
      <w:r>
        <w:rPr>
          <w:rFonts w:hint="eastAsia" w:ascii="Times New Roman" w:hAnsi="Times New Roman" w:eastAsia="方正小标宋简体" w:cs="方正小标宋简体"/>
          <w:b w:val="0"/>
          <w:color w:val="auto"/>
          <w:highlight w:val="none"/>
        </w:rPr>
        <w:t>第一部分</w:t>
      </w:r>
      <w:r>
        <w:rPr>
          <w:rFonts w:hint="eastAsia" w:ascii="Times New Roman" w:hAnsi="Times New Roman" w:eastAsia="方正小标宋简体" w:cs="方正小标宋简体"/>
          <w:b w:val="0"/>
          <w:color w:val="auto"/>
          <w:highlight w:val="none"/>
          <w:lang w:val="en-US" w:eastAsia="zh-CN"/>
        </w:rPr>
        <w:t xml:space="preserve"> </w:t>
      </w:r>
      <w:r>
        <w:rPr>
          <w:rFonts w:hint="eastAsia" w:ascii="Times New Roman" w:hAnsi="Times New Roman" w:eastAsia="方正小标宋简体" w:cs="方正小标宋简体"/>
          <w:b w:val="0"/>
          <w:color w:val="auto"/>
          <w:highlight w:val="none"/>
        </w:rPr>
        <w:t xml:space="preserve"> </w:t>
      </w:r>
      <w:r>
        <w:rPr>
          <w:rStyle w:val="28"/>
          <w:rFonts w:hint="eastAsia" w:ascii="Times New Roman" w:hAnsi="Times New Roman" w:eastAsia="方正小标宋简体" w:cs="方正小标宋简体"/>
          <w:b w:val="0"/>
          <w:bCs w:val="0"/>
          <w:color w:val="auto"/>
          <w:highlight w:val="none"/>
        </w:rPr>
        <w:t>部门概况</w:t>
      </w:r>
      <w:bookmarkEnd w:id="12"/>
      <w:bookmarkEnd w:id="13"/>
    </w:p>
    <w:p>
      <w:pPr>
        <w:widowControl/>
        <w:jc w:val="left"/>
        <w:rPr>
          <w:rFonts w:ascii="Times New Roman" w:hAnsi="Times New Roman" w:eastAsia="黑体"/>
          <w:color w:val="auto"/>
          <w:sz w:val="32"/>
          <w:szCs w:val="32"/>
          <w:highlight w:val="none"/>
        </w:rPr>
      </w:pPr>
    </w:p>
    <w:p>
      <w:pPr>
        <w:pStyle w:val="4"/>
        <w:numPr>
          <w:ilvl w:val="0"/>
          <w:numId w:val="2"/>
        </w:numPr>
        <w:rPr>
          <w:rFonts w:hint="eastAsia" w:ascii="Times New Roman" w:hAnsi="Times New Roman" w:eastAsia="黑体"/>
          <w:b w:val="0"/>
          <w:color w:val="auto"/>
          <w:highlight w:val="none"/>
          <w:lang w:eastAsia="zh-CN"/>
        </w:rPr>
      </w:pPr>
      <w:r>
        <w:rPr>
          <w:rFonts w:hint="eastAsia" w:ascii="Times New Roman" w:hAnsi="Times New Roman" w:eastAsia="黑体"/>
          <w:b w:val="0"/>
          <w:color w:val="auto"/>
          <w:highlight w:val="none"/>
          <w:lang w:eastAsia="zh-CN"/>
        </w:rPr>
        <w:t>部门职责</w:t>
      </w:r>
    </w:p>
    <w:p>
      <w:pPr>
        <w:pStyle w:val="35"/>
        <w:numPr>
          <w:ilvl w:val="0"/>
          <w:numId w:val="0"/>
        </w:numPr>
        <w:ind w:left="141" w:leftChars="67" w:firstLine="0"/>
        <w:rPr>
          <w:rFonts w:hint="eastAsia" w:ascii="宋体-PUA" w:hAnsi="新宋体" w:eastAsia="宋体-PUA"/>
          <w:sz w:val="28"/>
        </w:rPr>
      </w:pPr>
      <w:r>
        <w:rPr>
          <w:rFonts w:hint="eastAsia" w:ascii="宋体-PUA" w:hAnsi="新宋体" w:eastAsia="宋体-PUA"/>
          <w:sz w:val="28"/>
        </w:rPr>
        <w:sym w:font="Wingdings 2" w:char="006A"/>
      </w:r>
      <w:r>
        <w:rPr>
          <w:rFonts w:hint="eastAsia" w:ascii="宋体-PUA" w:hAnsi="新宋体" w:eastAsia="宋体-PUA"/>
          <w:sz w:val="28"/>
        </w:rPr>
        <w:t>.</w:t>
      </w:r>
      <w:r>
        <w:rPr>
          <w:rFonts w:hint="eastAsia" w:ascii="宋体-PUA" w:hAnsi="新宋体"/>
          <w:sz w:val="28"/>
        </w:rPr>
        <w:t>贯彻执行国家有关房地产管理和住房制度改革的法律、法规和政策并组织实施。</w:t>
      </w:r>
    </w:p>
    <w:p>
      <w:pPr>
        <w:pStyle w:val="35"/>
        <w:numPr>
          <w:ilvl w:val="0"/>
          <w:numId w:val="0"/>
        </w:numPr>
        <w:ind w:firstLine="140" w:firstLineChars="50"/>
        <w:rPr>
          <w:rFonts w:hint="eastAsia" w:ascii="宋体-PUA" w:hAnsi="新宋体" w:eastAsia="宋体-PUA"/>
          <w:sz w:val="28"/>
        </w:rPr>
      </w:pPr>
      <w:r>
        <w:rPr>
          <w:rFonts w:hint="eastAsia" w:ascii="宋体-PUA" w:hAnsi="新宋体" w:eastAsia="宋体-PUA"/>
          <w:sz w:val="28"/>
        </w:rPr>
        <w:sym w:font="Wingdings 2" w:char="006B"/>
      </w:r>
      <w:r>
        <w:rPr>
          <w:rFonts w:hint="eastAsia" w:ascii="宋体-PUA" w:hAnsi="新宋体" w:eastAsia="宋体-PUA"/>
          <w:sz w:val="28"/>
        </w:rPr>
        <w:t>.</w:t>
      </w:r>
      <w:r>
        <w:rPr>
          <w:rFonts w:hint="eastAsia" w:ascii="宋体-PUA" w:hAnsi="新宋体"/>
          <w:sz w:val="28"/>
        </w:rPr>
        <w:t>承担规范和管理房地产市场的责任；负责房屋交易管理。包括房屋交易、商品房预售许可，房屋买卖合同网签备案，个人住房信息系统建设等工作。</w:t>
      </w:r>
    </w:p>
    <w:p>
      <w:pPr>
        <w:pStyle w:val="35"/>
        <w:numPr>
          <w:ilvl w:val="0"/>
          <w:numId w:val="0"/>
        </w:numPr>
        <w:ind w:firstLine="140" w:firstLineChars="50"/>
        <w:rPr>
          <w:rFonts w:hint="eastAsia" w:ascii="宋体-PUA" w:hAnsi="新宋体" w:eastAsia="宋体-PUA"/>
          <w:sz w:val="28"/>
        </w:rPr>
      </w:pPr>
      <w:r>
        <w:rPr>
          <w:rFonts w:hint="eastAsia" w:ascii="宋体-PUA" w:hAnsi="新宋体" w:eastAsia="宋体-PUA"/>
          <w:sz w:val="28"/>
        </w:rPr>
        <w:sym w:font="Wingdings 2" w:char="006C"/>
      </w:r>
      <w:r>
        <w:rPr>
          <w:rFonts w:hint="eastAsia" w:ascii="宋体-PUA" w:hAnsi="新宋体" w:eastAsia="宋体-PUA"/>
          <w:sz w:val="28"/>
        </w:rPr>
        <w:t>.</w:t>
      </w:r>
      <w:r>
        <w:rPr>
          <w:rFonts w:hint="eastAsia" w:ascii="宋体-PUA" w:hAnsi="新宋体"/>
          <w:sz w:val="28"/>
        </w:rPr>
        <w:t>负责本区住房保障工作，包括住房租赁补贴发放、直管公房、公租房管理维护等工作。</w:t>
      </w:r>
    </w:p>
    <w:p>
      <w:pPr>
        <w:pStyle w:val="35"/>
        <w:numPr>
          <w:ilvl w:val="0"/>
          <w:numId w:val="0"/>
        </w:numPr>
        <w:ind w:firstLine="140" w:firstLineChars="50"/>
        <w:rPr>
          <w:rFonts w:hint="eastAsia" w:ascii="宋体-PUA" w:hAnsi="新宋体" w:eastAsia="宋体-PUA"/>
          <w:sz w:val="28"/>
        </w:rPr>
      </w:pPr>
      <w:r>
        <w:rPr>
          <w:rFonts w:hint="eastAsia" w:ascii="宋体-PUA" w:hAnsi="新宋体" w:eastAsia="宋体-PUA"/>
          <w:sz w:val="28"/>
        </w:rPr>
        <w:sym w:font="Wingdings 2" w:char="006D"/>
      </w:r>
      <w:r>
        <w:rPr>
          <w:rFonts w:hint="eastAsia" w:ascii="宋体-PUA" w:hAnsi="新宋体" w:eastAsia="宋体-PUA"/>
          <w:sz w:val="28"/>
        </w:rPr>
        <w:t>.</w:t>
      </w:r>
      <w:r>
        <w:rPr>
          <w:rFonts w:hint="eastAsia" w:ascii="宋体-PUA" w:hAnsi="新宋体"/>
          <w:sz w:val="28"/>
        </w:rPr>
        <w:t>负责本区房屋档案管理、信息查询、综合统计等工作；</w:t>
      </w:r>
    </w:p>
    <w:p>
      <w:pPr>
        <w:pStyle w:val="35"/>
        <w:numPr>
          <w:ilvl w:val="0"/>
          <w:numId w:val="0"/>
        </w:numPr>
        <w:ind w:firstLine="140" w:firstLineChars="50"/>
        <w:rPr>
          <w:rFonts w:hint="eastAsia" w:ascii="宋体-PUA" w:hAnsi="新宋体" w:eastAsia="宋体-PUA"/>
          <w:sz w:val="28"/>
        </w:rPr>
      </w:pPr>
      <w:r>
        <w:rPr>
          <w:rFonts w:hint="eastAsia" w:ascii="宋体-PUA" w:hAnsi="新宋体" w:eastAsia="宋体-PUA"/>
          <w:sz w:val="28"/>
        </w:rPr>
        <w:sym w:font="Wingdings 2" w:char="006E"/>
      </w:r>
      <w:r>
        <w:rPr>
          <w:rFonts w:hint="eastAsia" w:ascii="宋体-PUA" w:hAnsi="新宋体" w:eastAsia="宋体-PUA"/>
          <w:sz w:val="28"/>
        </w:rPr>
        <w:t>.</w:t>
      </w:r>
      <w:r>
        <w:rPr>
          <w:rFonts w:hint="eastAsia" w:ascii="宋体-PUA" w:hAnsi="新宋体"/>
          <w:sz w:val="28"/>
        </w:rPr>
        <w:t>负责全区物业管理政策规范并监督实施；监督管理全区物业管理活动，监督新建住宅物业专项维修资金的归集、管理和使用工作。</w:t>
      </w:r>
    </w:p>
    <w:p>
      <w:pPr>
        <w:pStyle w:val="35"/>
        <w:numPr>
          <w:ilvl w:val="0"/>
          <w:numId w:val="0"/>
        </w:numPr>
        <w:ind w:firstLine="140" w:firstLineChars="50"/>
        <w:rPr>
          <w:rFonts w:hint="eastAsia" w:hAnsi="宋体"/>
          <w:sz w:val="28"/>
        </w:rPr>
      </w:pPr>
      <w:r>
        <w:rPr>
          <w:rFonts w:hint="eastAsia" w:hAnsi="宋体"/>
          <w:sz w:val="28"/>
        </w:rPr>
        <w:sym w:font="Wingdings 2" w:char="006F"/>
      </w:r>
      <w:r>
        <w:rPr>
          <w:rFonts w:hint="eastAsia" w:hAnsi="宋体"/>
          <w:sz w:val="28"/>
        </w:rPr>
        <w:t>.负责全区房产管理的其他工作。</w:t>
      </w:r>
    </w:p>
    <w:p>
      <w:pPr>
        <w:numPr>
          <w:numId w:val="0"/>
        </w:numPr>
        <w:rPr>
          <w:rFonts w:hint="eastAsia"/>
          <w:lang w:eastAsia="zh-CN"/>
        </w:rPr>
      </w:pPr>
    </w:p>
    <w:p>
      <w:pPr>
        <w:pStyle w:val="4"/>
        <w:rPr>
          <w:rStyle w:val="29"/>
          <w:rFonts w:ascii="Times New Roman" w:hAnsi="Times New Roman"/>
          <w:b w:val="0"/>
          <w:bCs w:val="0"/>
          <w:color w:val="auto"/>
          <w:highlight w:val="none"/>
        </w:rPr>
      </w:pPr>
      <w:bookmarkStart w:id="14" w:name="_Toc15396601"/>
      <w:bookmarkStart w:id="15" w:name="_Toc15377200"/>
      <w:r>
        <w:rPr>
          <w:rFonts w:hint="eastAsia" w:ascii="Times New Roman" w:hAnsi="Times New Roman" w:eastAsia="黑体"/>
          <w:b w:val="0"/>
          <w:color w:val="auto"/>
          <w:highlight w:val="none"/>
        </w:rPr>
        <w:t>二、机</w:t>
      </w:r>
      <w:r>
        <w:rPr>
          <w:rStyle w:val="29"/>
          <w:rFonts w:hint="eastAsia" w:ascii="Times New Roman" w:hAnsi="Times New Roman" w:eastAsia="黑体"/>
          <w:b w:val="0"/>
          <w:bCs w:val="0"/>
          <w:color w:val="auto"/>
          <w:highlight w:val="none"/>
        </w:rPr>
        <w:t>构设置</w:t>
      </w:r>
      <w:bookmarkEnd w:id="14"/>
      <w:bookmarkEnd w:id="15"/>
    </w:p>
    <w:p>
      <w:pPr>
        <w:pStyle w:val="4"/>
        <w:numPr>
          <w:ilvl w:val="0"/>
          <w:numId w:val="0"/>
        </w:numPr>
        <w:ind w:leftChars="0"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房管所于1985年成立，隶属区住建局，为自收自支事业单位。根据发展需要我所分别于1994年创办房产交易市场。以上均为一套班子人员合署办公。</w:t>
      </w:r>
    </w:p>
    <w:p>
      <w:pPr>
        <w:rPr>
          <w:rFonts w:hint="eastAsia" w:eastAsia="仿宋"/>
          <w:sz w:val="24"/>
          <w:szCs w:val="32"/>
          <w:lang w:val="en-US" w:eastAsia="zh-CN"/>
        </w:rPr>
      </w:pPr>
      <w:r>
        <w:rPr>
          <w:rFonts w:hint="eastAsia" w:ascii="仿宋_GB2312" w:hAnsi="仿宋_GB2312" w:eastAsia="仿宋_GB2312" w:cs="仿宋_GB2312"/>
          <w:b w:val="0"/>
          <w:bCs w:val="0"/>
          <w:sz w:val="32"/>
          <w:szCs w:val="32"/>
          <w:lang w:val="en-US" w:eastAsia="zh-CN"/>
        </w:rPr>
        <w:t xml:space="preserve">    房管所于2024年12月19日，由五编委复</w:t>
      </w:r>
      <w:r>
        <w:rPr>
          <w:rFonts w:hint="eastAsia" w:ascii="仿宋" w:hAnsi="仿宋" w:eastAsia="仿宋" w:cs="仿宋"/>
          <w:b w:val="0"/>
          <w:bCs w:val="0"/>
          <w:sz w:val="32"/>
          <w:szCs w:val="32"/>
          <w:lang w:val="en-US" w:eastAsia="zh-CN"/>
        </w:rPr>
        <w:t>[2024]8号文件正式更名为乐山市五通桥区住房保障和房地产事务中心。</w:t>
      </w:r>
    </w:p>
    <w:p>
      <w:pPr>
        <w:widowControl/>
        <w:jc w:val="left"/>
        <w:rPr>
          <w:rFonts w:ascii="Times New Roman" w:hAnsi="Times New Roman" w:eastAsia="仿宋"/>
          <w:color w:val="auto"/>
          <w:kern w:val="0"/>
          <w:sz w:val="32"/>
          <w:szCs w:val="32"/>
          <w:highlight w:val="none"/>
        </w:rPr>
      </w:pPr>
      <w:r>
        <w:rPr>
          <w:rFonts w:ascii="Times New Roman" w:hAnsi="Times New Roman" w:eastAsia="仿宋"/>
          <w:color w:val="auto"/>
          <w:sz w:val="32"/>
          <w:szCs w:val="32"/>
          <w:highlight w:val="none"/>
        </w:rPr>
        <w:br w:type="page"/>
      </w:r>
    </w:p>
    <w:p>
      <w:pPr>
        <w:pStyle w:val="3"/>
        <w:jc w:val="center"/>
        <w:rPr>
          <w:rFonts w:hint="eastAsia" w:ascii="Times New Roman" w:hAnsi="Times New Roman" w:eastAsia="方正小标宋简体" w:cs="方正小标宋简体"/>
          <w:b w:val="0"/>
          <w:color w:val="auto"/>
          <w:highlight w:val="none"/>
        </w:rPr>
      </w:pPr>
      <w:bookmarkStart w:id="16" w:name="_Toc15396602"/>
      <w:bookmarkStart w:id="17" w:name="_Toc15377204"/>
      <w:r>
        <w:rPr>
          <w:rFonts w:hint="eastAsia" w:ascii="Times New Roman" w:hAnsi="Times New Roman" w:eastAsia="方正小标宋简体" w:cs="方正小标宋简体"/>
          <w:b w:val="0"/>
          <w:color w:val="auto"/>
          <w:highlight w:val="none"/>
        </w:rPr>
        <w:t>第二部分</w:t>
      </w:r>
      <w:r>
        <w:rPr>
          <w:rFonts w:hint="eastAsia" w:ascii="Times New Roman" w:hAnsi="Times New Roman" w:eastAsia="方正小标宋简体" w:cs="方正小标宋简体"/>
          <w:b w:val="0"/>
          <w:color w:val="auto"/>
          <w:highlight w:val="none"/>
          <w:lang w:val="en-US" w:eastAsia="zh-CN"/>
        </w:rPr>
        <w:t xml:space="preserve"> </w:t>
      </w:r>
      <w:r>
        <w:rPr>
          <w:rFonts w:hint="eastAsia" w:ascii="Times New Roman" w:hAnsi="Times New Roman" w:eastAsia="方正小标宋简体" w:cs="方正小标宋简体"/>
          <w:b w:val="0"/>
          <w:color w:val="auto"/>
          <w:highlight w:val="none"/>
        </w:rPr>
        <w:t xml:space="preserve"> </w:t>
      </w:r>
      <w:r>
        <w:rPr>
          <w:rFonts w:hint="eastAsia" w:ascii="Times New Roman" w:hAnsi="Times New Roman" w:eastAsia="方正小标宋简体" w:cs="方正小标宋简体"/>
          <w:b w:val="0"/>
          <w:color w:val="auto"/>
          <w:highlight w:val="none"/>
          <w:lang w:val="en-US" w:eastAsia="zh-CN"/>
        </w:rPr>
        <w:t>2024年度</w:t>
      </w:r>
      <w:r>
        <w:rPr>
          <w:rFonts w:hint="eastAsia" w:ascii="Times New Roman" w:hAnsi="Times New Roman" w:eastAsia="方正小标宋简体" w:cs="方正小标宋简体"/>
          <w:b w:val="0"/>
          <w:color w:val="auto"/>
          <w:highlight w:val="none"/>
        </w:rPr>
        <w:t>部门决算情况说明</w:t>
      </w:r>
      <w:bookmarkEnd w:id="16"/>
      <w:bookmarkEnd w:id="17"/>
    </w:p>
    <w:p>
      <w:pPr>
        <w:rPr>
          <w:rFonts w:ascii="Times New Roman" w:hAnsi="Times New Roman"/>
          <w:color w:val="auto"/>
          <w:highlight w:val="none"/>
        </w:rPr>
      </w:pPr>
    </w:p>
    <w:p>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29"/>
          <w:rFonts w:hint="eastAsia" w:ascii="Times New Roman" w:hAnsi="Times New Roman" w:eastAsia="黑体"/>
          <w:b w:val="0"/>
          <w:color w:val="auto"/>
          <w:highlight w:val="none"/>
        </w:rPr>
      </w:pPr>
      <w:bookmarkStart w:id="18" w:name="_Toc15377205"/>
      <w:bookmarkStart w:id="19" w:name="_Toc15396603"/>
      <w:r>
        <w:rPr>
          <w:rFonts w:hint="eastAsia" w:ascii="Times New Roman" w:hAnsi="Times New Roman" w:eastAsia="黑体"/>
          <w:color w:val="auto"/>
          <w:sz w:val="32"/>
          <w:szCs w:val="32"/>
          <w:highlight w:val="none"/>
          <w:lang w:eastAsia="zh-CN"/>
        </w:rPr>
        <w:t>一、</w:t>
      </w:r>
      <w:r>
        <w:rPr>
          <w:rFonts w:hint="eastAsia" w:ascii="Times New Roman" w:hAnsi="Times New Roman" w:eastAsia="黑体"/>
          <w:color w:val="auto"/>
          <w:sz w:val="32"/>
          <w:szCs w:val="32"/>
          <w:highlight w:val="none"/>
        </w:rPr>
        <w:t>收</w:t>
      </w:r>
      <w:r>
        <w:rPr>
          <w:rStyle w:val="29"/>
          <w:rFonts w:hint="eastAsia" w:ascii="Times New Roman" w:hAnsi="Times New Roman" w:eastAsia="黑体"/>
          <w:b w:val="0"/>
          <w:color w:val="auto"/>
          <w:highlight w:val="none"/>
        </w:rPr>
        <w:t>入支出决算总体情况说明</w:t>
      </w:r>
      <w:bookmarkEnd w:id="18"/>
      <w:bookmarkEnd w:id="19"/>
    </w:p>
    <w:p>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lang w:eastAsia="zh-CN"/>
        </w:rPr>
        <w:t>2024年度收入</w:t>
      </w:r>
      <w:r>
        <w:rPr>
          <w:rFonts w:hint="eastAsia" w:ascii="Times New Roman" w:hAnsi="Times New Roman" w:eastAsia="仿宋_GB2312" w:cs="仿宋_GB2312"/>
          <w:color w:val="auto"/>
          <w:sz w:val="32"/>
          <w:szCs w:val="32"/>
          <w:highlight w:val="none"/>
        </w:rPr>
        <w:t>、</w:t>
      </w:r>
      <w:r>
        <w:rPr>
          <w:rFonts w:hint="eastAsia" w:ascii="Times New Roman" w:hAnsi="Times New Roman" w:eastAsia="仿宋_GB2312" w:cs="仿宋_GB2312"/>
          <w:color w:val="auto"/>
          <w:sz w:val="32"/>
          <w:szCs w:val="32"/>
          <w:highlight w:val="none"/>
          <w:lang w:eastAsia="zh-CN"/>
        </w:rPr>
        <w:t>支出</w:t>
      </w:r>
      <w:r>
        <w:rPr>
          <w:rFonts w:hint="eastAsia" w:ascii="Times New Roman" w:hAnsi="Times New Roman" w:eastAsia="仿宋_GB2312" w:cs="仿宋_GB2312"/>
          <w:color w:val="auto"/>
          <w:sz w:val="32"/>
          <w:szCs w:val="32"/>
          <w:highlight w:val="none"/>
        </w:rPr>
        <w:t>总计</w:t>
      </w:r>
      <w:r>
        <w:rPr>
          <w:rFonts w:hint="eastAsia" w:ascii="Times New Roman" w:hAnsi="Times New Roman" w:eastAsia="仿宋_GB2312" w:cs="仿宋_GB2312"/>
          <w:color w:val="auto"/>
          <w:sz w:val="32"/>
          <w:szCs w:val="32"/>
          <w:highlight w:val="none"/>
          <w:lang w:eastAsia="zh-CN"/>
        </w:rPr>
        <w:t>均为</w:t>
      </w:r>
      <w:r>
        <w:rPr>
          <w:rFonts w:hint="eastAsia" w:ascii="仿宋_GB2312" w:hAnsi="仿宋_GB2312" w:eastAsia="仿宋_GB2312" w:cs="仿宋_GB2312"/>
          <w:sz w:val="32"/>
          <w:szCs w:val="32"/>
        </w:rPr>
        <w:t>266.18</w:t>
      </w:r>
      <w:r>
        <w:rPr>
          <w:rFonts w:hint="eastAsia" w:ascii="Times New Roman" w:hAnsi="Times New Roman" w:eastAsia="仿宋_GB2312" w:cs="仿宋_GB2312"/>
          <w:color w:val="auto"/>
          <w:sz w:val="32"/>
          <w:szCs w:val="32"/>
          <w:highlight w:val="none"/>
        </w:rPr>
        <w:t>万元。与</w:t>
      </w:r>
      <w:r>
        <w:rPr>
          <w:rFonts w:hint="eastAsia" w:ascii="Times New Roman" w:hAnsi="Times New Roman" w:eastAsia="仿宋_GB2312" w:cs="仿宋_GB2312"/>
          <w:color w:val="auto"/>
          <w:sz w:val="32"/>
          <w:szCs w:val="32"/>
          <w:highlight w:val="none"/>
          <w:lang w:eastAsia="zh-CN"/>
        </w:rPr>
        <w:t>202</w:t>
      </w:r>
      <w:r>
        <w:rPr>
          <w:rFonts w:hint="eastAsia" w:ascii="Times New Roman" w:hAnsi="Times New Roman" w:eastAsia="仿宋_GB2312" w:cs="仿宋_GB2312"/>
          <w:color w:val="auto"/>
          <w:sz w:val="32"/>
          <w:szCs w:val="32"/>
          <w:highlight w:val="none"/>
          <w:lang w:val="en-US" w:eastAsia="zh-CN"/>
        </w:rPr>
        <w:t>3</w:t>
      </w:r>
      <w:r>
        <w:rPr>
          <w:rFonts w:hint="eastAsia" w:ascii="Times New Roman" w:hAnsi="Times New Roman" w:eastAsia="仿宋_GB2312" w:cs="仿宋_GB2312"/>
          <w:color w:val="auto"/>
          <w:sz w:val="32"/>
          <w:szCs w:val="32"/>
          <w:highlight w:val="none"/>
        </w:rPr>
        <w:t>年</w:t>
      </w:r>
      <w:r>
        <w:rPr>
          <w:rFonts w:hint="eastAsia" w:ascii="Times New Roman" w:hAnsi="Times New Roman" w:eastAsia="仿宋_GB2312" w:cs="仿宋_GB2312"/>
          <w:color w:val="auto"/>
          <w:sz w:val="32"/>
          <w:szCs w:val="32"/>
          <w:highlight w:val="none"/>
          <w:lang w:eastAsia="zh-CN"/>
        </w:rPr>
        <w:t>度</w:t>
      </w:r>
      <w:r>
        <w:rPr>
          <w:rFonts w:hint="eastAsia" w:eastAsia="仿宋_GB2312" w:cs="仿宋_GB2312"/>
          <w:color w:val="auto"/>
          <w:sz w:val="32"/>
          <w:szCs w:val="32"/>
          <w:highlight w:val="none"/>
          <w:lang w:val="en-US" w:eastAsia="zh-CN"/>
        </w:rPr>
        <w:t>333.02万元</w:t>
      </w:r>
      <w:r>
        <w:rPr>
          <w:rFonts w:hint="eastAsia" w:ascii="Times New Roman" w:hAnsi="Times New Roman" w:eastAsia="仿宋_GB2312" w:cs="仿宋_GB2312"/>
          <w:color w:val="auto"/>
          <w:sz w:val="32"/>
          <w:szCs w:val="32"/>
          <w:highlight w:val="none"/>
        </w:rPr>
        <w:t>相比，</w:t>
      </w:r>
      <w:r>
        <w:rPr>
          <w:rFonts w:hint="eastAsia" w:ascii="Times New Roman" w:hAnsi="Times New Roman" w:eastAsia="仿宋_GB2312" w:cs="仿宋_GB2312"/>
          <w:color w:val="auto"/>
          <w:sz w:val="32"/>
          <w:szCs w:val="32"/>
          <w:highlight w:val="none"/>
          <w:lang w:eastAsia="zh-CN"/>
        </w:rPr>
        <w:t>收入</w:t>
      </w:r>
      <w:r>
        <w:rPr>
          <w:rFonts w:hint="eastAsia" w:ascii="Times New Roman" w:hAnsi="Times New Roman" w:eastAsia="仿宋_GB2312" w:cs="仿宋_GB2312"/>
          <w:color w:val="auto"/>
          <w:sz w:val="32"/>
          <w:szCs w:val="32"/>
          <w:highlight w:val="none"/>
        </w:rPr>
        <w:t>、</w:t>
      </w:r>
      <w:r>
        <w:rPr>
          <w:rFonts w:hint="eastAsia" w:ascii="Times New Roman" w:hAnsi="Times New Roman" w:eastAsia="仿宋_GB2312" w:cs="仿宋_GB2312"/>
          <w:color w:val="auto"/>
          <w:sz w:val="32"/>
          <w:szCs w:val="32"/>
          <w:highlight w:val="none"/>
          <w:lang w:eastAsia="zh-CN"/>
        </w:rPr>
        <w:t>支出</w:t>
      </w:r>
      <w:r>
        <w:rPr>
          <w:rFonts w:hint="eastAsia" w:ascii="Times New Roman" w:hAnsi="Times New Roman" w:eastAsia="仿宋_GB2312" w:cs="仿宋_GB2312"/>
          <w:color w:val="auto"/>
          <w:sz w:val="32"/>
          <w:szCs w:val="32"/>
          <w:highlight w:val="none"/>
        </w:rPr>
        <w:t>总计各增加/减少</w:t>
      </w:r>
      <w:r>
        <w:rPr>
          <w:rFonts w:hint="eastAsia" w:eastAsia="仿宋_GB2312" w:cs="仿宋_GB2312"/>
          <w:color w:val="auto"/>
          <w:sz w:val="32"/>
          <w:szCs w:val="32"/>
          <w:highlight w:val="none"/>
          <w:lang w:val="en-US" w:eastAsia="zh-CN"/>
        </w:rPr>
        <w:t>66.84</w:t>
      </w:r>
      <w:r>
        <w:rPr>
          <w:rFonts w:hint="eastAsia" w:ascii="Times New Roman" w:hAnsi="Times New Roman" w:eastAsia="仿宋_GB2312" w:cs="仿宋_GB2312"/>
          <w:color w:val="auto"/>
          <w:sz w:val="32"/>
          <w:szCs w:val="32"/>
          <w:highlight w:val="none"/>
        </w:rPr>
        <w:t>万元，下降</w:t>
      </w:r>
      <w:r>
        <w:rPr>
          <w:rFonts w:hint="eastAsia" w:eastAsia="仿宋_GB2312" w:cs="仿宋_GB2312"/>
          <w:color w:val="auto"/>
          <w:sz w:val="32"/>
          <w:szCs w:val="32"/>
          <w:highlight w:val="none"/>
          <w:lang w:val="en-US" w:eastAsia="zh-CN"/>
        </w:rPr>
        <w:t>20.07</w:t>
      </w:r>
      <w:r>
        <w:rPr>
          <w:rFonts w:hint="eastAsia" w:ascii="Times New Roman" w:hAnsi="Times New Roman" w:eastAsia="仿宋_GB2312" w:cs="仿宋_GB2312"/>
          <w:color w:val="auto"/>
          <w:sz w:val="32"/>
          <w:szCs w:val="32"/>
          <w:highlight w:val="none"/>
        </w:rPr>
        <w:t>%。主要变动原因</w:t>
      </w:r>
      <w:r>
        <w:rPr>
          <w:rFonts w:hint="eastAsia" w:eastAsia="仿宋_GB2312" w:cs="仿宋_GB2312"/>
          <w:color w:val="auto"/>
          <w:sz w:val="32"/>
          <w:szCs w:val="32"/>
          <w:highlight w:val="none"/>
          <w:lang w:eastAsia="zh-CN"/>
        </w:rPr>
        <w:t>是</w:t>
      </w:r>
      <w:r>
        <w:rPr>
          <w:rFonts w:hint="eastAsia" w:eastAsia="仿宋_GB2312" w:cs="仿宋_GB2312"/>
          <w:color w:val="auto"/>
          <w:sz w:val="32"/>
          <w:szCs w:val="32"/>
          <w:highlight w:val="none"/>
          <w:lang w:val="en-US" w:eastAsia="zh-CN"/>
        </w:rPr>
        <w:t>1.</w:t>
      </w:r>
      <w:r>
        <w:rPr>
          <w:rFonts w:hint="eastAsia" w:eastAsia="仿宋_GB2312" w:cs="仿宋_GB2312"/>
          <w:color w:val="auto"/>
          <w:sz w:val="32"/>
          <w:szCs w:val="32"/>
          <w:highlight w:val="none"/>
          <w:lang w:eastAsia="zh-CN"/>
        </w:rPr>
        <w:t>在编人员退休一人，经费减少。</w:t>
      </w:r>
      <w:r>
        <w:rPr>
          <w:rFonts w:hint="eastAsia" w:eastAsia="仿宋_GB2312" w:cs="仿宋_GB2312"/>
          <w:color w:val="auto"/>
          <w:sz w:val="32"/>
          <w:szCs w:val="32"/>
          <w:highlight w:val="none"/>
          <w:lang w:val="en-US" w:eastAsia="zh-CN"/>
        </w:rPr>
        <w:t>2.项目上面因有公房报废，维修支出减少。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（图1：</w:t>
      </w:r>
      <w:r>
        <w:rPr>
          <w:rFonts w:hint="eastAsia" w:ascii="Times New Roman" w:hAnsi="Times New Roman" w:eastAsia="仿宋_GB2312" w:cs="仿宋_GB2312"/>
          <w:color w:val="auto"/>
          <w:sz w:val="32"/>
          <w:szCs w:val="32"/>
          <w:highlight w:val="none"/>
          <w:lang w:eastAsia="zh-CN"/>
        </w:rPr>
        <w:t>收入</w:t>
      </w:r>
      <w:r>
        <w:rPr>
          <w:rFonts w:hint="eastAsia" w:ascii="Times New Roman" w:hAnsi="Times New Roman" w:eastAsia="仿宋_GB2312" w:cs="仿宋_GB2312"/>
          <w:color w:val="auto"/>
          <w:sz w:val="32"/>
          <w:szCs w:val="32"/>
          <w:highlight w:val="none"/>
        </w:rPr>
        <w:t>、</w:t>
      </w:r>
      <w:r>
        <w:rPr>
          <w:rFonts w:hint="eastAsia" w:ascii="Times New Roman" w:hAnsi="Times New Roman" w:eastAsia="仿宋_GB2312" w:cs="仿宋_GB2312"/>
          <w:color w:val="auto"/>
          <w:sz w:val="32"/>
          <w:szCs w:val="32"/>
          <w:highlight w:val="none"/>
          <w:lang w:eastAsia="zh-CN"/>
        </w:rPr>
        <w:t>支出</w:t>
      </w:r>
      <w:r>
        <w:rPr>
          <w:rFonts w:hint="eastAsia" w:ascii="Times New Roman" w:hAnsi="Times New Roman" w:eastAsia="仿宋_GB2312" w:cs="仿宋_GB2312"/>
          <w:color w:val="auto"/>
          <w:sz w:val="32"/>
          <w:szCs w:val="32"/>
          <w:highlight w:val="none"/>
        </w:rPr>
        <w:t>决算总计变动情况图）（柱状图）</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drawing>
          <wp:inline distT="0" distB="0" distL="114300" distR="114300">
            <wp:extent cx="4310380" cy="3326130"/>
            <wp:effectExtent l="4445" t="5080" r="9525" b="2159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黑体"/>
          <w:color w:val="auto"/>
          <w:sz w:val="32"/>
          <w:szCs w:val="32"/>
          <w:highlight w:val="none"/>
          <w:lang w:eastAsia="zh-CN"/>
        </w:rPr>
      </w:pPr>
      <w:bookmarkStart w:id="20" w:name="_Toc15377206"/>
      <w:bookmarkStart w:id="21" w:name="_Toc15396604"/>
      <w:r>
        <w:rPr>
          <w:rFonts w:hint="eastAsia" w:ascii="Times New Roman" w:hAnsi="Times New Roman" w:eastAsia="黑体"/>
          <w:color w:val="auto"/>
          <w:sz w:val="32"/>
          <w:szCs w:val="32"/>
          <w:highlight w:val="none"/>
          <w:lang w:eastAsia="zh-CN"/>
        </w:rPr>
        <w:t>二、收入决算情况说明</w:t>
      </w:r>
      <w:bookmarkEnd w:id="20"/>
      <w:bookmarkEnd w:id="21"/>
    </w:p>
    <w:p>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Times New Roman" w:hAnsi="Times New Roman" w:eastAsia="仿宋_GB2312" w:cs="仿宋_GB2312"/>
          <w:b/>
          <w:bCs/>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2024年度本年收入合计</w:t>
      </w:r>
      <w:r>
        <w:rPr>
          <w:rFonts w:hint="eastAsia" w:ascii="仿宋_GB2312" w:hAnsi="仿宋_GB2312" w:eastAsia="仿宋_GB2312" w:cs="仿宋_GB2312"/>
          <w:sz w:val="32"/>
          <w:szCs w:val="32"/>
        </w:rPr>
        <w:t>266.16万元，其中：一般公共预算财政拨款收入258.87</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97.26</w:t>
      </w:r>
      <w:r>
        <w:rPr>
          <w:rFonts w:hint="eastAsia" w:ascii="仿宋_GB2312" w:hAnsi="仿宋_GB2312" w:eastAsia="仿宋_GB2312" w:cs="仿宋_GB2312"/>
          <w:color w:val="auto"/>
          <w:sz w:val="32"/>
          <w:szCs w:val="32"/>
          <w:highlight w:val="none"/>
          <w:lang w:eastAsia="zh-CN"/>
        </w:rPr>
        <w:t>%；政府性基金预算财政拨款收入</w:t>
      </w:r>
      <w:r>
        <w:rPr>
          <w:rFonts w:hint="eastAsia" w:ascii="仿宋_GB2312" w:hAnsi="仿宋_GB2312" w:eastAsia="仿宋_GB2312" w:cs="仿宋_GB2312"/>
          <w:sz w:val="32"/>
          <w:szCs w:val="32"/>
        </w:rPr>
        <w:t>7.28</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2.73%</w:t>
      </w:r>
      <w:r>
        <w:rPr>
          <w:rFonts w:hint="eastAsia" w:ascii="仿宋_GB2312" w:hAnsi="仿宋_GB2312" w:eastAsia="仿宋_GB2312" w:cs="仿宋_GB2312"/>
          <w:color w:val="auto"/>
          <w:sz w:val="32"/>
          <w:szCs w:val="32"/>
          <w:highlight w:val="none"/>
          <w:lang w:eastAsia="zh-CN"/>
        </w:rPr>
        <w:t>%；国有资本经营预算财政拨款收入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%；上级补助收入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%；事业收入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%；经营收入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%；附属单位上缴收入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%；其他收入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w:t>
      </w:r>
      <w:r>
        <w:rPr>
          <w:rFonts w:hint="eastAsia" w:ascii="Times New Roman" w:hAnsi="Times New Roman" w:eastAsia="仿宋_GB2312" w:cs="仿宋_GB2312"/>
          <w:b/>
          <w:bCs/>
          <w:color w:val="auto"/>
          <w:sz w:val="32"/>
          <w:szCs w:val="32"/>
          <w:highlight w:val="none"/>
          <w:lang w:eastAsia="zh-CN"/>
        </w:rPr>
        <w:t>（注：仅罗列本部门涉及的收入）</w:t>
      </w:r>
    </w:p>
    <w:p>
      <w:pPr>
        <w:ind w:firstLine="800" w:firstLineChars="250"/>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（图2：收入决算结构图）（饼状图）</w:t>
      </w:r>
    </w:p>
    <w:p>
      <w:pPr>
        <w:ind w:firstLine="800" w:firstLineChars="250"/>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drawing>
          <wp:inline distT="0" distB="0" distL="114300" distR="114300">
            <wp:extent cx="3981450" cy="3231515"/>
            <wp:effectExtent l="4445" t="4445" r="14605" b="2159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29"/>
          <w:rFonts w:hint="eastAsia" w:ascii="Times New Roman" w:hAnsi="Times New Roman" w:eastAsia="黑体"/>
          <w:b w:val="0"/>
          <w:color w:val="auto"/>
          <w:highlight w:val="none"/>
        </w:rPr>
      </w:pPr>
      <w:bookmarkStart w:id="22" w:name="_Toc15396605"/>
      <w:bookmarkStart w:id="23" w:name="_Toc15377207"/>
      <w:r>
        <w:rPr>
          <w:rFonts w:hint="eastAsia" w:ascii="Times New Roman" w:hAnsi="Times New Roman" w:eastAsia="黑体"/>
          <w:color w:val="auto"/>
          <w:sz w:val="32"/>
          <w:szCs w:val="32"/>
          <w:highlight w:val="none"/>
          <w:lang w:eastAsia="zh-CN"/>
        </w:rPr>
        <w:t>三、</w:t>
      </w:r>
      <w:r>
        <w:rPr>
          <w:rFonts w:hint="eastAsia" w:ascii="Times New Roman" w:hAnsi="Times New Roman" w:eastAsia="黑体"/>
          <w:color w:val="auto"/>
          <w:sz w:val="32"/>
          <w:szCs w:val="32"/>
          <w:highlight w:val="none"/>
        </w:rPr>
        <w:t>支</w:t>
      </w:r>
      <w:r>
        <w:rPr>
          <w:rStyle w:val="29"/>
          <w:rFonts w:hint="eastAsia" w:ascii="Times New Roman" w:hAnsi="Times New Roman" w:eastAsia="黑体"/>
          <w:b w:val="0"/>
          <w:color w:val="auto"/>
          <w:highlight w:val="none"/>
        </w:rPr>
        <w:t>出决算情况说明</w:t>
      </w:r>
      <w:bookmarkEnd w:id="22"/>
      <w:bookmarkEnd w:id="23"/>
    </w:p>
    <w:p>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Times New Roman" w:hAnsi="Times New Roman"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2024年度本年支出合计</w:t>
      </w:r>
      <w:r>
        <w:rPr>
          <w:rFonts w:hint="eastAsia" w:ascii="仿宋_GB2312" w:hAnsi="仿宋_GB2312" w:eastAsia="仿宋_GB2312" w:cs="仿宋_GB2312"/>
          <w:sz w:val="32"/>
          <w:szCs w:val="32"/>
        </w:rPr>
        <w:t>266.18</w:t>
      </w:r>
      <w:r>
        <w:rPr>
          <w:rFonts w:hint="eastAsia" w:ascii="仿宋_GB2312" w:hAnsi="仿宋_GB2312" w:eastAsia="仿宋_GB2312" w:cs="仿宋_GB2312"/>
          <w:color w:val="auto"/>
          <w:sz w:val="32"/>
          <w:szCs w:val="32"/>
          <w:highlight w:val="none"/>
          <w:lang w:eastAsia="zh-CN"/>
        </w:rPr>
        <w:t>万元，其中：基本支出</w:t>
      </w:r>
      <w:r>
        <w:rPr>
          <w:rFonts w:hint="eastAsia" w:ascii="仿宋_GB2312" w:hAnsi="仿宋_GB2312" w:eastAsia="仿宋_GB2312" w:cs="仿宋_GB2312"/>
          <w:sz w:val="32"/>
          <w:szCs w:val="32"/>
        </w:rPr>
        <w:t>211.43</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79.43</w:t>
      </w:r>
      <w:r>
        <w:rPr>
          <w:rFonts w:hint="eastAsia" w:ascii="仿宋_GB2312" w:hAnsi="仿宋_GB2312" w:eastAsia="仿宋_GB2312" w:cs="仿宋_GB2312"/>
          <w:color w:val="auto"/>
          <w:sz w:val="32"/>
          <w:szCs w:val="32"/>
          <w:highlight w:val="none"/>
          <w:lang w:eastAsia="zh-CN"/>
        </w:rPr>
        <w:t>%；项目支出</w:t>
      </w:r>
      <w:r>
        <w:rPr>
          <w:rFonts w:hint="eastAsia" w:ascii="仿宋_GB2312" w:hAnsi="仿宋_GB2312" w:eastAsia="仿宋_GB2312" w:cs="仿宋_GB2312"/>
          <w:sz w:val="32"/>
          <w:szCs w:val="32"/>
        </w:rPr>
        <w:t>54.75</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20.56</w:t>
      </w:r>
      <w:r>
        <w:rPr>
          <w:rFonts w:hint="eastAsia" w:ascii="仿宋_GB2312" w:hAnsi="仿宋_GB2312" w:eastAsia="仿宋_GB2312" w:cs="仿宋_GB2312"/>
          <w:color w:val="auto"/>
          <w:sz w:val="32"/>
          <w:szCs w:val="32"/>
          <w:highlight w:val="none"/>
          <w:lang w:eastAsia="zh-CN"/>
        </w:rPr>
        <w:t>%；上缴上级支出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%；经营支出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%；对附属单位补助支出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w:t>
      </w:r>
      <w:r>
        <w:rPr>
          <w:rFonts w:hint="eastAsia" w:ascii="Times New Roman" w:hAnsi="Times New Roman" w:eastAsia="仿宋_GB2312" w:cs="仿宋_GB2312"/>
          <w:b/>
          <w:bCs/>
          <w:color w:val="auto"/>
          <w:sz w:val="32"/>
          <w:szCs w:val="32"/>
          <w:highlight w:val="none"/>
          <w:lang w:eastAsia="zh-CN"/>
        </w:rPr>
        <w:t>（注：仅罗列本部门涉及的支出）</w:t>
      </w:r>
    </w:p>
    <w:p>
      <w:pPr>
        <w:ind w:firstLine="800" w:firstLineChars="250"/>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（图3：支出决算结构图）（饼状图）</w:t>
      </w:r>
    </w:p>
    <w:p>
      <w:pPr>
        <w:ind w:firstLine="800" w:firstLineChars="250"/>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drawing>
          <wp:inline distT="0" distB="0" distL="114300" distR="114300">
            <wp:extent cx="3956050" cy="2609215"/>
            <wp:effectExtent l="4445" t="4445" r="20955" b="1524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spacing w:line="600" w:lineRule="exact"/>
        <w:ind w:firstLine="640" w:firstLineChars="200"/>
        <w:outlineLvl w:val="1"/>
        <w:rPr>
          <w:rStyle w:val="29"/>
          <w:rFonts w:ascii="Times New Roman" w:hAnsi="Times New Roman" w:eastAsia="黑体"/>
          <w:b w:val="0"/>
          <w:color w:val="auto"/>
          <w:highlight w:val="none"/>
        </w:rPr>
      </w:pPr>
      <w:bookmarkStart w:id="24" w:name="_Toc15377208"/>
      <w:bookmarkStart w:id="25" w:name="_Toc15396606"/>
      <w:r>
        <w:rPr>
          <w:rFonts w:hint="eastAsia" w:ascii="Times New Roman" w:hAnsi="Times New Roman" w:eastAsia="黑体"/>
          <w:color w:val="auto"/>
          <w:sz w:val="32"/>
          <w:szCs w:val="32"/>
          <w:highlight w:val="none"/>
        </w:rPr>
        <w:t>四、财</w:t>
      </w:r>
      <w:r>
        <w:rPr>
          <w:rStyle w:val="29"/>
          <w:rFonts w:hint="eastAsia" w:ascii="Times New Roman" w:hAnsi="Times New Roman" w:eastAsia="黑体"/>
          <w:b w:val="0"/>
          <w:color w:val="auto"/>
          <w:highlight w:val="none"/>
        </w:rPr>
        <w:t>政拨款收入支出决算总体情况说明</w:t>
      </w:r>
      <w:bookmarkEnd w:id="24"/>
      <w:bookmarkEnd w:id="25"/>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2024年度财政拨款收入、支出总计均为</w:t>
      </w:r>
      <w:r>
        <w:rPr>
          <w:rFonts w:hint="eastAsia" w:ascii="仿宋_GB2312" w:hAnsi="仿宋_GB2312" w:eastAsia="仿宋_GB2312" w:cs="仿宋_GB2312"/>
          <w:sz w:val="32"/>
          <w:szCs w:val="32"/>
        </w:rPr>
        <w:t>266.16</w:t>
      </w:r>
      <w:r>
        <w:rPr>
          <w:rFonts w:hint="eastAsia" w:ascii="Times New Roman" w:hAnsi="Times New Roman" w:eastAsia="仿宋_GB2312" w:cs="仿宋_GB2312"/>
          <w:color w:val="auto"/>
          <w:kern w:val="2"/>
          <w:sz w:val="32"/>
          <w:szCs w:val="32"/>
          <w:highlight w:val="none"/>
          <w:lang w:val="en-US" w:eastAsia="zh-CN" w:bidi="ar-SA"/>
        </w:rPr>
        <w:t>万元。与2023年度相比，财政拨款收入总计、支出总计各减少</w:t>
      </w:r>
      <w:r>
        <w:rPr>
          <w:rFonts w:hint="eastAsia" w:eastAsia="仿宋_GB2312" w:cs="仿宋_GB2312"/>
          <w:color w:val="auto"/>
          <w:kern w:val="2"/>
          <w:sz w:val="32"/>
          <w:szCs w:val="32"/>
          <w:highlight w:val="none"/>
          <w:lang w:val="en-US" w:eastAsia="zh-CN" w:bidi="ar-SA"/>
        </w:rPr>
        <w:t>66.84</w:t>
      </w:r>
      <w:r>
        <w:rPr>
          <w:rFonts w:hint="eastAsia" w:ascii="Times New Roman" w:hAnsi="Times New Roman" w:eastAsia="仿宋_GB2312" w:cs="仿宋_GB2312"/>
          <w:color w:val="auto"/>
          <w:kern w:val="2"/>
          <w:sz w:val="32"/>
          <w:szCs w:val="32"/>
          <w:highlight w:val="none"/>
          <w:lang w:val="en-US" w:eastAsia="zh-CN" w:bidi="ar-SA"/>
        </w:rPr>
        <w:t>万元，下降</w:t>
      </w:r>
      <w:r>
        <w:rPr>
          <w:rFonts w:hint="eastAsia" w:eastAsia="仿宋_GB2312" w:cs="仿宋_GB2312"/>
          <w:color w:val="auto"/>
          <w:sz w:val="32"/>
          <w:szCs w:val="32"/>
          <w:highlight w:val="none"/>
          <w:lang w:val="en-US" w:eastAsia="zh-CN"/>
        </w:rPr>
        <w:t>20.07</w:t>
      </w:r>
      <w:r>
        <w:rPr>
          <w:rFonts w:hint="eastAsia" w:ascii="Times New Roman" w:hAnsi="Times New Roman" w:eastAsia="仿宋_GB2312" w:cs="仿宋_GB2312"/>
          <w:color w:val="auto"/>
          <w:kern w:val="2"/>
          <w:sz w:val="32"/>
          <w:szCs w:val="32"/>
          <w:highlight w:val="none"/>
          <w:lang w:val="en-US" w:eastAsia="zh-CN" w:bidi="ar-SA"/>
        </w:rPr>
        <w:t>%。主要变动原因是</w:t>
      </w:r>
      <w:r>
        <w:rPr>
          <w:rFonts w:hint="eastAsia" w:eastAsia="仿宋_GB2312" w:cs="仿宋_GB2312"/>
          <w:color w:val="auto"/>
          <w:sz w:val="32"/>
          <w:szCs w:val="32"/>
          <w:highlight w:val="none"/>
          <w:lang w:val="en-US" w:eastAsia="zh-CN"/>
        </w:rPr>
        <w:t>1.</w:t>
      </w:r>
      <w:r>
        <w:rPr>
          <w:rFonts w:hint="eastAsia" w:eastAsia="仿宋_GB2312" w:cs="仿宋_GB2312"/>
          <w:color w:val="auto"/>
          <w:sz w:val="32"/>
          <w:szCs w:val="32"/>
          <w:highlight w:val="none"/>
          <w:lang w:eastAsia="zh-CN"/>
        </w:rPr>
        <w:t>在编人员退休一人，经费减少。</w:t>
      </w:r>
      <w:r>
        <w:rPr>
          <w:rFonts w:hint="eastAsia" w:eastAsia="仿宋_GB2312" w:cs="仿宋_GB2312"/>
          <w:color w:val="auto"/>
          <w:sz w:val="32"/>
          <w:szCs w:val="32"/>
          <w:highlight w:val="none"/>
          <w:lang w:val="en-US" w:eastAsia="zh-CN"/>
        </w:rPr>
        <w:t>2.项目上面因有公房报废，维修支出减少。</w:t>
      </w:r>
    </w:p>
    <w:p>
      <w:pPr>
        <w:spacing w:line="600" w:lineRule="exact"/>
        <w:ind w:firstLine="640" w:firstLineChars="20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sz w:val="32"/>
          <w:szCs w:val="32"/>
          <w:highlight w:val="none"/>
          <w:lang w:eastAsia="zh-CN"/>
        </w:rPr>
        <w:drawing>
          <wp:anchor distT="0" distB="0" distL="114300" distR="114300" simplePos="0" relativeHeight="251658240" behindDoc="0" locked="0" layoutInCell="1" allowOverlap="1">
            <wp:simplePos x="0" y="0"/>
            <wp:positionH relativeFrom="column">
              <wp:posOffset>439420</wp:posOffset>
            </wp:positionH>
            <wp:positionV relativeFrom="paragraph">
              <wp:posOffset>402590</wp:posOffset>
            </wp:positionV>
            <wp:extent cx="4412615" cy="2763520"/>
            <wp:effectExtent l="4445" t="4445" r="21590" b="13335"/>
            <wp:wrapTopAndBottom/>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Pr>
          <w:rFonts w:hint="eastAsia" w:ascii="Times New Roman" w:hAnsi="Times New Roman" w:eastAsia="仿宋_GB2312" w:cs="仿宋_GB2312"/>
          <w:color w:val="auto"/>
          <w:kern w:val="2"/>
          <w:sz w:val="32"/>
          <w:szCs w:val="32"/>
          <w:highlight w:val="none"/>
          <w:lang w:val="en-US" w:eastAsia="zh-CN" w:bidi="ar-SA"/>
        </w:rPr>
        <w:t>（图4：财政拨款收、支决算总计变动情况）（柱状图）</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pPr>
        <w:spacing w:line="600" w:lineRule="exact"/>
        <w:ind w:firstLine="640" w:firstLineChars="200"/>
        <w:outlineLvl w:val="1"/>
        <w:rPr>
          <w:rFonts w:hint="eastAsia" w:ascii="Times New Roman" w:hAnsi="Times New Roman" w:eastAsia="黑体"/>
          <w:color w:val="auto"/>
          <w:sz w:val="32"/>
          <w:szCs w:val="32"/>
          <w:highlight w:val="none"/>
        </w:rPr>
      </w:pPr>
      <w:bookmarkStart w:id="26" w:name="_Toc15377209"/>
      <w:bookmarkStart w:id="27" w:name="_Toc15396607"/>
    </w:p>
    <w:p>
      <w:pPr>
        <w:spacing w:line="600" w:lineRule="exact"/>
        <w:ind w:firstLine="640" w:firstLineChars="200"/>
        <w:outlineLvl w:val="1"/>
        <w:rPr>
          <w:rStyle w:val="29"/>
          <w:rFonts w:ascii="Times New Roman" w:hAnsi="Times New Roman" w:eastAsia="黑体"/>
          <w:b w:val="0"/>
          <w:color w:val="auto"/>
          <w:highlight w:val="none"/>
        </w:rPr>
      </w:pPr>
      <w:r>
        <w:rPr>
          <w:rFonts w:hint="eastAsia" w:ascii="Times New Roman" w:hAnsi="Times New Roman" w:eastAsia="黑体"/>
          <w:color w:val="auto"/>
          <w:sz w:val="32"/>
          <w:szCs w:val="32"/>
          <w:highlight w:val="none"/>
        </w:rPr>
        <w:t>五、</w:t>
      </w:r>
      <w:r>
        <w:rPr>
          <w:rFonts w:hint="eastAsia" w:ascii="Times New Roman" w:hAnsi="Times New Roman" w:eastAsia="黑体"/>
          <w:b/>
          <w:color w:val="auto"/>
          <w:sz w:val="32"/>
          <w:szCs w:val="32"/>
          <w:highlight w:val="none"/>
        </w:rPr>
        <w:t>一</w:t>
      </w:r>
      <w:r>
        <w:rPr>
          <w:rStyle w:val="29"/>
          <w:rFonts w:hint="eastAsia" w:ascii="Times New Roman" w:hAnsi="Times New Roman" w:eastAsia="黑体"/>
          <w:b w:val="0"/>
          <w:color w:val="auto"/>
          <w:highlight w:val="none"/>
        </w:rPr>
        <w:t>般公共预算财政拨款支出决算情况说明</w:t>
      </w:r>
      <w:bookmarkEnd w:id="26"/>
      <w:bookmarkEnd w:id="27"/>
    </w:p>
    <w:p>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28" w:name="_Toc15377210"/>
      <w:r>
        <w:rPr>
          <w:rFonts w:hint="eastAsia" w:ascii="Times New Roman" w:hAnsi="Times New Roman" w:eastAsia="楷体_GB2312" w:cs="楷体_GB2312"/>
          <w:b/>
          <w:color w:val="auto"/>
          <w:sz w:val="32"/>
          <w:szCs w:val="32"/>
          <w:highlight w:val="none"/>
        </w:rPr>
        <w:t>（一）一般公共预算财政拨款支出决算总体情况</w:t>
      </w:r>
      <w:bookmarkEnd w:id="28"/>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sz w:val="32"/>
          <w:szCs w:val="32"/>
          <w:highlight w:val="none"/>
          <w:lang w:eastAsia="zh-CN"/>
        </w:rPr>
        <w:drawing>
          <wp:anchor distT="0" distB="0" distL="114300" distR="114300" simplePos="0" relativeHeight="251659264" behindDoc="0" locked="0" layoutInCell="1" allowOverlap="1">
            <wp:simplePos x="0" y="0"/>
            <wp:positionH relativeFrom="column">
              <wp:posOffset>598170</wp:posOffset>
            </wp:positionH>
            <wp:positionV relativeFrom="paragraph">
              <wp:posOffset>2717165</wp:posOffset>
            </wp:positionV>
            <wp:extent cx="4412615" cy="2763520"/>
            <wp:effectExtent l="4445" t="4445" r="21590" b="13335"/>
            <wp:wrapTopAndBottom/>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Pr>
          <w:rFonts w:hint="eastAsia" w:ascii="仿宋_GB2312" w:hAnsi="仿宋_GB2312" w:eastAsia="仿宋_GB2312" w:cs="仿宋_GB2312"/>
          <w:color w:val="auto"/>
          <w:kern w:val="2"/>
          <w:sz w:val="32"/>
          <w:szCs w:val="32"/>
          <w:highlight w:val="none"/>
          <w:lang w:val="en-US" w:eastAsia="zh-CN" w:bidi="ar-SA"/>
        </w:rPr>
        <w:t>2024年度一般公共预算财政拨款支出</w:t>
      </w:r>
      <w:r>
        <w:rPr>
          <w:rFonts w:hint="eastAsia" w:ascii="仿宋_GB2312" w:hAnsi="仿宋_GB2312" w:eastAsia="仿宋_GB2312" w:cs="仿宋_GB2312"/>
          <w:sz w:val="32"/>
          <w:szCs w:val="32"/>
        </w:rPr>
        <w:t>258.87</w:t>
      </w:r>
      <w:r>
        <w:rPr>
          <w:rFonts w:hint="eastAsia" w:ascii="仿宋_GB2312" w:hAnsi="仿宋_GB2312" w:eastAsia="仿宋_GB2312" w:cs="仿宋_GB2312"/>
          <w:color w:val="auto"/>
          <w:kern w:val="2"/>
          <w:sz w:val="32"/>
          <w:szCs w:val="32"/>
          <w:highlight w:val="none"/>
          <w:lang w:val="en-US" w:eastAsia="zh-CN" w:bidi="ar-SA"/>
        </w:rPr>
        <w:t>万元，占本年支出合计的</w:t>
      </w:r>
      <w:r>
        <w:rPr>
          <w:rFonts w:hint="eastAsia" w:ascii="仿宋_GB2312" w:hAnsi="仿宋_GB2312" w:eastAsia="仿宋_GB2312" w:cs="仿宋_GB2312"/>
          <w:sz w:val="32"/>
          <w:szCs w:val="32"/>
        </w:rPr>
        <w:t>97.25</w:t>
      </w:r>
      <w:r>
        <w:rPr>
          <w:rFonts w:hint="eastAsia" w:ascii="仿宋_GB2312" w:hAnsi="仿宋_GB2312" w:eastAsia="仿宋_GB2312" w:cs="仿宋_GB2312"/>
          <w:color w:val="auto"/>
          <w:kern w:val="2"/>
          <w:sz w:val="32"/>
          <w:szCs w:val="32"/>
          <w:highlight w:val="none"/>
          <w:lang w:val="en-US" w:eastAsia="zh-CN" w:bidi="ar-SA"/>
        </w:rPr>
        <w:t>%。与2023年度333万元相比，一般公共预算财政拨款支出减少74.13万元，下降22.26%。主要变动原因是</w:t>
      </w:r>
      <w:r>
        <w:rPr>
          <w:rFonts w:hint="eastAsia" w:eastAsia="仿宋_GB2312" w:cs="仿宋_GB2312"/>
          <w:color w:val="auto"/>
          <w:sz w:val="32"/>
          <w:szCs w:val="32"/>
          <w:highlight w:val="none"/>
          <w:lang w:val="en-US" w:eastAsia="zh-CN"/>
        </w:rPr>
        <w:t>1.</w:t>
      </w:r>
      <w:r>
        <w:rPr>
          <w:rFonts w:hint="eastAsia" w:eastAsia="仿宋_GB2312" w:cs="仿宋_GB2312"/>
          <w:color w:val="auto"/>
          <w:sz w:val="32"/>
          <w:szCs w:val="32"/>
          <w:highlight w:val="none"/>
          <w:lang w:eastAsia="zh-CN"/>
        </w:rPr>
        <w:t>在编人员退休一人，经费减少。</w:t>
      </w:r>
      <w:r>
        <w:rPr>
          <w:rFonts w:hint="eastAsia" w:eastAsia="仿宋_GB2312" w:cs="仿宋_GB2312"/>
          <w:color w:val="auto"/>
          <w:sz w:val="32"/>
          <w:szCs w:val="32"/>
          <w:highlight w:val="none"/>
          <w:lang w:val="en-US" w:eastAsia="zh-CN"/>
        </w:rPr>
        <w:t>2.项目上面因有公房报废，维修支出减少。</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（图5：一般公共预算财政拨款支出决算变动情况）（柱状图）</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29" w:name="_Toc15377211"/>
      <w:r>
        <w:rPr>
          <w:rFonts w:hint="eastAsia" w:ascii="Times New Roman" w:hAnsi="Times New Roman" w:eastAsia="楷体_GB2312" w:cs="楷体_GB2312"/>
          <w:b/>
          <w:color w:val="auto"/>
          <w:sz w:val="32"/>
          <w:szCs w:val="32"/>
          <w:highlight w:val="none"/>
        </w:rPr>
        <w:t>（二）一般公共预算财政拨款支出决算结构情况</w:t>
      </w:r>
      <w:bookmarkEnd w:id="29"/>
    </w:p>
    <w:p>
      <w:pPr>
        <w:spacing w:line="600" w:lineRule="exact"/>
        <w:ind w:firstLine="640"/>
        <w:rPr>
          <w:rFonts w:hint="eastAsia" w:ascii="Times New Roman" w:hAnsi="Times New Roman" w:eastAsia="仿宋_GB2312" w:cs="仿宋_GB2312"/>
          <w:b/>
          <w:bCs/>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2024年度一般公共预算财政拨款支出</w:t>
      </w:r>
      <w:r>
        <w:rPr>
          <w:rFonts w:hint="eastAsia" w:ascii="仿宋_GB2312" w:hAnsi="仿宋_GB2312" w:eastAsia="仿宋_GB2312" w:cs="仿宋_GB2312"/>
          <w:sz w:val="32"/>
          <w:szCs w:val="32"/>
        </w:rPr>
        <w:t>258.87</w:t>
      </w:r>
      <w:r>
        <w:rPr>
          <w:rFonts w:hint="eastAsia" w:ascii="仿宋_GB2312" w:hAnsi="仿宋_GB2312" w:eastAsia="仿宋_GB2312" w:cs="仿宋_GB2312"/>
          <w:color w:val="auto"/>
          <w:kern w:val="2"/>
          <w:sz w:val="32"/>
          <w:szCs w:val="32"/>
          <w:highlight w:val="none"/>
          <w:lang w:val="en-US" w:eastAsia="zh-CN" w:bidi="ar-SA"/>
        </w:rPr>
        <w:t>万元</w:t>
      </w:r>
      <w:r>
        <w:rPr>
          <w:rFonts w:hint="eastAsia" w:ascii="Times New Roman" w:hAnsi="Times New Roman" w:eastAsia="仿宋_GB2312" w:cs="仿宋_GB2312"/>
          <w:color w:val="auto"/>
          <w:kern w:val="2"/>
          <w:sz w:val="32"/>
          <w:szCs w:val="32"/>
          <w:highlight w:val="none"/>
          <w:lang w:val="en-US" w:eastAsia="zh-CN" w:bidi="ar-SA"/>
        </w:rPr>
        <w:t>，主要用于以下方面</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一般公共服务支出</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万元，占</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%；教育支出</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万元，占</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%；科学技术支出</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万元，占</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%；文化旅游体育与传媒支出</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万元，占</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%；社会保障和就业支出</w:t>
      </w:r>
      <w:r>
        <w:rPr>
          <w:rFonts w:hint="eastAsia" w:eastAsia="仿宋_GB2312" w:cs="仿宋_GB2312"/>
          <w:color w:val="auto"/>
          <w:kern w:val="2"/>
          <w:sz w:val="32"/>
          <w:szCs w:val="32"/>
          <w:highlight w:val="none"/>
          <w:lang w:val="en-US" w:eastAsia="zh-CN" w:bidi="ar-SA"/>
        </w:rPr>
        <w:t>59.41</w:t>
      </w:r>
      <w:r>
        <w:rPr>
          <w:rFonts w:hint="eastAsia" w:ascii="Times New Roman" w:hAnsi="Times New Roman" w:eastAsia="仿宋_GB2312" w:cs="仿宋_GB2312"/>
          <w:color w:val="auto"/>
          <w:kern w:val="2"/>
          <w:sz w:val="32"/>
          <w:szCs w:val="32"/>
          <w:highlight w:val="none"/>
          <w:lang w:val="en-US" w:eastAsia="zh-CN" w:bidi="ar-SA"/>
        </w:rPr>
        <w:t>万元，占</w:t>
      </w:r>
      <w:r>
        <w:rPr>
          <w:rFonts w:hint="eastAsia" w:eastAsia="仿宋_GB2312" w:cs="仿宋_GB2312"/>
          <w:color w:val="auto"/>
          <w:kern w:val="2"/>
          <w:sz w:val="32"/>
          <w:szCs w:val="32"/>
          <w:highlight w:val="none"/>
          <w:lang w:val="en-US" w:eastAsia="zh-CN" w:bidi="ar-SA"/>
        </w:rPr>
        <w:t>23</w:t>
      </w:r>
      <w:r>
        <w:rPr>
          <w:rFonts w:hint="eastAsia" w:ascii="Times New Roman" w:hAnsi="Times New Roman" w:eastAsia="仿宋_GB2312" w:cs="仿宋_GB2312"/>
          <w:color w:val="auto"/>
          <w:kern w:val="2"/>
          <w:sz w:val="32"/>
          <w:szCs w:val="32"/>
          <w:highlight w:val="none"/>
          <w:lang w:val="en-US" w:eastAsia="zh-CN" w:bidi="ar-SA"/>
        </w:rPr>
        <w:t>%；卫生健康支出</w:t>
      </w:r>
      <w:r>
        <w:rPr>
          <w:rFonts w:hint="eastAsia" w:eastAsia="仿宋_GB2312" w:cs="仿宋_GB2312"/>
          <w:color w:val="auto"/>
          <w:kern w:val="2"/>
          <w:sz w:val="32"/>
          <w:szCs w:val="32"/>
          <w:highlight w:val="none"/>
          <w:lang w:val="en-US" w:eastAsia="zh-CN" w:bidi="ar-SA"/>
        </w:rPr>
        <w:t>7.22</w:t>
      </w:r>
      <w:r>
        <w:rPr>
          <w:rFonts w:hint="eastAsia" w:ascii="Times New Roman" w:hAnsi="Times New Roman" w:eastAsia="仿宋_GB2312" w:cs="仿宋_GB2312"/>
          <w:color w:val="auto"/>
          <w:kern w:val="2"/>
          <w:sz w:val="32"/>
          <w:szCs w:val="32"/>
          <w:highlight w:val="none"/>
          <w:lang w:val="en-US" w:eastAsia="zh-CN" w:bidi="ar-SA"/>
        </w:rPr>
        <w:t>万元，占</w:t>
      </w:r>
      <w:r>
        <w:rPr>
          <w:rFonts w:hint="eastAsia" w:eastAsia="仿宋_GB2312" w:cs="仿宋_GB2312"/>
          <w:color w:val="auto"/>
          <w:kern w:val="2"/>
          <w:sz w:val="32"/>
          <w:szCs w:val="32"/>
          <w:highlight w:val="none"/>
          <w:lang w:val="en-US" w:eastAsia="zh-CN" w:bidi="ar-SA"/>
        </w:rPr>
        <w:t>3</w:t>
      </w:r>
      <w:r>
        <w:rPr>
          <w:rFonts w:hint="eastAsia" w:ascii="Times New Roman" w:hAnsi="Times New Roman" w:eastAsia="仿宋_GB2312" w:cs="仿宋_GB2312"/>
          <w:color w:val="auto"/>
          <w:kern w:val="2"/>
          <w:sz w:val="32"/>
          <w:szCs w:val="32"/>
          <w:highlight w:val="none"/>
          <w:lang w:val="en-US" w:eastAsia="zh-CN" w:bidi="ar-SA"/>
        </w:rPr>
        <w:t>%；住房保障支出</w:t>
      </w:r>
      <w:r>
        <w:rPr>
          <w:rFonts w:hint="eastAsia" w:eastAsia="仿宋_GB2312" w:cs="仿宋_GB2312"/>
          <w:color w:val="auto"/>
          <w:kern w:val="2"/>
          <w:sz w:val="32"/>
          <w:szCs w:val="32"/>
          <w:highlight w:val="none"/>
          <w:lang w:val="en-US" w:eastAsia="zh-CN" w:bidi="ar-SA"/>
        </w:rPr>
        <w:t>8.87</w:t>
      </w:r>
      <w:r>
        <w:rPr>
          <w:rFonts w:hint="eastAsia" w:ascii="Times New Roman" w:hAnsi="Times New Roman" w:eastAsia="仿宋_GB2312" w:cs="仿宋_GB2312"/>
          <w:color w:val="auto"/>
          <w:kern w:val="2"/>
          <w:sz w:val="32"/>
          <w:szCs w:val="32"/>
          <w:highlight w:val="none"/>
          <w:lang w:val="en-US" w:eastAsia="zh-CN" w:bidi="ar-SA"/>
        </w:rPr>
        <w:t>万元，占</w:t>
      </w:r>
      <w:r>
        <w:rPr>
          <w:rFonts w:hint="eastAsia" w:eastAsia="仿宋_GB2312" w:cs="仿宋_GB2312"/>
          <w:color w:val="auto"/>
          <w:kern w:val="2"/>
          <w:sz w:val="32"/>
          <w:szCs w:val="32"/>
          <w:highlight w:val="none"/>
          <w:lang w:val="en-US" w:eastAsia="zh-CN" w:bidi="ar-SA"/>
        </w:rPr>
        <w:t>3</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城乡社区支出183.4万元</w:t>
      </w:r>
      <w:r>
        <w:rPr>
          <w:rFonts w:hint="eastAsia" w:ascii="Times New Roman" w:hAnsi="Times New Roman" w:eastAsia="仿宋_GB2312" w:cs="仿宋_GB2312"/>
          <w:color w:val="auto"/>
          <w:kern w:val="2"/>
          <w:sz w:val="32"/>
          <w:szCs w:val="32"/>
          <w:highlight w:val="none"/>
          <w:lang w:val="en-US" w:eastAsia="zh-CN" w:bidi="ar-SA"/>
        </w:rPr>
        <w:t>，占71%</w:t>
      </w:r>
      <w:r>
        <w:rPr>
          <w:rFonts w:hint="eastAsia" w:ascii="Times New Roman" w:hAnsi="Times New Roman" w:eastAsia="仿宋_GB2312" w:cs="仿宋_GB2312"/>
          <w:b/>
          <w:bCs/>
          <w:color w:val="auto"/>
          <w:kern w:val="2"/>
          <w:sz w:val="32"/>
          <w:szCs w:val="32"/>
          <w:highlight w:val="none"/>
          <w:lang w:val="en-US" w:eastAsia="zh-CN" w:bidi="ar-SA"/>
        </w:rPr>
        <w:t>（注：仅罗列本部门涉及的全部功能分类科目，至类级）</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（图6：一般公共预算财政拨款支出决算结构）（饼状图）</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drawing>
          <wp:anchor distT="0" distB="0" distL="114300" distR="114300" simplePos="0" relativeHeight="251660288" behindDoc="0" locked="0" layoutInCell="1" allowOverlap="1">
            <wp:simplePos x="0" y="0"/>
            <wp:positionH relativeFrom="column">
              <wp:posOffset>645795</wp:posOffset>
            </wp:positionH>
            <wp:positionV relativeFrom="paragraph">
              <wp:posOffset>210820</wp:posOffset>
            </wp:positionV>
            <wp:extent cx="4127500" cy="3095625"/>
            <wp:effectExtent l="4445" t="5080" r="20955" b="4445"/>
            <wp:wrapTopAndBottom/>
            <wp:docPr id="12"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p>
    <w:p>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30" w:name="_Toc15377212"/>
      <w:r>
        <w:rPr>
          <w:rFonts w:hint="eastAsia" w:ascii="Times New Roman" w:hAnsi="Times New Roman" w:eastAsia="楷体_GB2312" w:cs="楷体_GB2312"/>
          <w:b/>
          <w:color w:val="auto"/>
          <w:sz w:val="32"/>
          <w:szCs w:val="32"/>
          <w:highlight w:val="none"/>
        </w:rPr>
        <w:t>（三）一般公共预算财政拨款支出决算具体情况</w:t>
      </w:r>
      <w:bookmarkEnd w:id="30"/>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bookmarkStart w:id="31" w:name="_Toc15377444"/>
      <w:bookmarkStart w:id="32" w:name="_Toc15378460"/>
      <w:bookmarkStart w:id="33" w:name="_Toc15377213"/>
      <w:r>
        <w:rPr>
          <w:rFonts w:hint="eastAsia" w:ascii="Times New Roman" w:hAnsi="Times New Roman" w:eastAsia="仿宋_GB2312" w:cs="仿宋_GB2312"/>
          <w:color w:val="auto"/>
          <w:kern w:val="2"/>
          <w:sz w:val="32"/>
          <w:szCs w:val="32"/>
          <w:highlight w:val="none"/>
          <w:lang w:val="en-US" w:eastAsia="zh-CN" w:bidi="ar-SA"/>
        </w:rPr>
        <w:t>2024年度一般公共预算财政拨款支出决算数为</w:t>
      </w:r>
      <w:r>
        <w:rPr>
          <w:rFonts w:hint="eastAsia" w:ascii="仿宋_GB2312" w:hAnsi="仿宋_GB2312" w:eastAsia="仿宋_GB2312" w:cs="仿宋_GB2312"/>
          <w:sz w:val="32"/>
          <w:szCs w:val="32"/>
        </w:rPr>
        <w:t>258.87</w:t>
      </w:r>
      <w:r>
        <w:rPr>
          <w:rFonts w:hint="eastAsia" w:ascii="仿宋_GB2312" w:hAnsi="仿宋_GB2312"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%。其中：</w:t>
      </w:r>
      <w:bookmarkEnd w:id="31"/>
      <w:bookmarkEnd w:id="32"/>
      <w:bookmarkEnd w:id="33"/>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1</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一般公共服务（类）***（款）***（项）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%，决算数小于/等于预算数的主要原因是……</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2.教育（类）***（款）***（项）: 支出决算为</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%，决算数小于/等于预算数的主要原因是……</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3.科学技术（类）***（款）***（项）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%，决算数小于/等于预算数的主要原因是……</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4.文化旅游体育与传媒（类）***（款）***（项）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支出决算为**万元，完成预算**%，决算数小于/等于预算数的主要原因是……</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5.社会保障和就业（类）***（款）***（项）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eastAsia="仿宋_GB2312" w:cs="仿宋_GB2312"/>
          <w:color w:val="auto"/>
          <w:kern w:val="2"/>
          <w:sz w:val="32"/>
          <w:szCs w:val="32"/>
          <w:highlight w:val="none"/>
          <w:lang w:val="en-US" w:eastAsia="zh-CN" w:bidi="ar-SA"/>
        </w:rPr>
        <w:t>59.41</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%，决算数等于预算数</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6.卫生健康（类）***（款）***（项）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eastAsia="仿宋_GB2312" w:cs="仿宋_GB2312"/>
          <w:color w:val="auto"/>
          <w:kern w:val="2"/>
          <w:sz w:val="32"/>
          <w:szCs w:val="32"/>
          <w:highlight w:val="none"/>
          <w:lang w:val="en-US" w:eastAsia="zh-CN" w:bidi="ar-SA"/>
        </w:rPr>
        <w:t>7.22</w:t>
      </w:r>
      <w:r>
        <w:rPr>
          <w:rFonts w:hint="eastAsia" w:ascii="Times New Roman" w:hAnsi="Times New Roman" w:eastAsia="仿宋_GB2312" w:cs="仿宋_GB2312"/>
          <w:color w:val="auto"/>
          <w:kern w:val="2"/>
          <w:sz w:val="32"/>
          <w:szCs w:val="32"/>
          <w:highlight w:val="none"/>
          <w:lang w:val="en-US" w:eastAsia="zh-CN" w:bidi="ar-SA"/>
        </w:rPr>
        <w:t>万元，</w:t>
      </w:r>
      <w:r>
        <w:rPr>
          <w:rFonts w:hint="eastAsia" w:ascii="Times New Roman" w:hAnsi="Times New Roman" w:eastAsia="仿宋_GB2312" w:cs="仿宋_GB2312"/>
          <w:color w:val="auto"/>
          <w:kern w:val="2"/>
          <w:sz w:val="32"/>
          <w:szCs w:val="32"/>
          <w:highlight w:val="none"/>
          <w:lang w:val="en-US" w:eastAsia="zh-CN" w:bidi="ar-SA"/>
        </w:rPr>
        <w:t>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%，决算数等于预算数</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7.住房保障（类）***（款）***（项）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eastAsia="仿宋_GB2312" w:cs="仿宋_GB2312"/>
          <w:color w:val="auto"/>
          <w:kern w:val="2"/>
          <w:sz w:val="32"/>
          <w:szCs w:val="32"/>
          <w:highlight w:val="none"/>
          <w:lang w:val="en-US" w:eastAsia="zh-CN" w:bidi="ar-SA"/>
        </w:rPr>
        <w:t>8.87</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%，决算数等于预算数</w:t>
      </w:r>
    </w:p>
    <w:p>
      <w:pPr>
        <w:pStyle w:val="2"/>
        <w:ind w:firstLine="640" w:firstLineChars="200"/>
        <w:rPr>
          <w:rFonts w:hint="eastAsia"/>
          <w:lang w:val="en-US" w:eastAsia="zh-CN"/>
        </w:rPr>
      </w:pPr>
      <w:r>
        <w:rPr>
          <w:rFonts w:hint="eastAsia" w:ascii="Times New Roman" w:hAnsi="Times New Roman" w:cs="仿宋_GB2312"/>
          <w:color w:val="auto"/>
          <w:kern w:val="2"/>
          <w:sz w:val="32"/>
          <w:szCs w:val="32"/>
          <w:highlight w:val="none"/>
          <w:lang w:val="en-US" w:eastAsia="zh-CN" w:bidi="ar-SA"/>
        </w:rPr>
        <w:t>8</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城乡社区</w:t>
      </w:r>
      <w:r>
        <w:rPr>
          <w:rFonts w:hint="eastAsia" w:ascii="Times New Roman" w:hAnsi="Times New Roman" w:eastAsia="仿宋_GB2312" w:cs="仿宋_GB2312"/>
          <w:color w:val="auto"/>
          <w:kern w:val="2"/>
          <w:sz w:val="32"/>
          <w:szCs w:val="32"/>
          <w:highlight w:val="none"/>
          <w:lang w:val="en-US" w:eastAsia="zh-CN" w:bidi="ar-SA"/>
        </w:rPr>
        <w:t>（类）***（款）***（项）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eastAsia="仿宋_GB2312" w:cs="仿宋_GB2312"/>
          <w:color w:val="auto"/>
          <w:kern w:val="2"/>
          <w:sz w:val="32"/>
          <w:szCs w:val="32"/>
          <w:highlight w:val="none"/>
          <w:lang w:val="en-US" w:eastAsia="zh-CN" w:bidi="ar-SA"/>
        </w:rPr>
        <w:t>183.4万元</w:t>
      </w:r>
      <w:r>
        <w:rPr>
          <w:rFonts w:hint="eastAsia" w:ascii="Times New Roman" w:hAnsi="Times New Roman" w:eastAsia="仿宋_GB2312" w:cs="仿宋_GB2312"/>
          <w:color w:val="auto"/>
          <w:kern w:val="2"/>
          <w:sz w:val="32"/>
          <w:szCs w:val="32"/>
          <w:highlight w:val="none"/>
          <w:lang w:val="en-US" w:eastAsia="zh-CN" w:bidi="ar-SA"/>
        </w:rPr>
        <w:t>，完成预算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%，决算数等于预算数</w:t>
      </w:r>
    </w:p>
    <w:p>
      <w:pPr>
        <w:spacing w:line="600" w:lineRule="exact"/>
        <w:ind w:firstLine="640"/>
        <w:rPr>
          <w:rFonts w:hint="eastAsia" w:ascii="Times New Roman" w:hAnsi="Times New Roman" w:eastAsia="仿宋_GB2312" w:cs="仿宋_GB2312"/>
          <w:b/>
          <w:bCs/>
          <w:color w:val="auto"/>
          <w:kern w:val="2"/>
          <w:sz w:val="32"/>
          <w:szCs w:val="32"/>
          <w:highlight w:val="none"/>
          <w:lang w:val="en-US" w:eastAsia="zh-CN" w:bidi="ar-SA"/>
        </w:rPr>
      </w:pPr>
    </w:p>
    <w:p>
      <w:pPr>
        <w:spacing w:line="600" w:lineRule="exact"/>
        <w:ind w:firstLine="640"/>
        <w:rPr>
          <w:rFonts w:hint="eastAsia" w:ascii="Times New Roman" w:hAnsi="Times New Roman" w:eastAsia="仿宋_GB2312" w:cs="仿宋_GB2312"/>
          <w:b/>
          <w:bCs/>
          <w:color w:val="auto"/>
          <w:kern w:val="2"/>
          <w:sz w:val="32"/>
          <w:szCs w:val="32"/>
          <w:highlight w:val="none"/>
          <w:lang w:val="en-US" w:eastAsia="zh-CN" w:bidi="ar-SA"/>
        </w:rPr>
      </w:pPr>
      <w:r>
        <w:rPr>
          <w:rFonts w:hint="eastAsia" w:ascii="Times New Roman" w:hAnsi="Times New Roman" w:eastAsia="仿宋_GB2312" w:cs="仿宋_GB2312"/>
          <w:b/>
          <w:bCs/>
          <w:color w:val="auto"/>
          <w:kern w:val="2"/>
          <w:sz w:val="32"/>
          <w:szCs w:val="32"/>
          <w:highlight w:val="none"/>
          <w:lang w:val="en-US" w:eastAsia="zh-CN" w:bidi="ar-SA"/>
        </w:rPr>
        <w:t>（注：仅罗列本部门涉及的全部功能分类科目，至项级。上述“预算”口径为全年预算数。增减变动原因为决算数&lt;项级&gt;和全年预算数&lt;项级&gt;比较，与预算数持平可以不写原因）</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pPr>
        <w:tabs>
          <w:tab w:val="right" w:pos="8306"/>
        </w:tabs>
        <w:spacing w:line="600" w:lineRule="exact"/>
        <w:ind w:firstLine="640"/>
        <w:outlineLvl w:val="1"/>
        <w:rPr>
          <w:rStyle w:val="29"/>
          <w:rFonts w:ascii="Times New Roman" w:hAnsi="Times New Roman"/>
          <w:color w:val="auto"/>
          <w:highlight w:val="none"/>
        </w:rPr>
      </w:pPr>
      <w:bookmarkStart w:id="34" w:name="_Toc15377214"/>
      <w:bookmarkStart w:id="35" w:name="_Toc15396608"/>
      <w:r>
        <w:rPr>
          <w:rFonts w:hint="eastAsia" w:ascii="Times New Roman" w:hAnsi="Times New Roman" w:eastAsia="黑体"/>
          <w:color w:val="auto"/>
          <w:sz w:val="32"/>
          <w:szCs w:val="32"/>
          <w:highlight w:val="none"/>
        </w:rPr>
        <w:t>六</w:t>
      </w:r>
      <w:r>
        <w:rPr>
          <w:rFonts w:hint="eastAsia" w:ascii="Times New Roman" w:hAnsi="Times New Roman" w:eastAsia="黑体"/>
          <w:b/>
          <w:color w:val="auto"/>
          <w:sz w:val="32"/>
          <w:szCs w:val="32"/>
          <w:highlight w:val="none"/>
        </w:rPr>
        <w:t>、一</w:t>
      </w:r>
      <w:r>
        <w:rPr>
          <w:rStyle w:val="29"/>
          <w:rFonts w:hint="eastAsia" w:ascii="Times New Roman" w:hAnsi="Times New Roman" w:eastAsia="黑体"/>
          <w:b w:val="0"/>
          <w:color w:val="auto"/>
          <w:highlight w:val="none"/>
        </w:rPr>
        <w:t>般公共预算财政拨款基本支出决算情况说明</w:t>
      </w:r>
      <w:bookmarkEnd w:id="34"/>
      <w:bookmarkEnd w:id="35"/>
      <w:r>
        <w:rPr>
          <w:rStyle w:val="29"/>
          <w:rFonts w:ascii="Times New Roman" w:hAnsi="Times New Roman" w:eastAsia="黑体"/>
          <w:b w:val="0"/>
          <w:color w:val="auto"/>
          <w:highlight w:val="none"/>
        </w:rPr>
        <w:tab/>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2024年度一般公共预算财政拨款基本支出</w:t>
      </w:r>
      <w:r>
        <w:rPr>
          <w:rFonts w:hint="eastAsia" w:ascii="仿宋_GB2312" w:hAnsi="仿宋_GB2312" w:eastAsia="仿宋_GB2312" w:cs="仿宋_GB2312"/>
          <w:sz w:val="32"/>
          <w:szCs w:val="32"/>
        </w:rPr>
        <w:t>211.41</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元，其中：</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人员经费</w:t>
      </w:r>
      <w:r>
        <w:rPr>
          <w:rFonts w:hint="eastAsia" w:ascii="仿宋_GB2312" w:hAnsi="仿宋_GB2312" w:eastAsia="仿宋_GB2312" w:cs="仿宋_GB2312"/>
          <w:sz w:val="32"/>
          <w:szCs w:val="32"/>
        </w:rPr>
        <w:t>200.54</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主要包括：基本工资、津贴补贴、奖金、伙食补助费、绩效工资、机关事业单位基本养老保险缴费、职业年金缴费、其他社会保障缴费、其他工资福利支出、离休费、退休费、抚恤金、生活补助、医疗费补助、奖励金、住房公积金、其他对个人和家庭的补助支出等。</w:t>
      </w:r>
      <w:r>
        <w:rPr>
          <w:rFonts w:hint="eastAsia" w:ascii="Times New Roman" w:hAnsi="Times New Roman" w:eastAsia="仿宋_GB2312" w:cs="仿宋_GB2312"/>
          <w:color w:val="auto"/>
          <w:kern w:val="2"/>
          <w:sz w:val="32"/>
          <w:szCs w:val="32"/>
          <w:highlight w:val="none"/>
          <w:lang w:val="en-US" w:eastAsia="zh-CN" w:bidi="ar-SA"/>
        </w:rPr>
        <w:br w:type="textWrapping"/>
      </w:r>
      <w:r>
        <w:rPr>
          <w:rFonts w:hint="eastAsia" w:ascii="Times New Roman" w:hAnsi="Times New Roman" w:eastAsia="仿宋_GB2312" w:cs="仿宋_GB2312"/>
          <w:color w:val="auto"/>
          <w:kern w:val="2"/>
          <w:sz w:val="32"/>
          <w:szCs w:val="32"/>
          <w:highlight w:val="none"/>
          <w:lang w:val="en-US" w:eastAsia="zh-CN" w:bidi="ar-SA"/>
        </w:rPr>
        <w:t>　　公用经费</w:t>
      </w:r>
      <w:r>
        <w:rPr>
          <w:rFonts w:hint="eastAsia" w:ascii="仿宋_GB2312" w:hAnsi="仿宋_GB2312" w:eastAsia="仿宋_GB2312" w:cs="仿宋_GB2312"/>
          <w:sz w:val="32"/>
          <w:szCs w:val="32"/>
        </w:rPr>
        <w:t>10.87</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主要包括：办公费、印刷费、咨询费、手续费、水费、电费、邮电费、取暖费、物业管理费、差旅费、因公出国（境）费用、维修（护）费、租赁费、会议费、培训费、公务接待费、劳务费、委托业务费、工会经费、福利费、公务用车运行维护费、其他交通费、税金及附加费用、其他商品和服务支出、办公设备购置、专用设备购置、信息网络及软件购置更新、其他资本性支出等。</w:t>
      </w:r>
    </w:p>
    <w:p>
      <w:pPr>
        <w:spacing w:line="600" w:lineRule="exact"/>
        <w:ind w:firstLine="640"/>
        <w:rPr>
          <w:rFonts w:hint="eastAsia" w:ascii="Times New Roman" w:hAnsi="Times New Roman" w:eastAsia="仿宋_GB2312" w:cs="仿宋_GB2312"/>
          <w:b/>
          <w:bCs/>
          <w:color w:val="auto"/>
          <w:kern w:val="2"/>
          <w:sz w:val="32"/>
          <w:szCs w:val="32"/>
          <w:highlight w:val="none"/>
          <w:lang w:val="en-US" w:eastAsia="zh-CN" w:bidi="ar-SA"/>
        </w:rPr>
      </w:pPr>
      <w:r>
        <w:rPr>
          <w:rFonts w:hint="eastAsia" w:ascii="Times New Roman" w:hAnsi="Times New Roman" w:eastAsia="仿宋_GB2312" w:cs="仿宋_GB2312"/>
          <w:b/>
          <w:bCs/>
          <w:color w:val="auto"/>
          <w:kern w:val="2"/>
          <w:sz w:val="32"/>
          <w:szCs w:val="32"/>
          <w:highlight w:val="none"/>
          <w:lang w:val="en-US" w:eastAsia="zh-CN" w:bidi="ar-SA"/>
        </w:rPr>
        <w:t>（注：仅罗列本部门实际支出涉及的经济分类科目）</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pPr>
        <w:spacing w:line="600" w:lineRule="exact"/>
        <w:ind w:firstLine="640"/>
        <w:outlineLvl w:val="1"/>
        <w:rPr>
          <w:rStyle w:val="29"/>
          <w:rFonts w:ascii="Times New Roman" w:hAnsi="Times New Roman" w:eastAsia="黑体"/>
          <w:b w:val="0"/>
          <w:color w:val="auto"/>
          <w:highlight w:val="none"/>
        </w:rPr>
      </w:pPr>
      <w:bookmarkStart w:id="36" w:name="_Toc15377215"/>
      <w:bookmarkStart w:id="37" w:name="_Toc15396609"/>
      <w:r>
        <w:rPr>
          <w:rFonts w:hint="eastAsia" w:ascii="Times New Roman" w:hAnsi="Times New Roman" w:eastAsia="黑体"/>
          <w:color w:val="auto"/>
          <w:sz w:val="32"/>
          <w:szCs w:val="32"/>
          <w:highlight w:val="none"/>
        </w:rPr>
        <w:t>七、</w:t>
      </w:r>
      <w:r>
        <w:rPr>
          <w:rStyle w:val="29"/>
          <w:rFonts w:hint="eastAsia" w:ascii="Times New Roman" w:hAnsi="Times New Roman" w:eastAsia="黑体"/>
          <w:b w:val="0"/>
          <w:color w:val="auto"/>
          <w:highlight w:val="none"/>
        </w:rPr>
        <w:t>财政拨款</w:t>
      </w:r>
      <w:r>
        <w:rPr>
          <w:rStyle w:val="29"/>
          <w:rFonts w:hint="eastAsia" w:ascii="Times New Roman" w:hAnsi="Times New Roman" w:eastAsia="黑体"/>
          <w:color w:val="auto"/>
          <w:highlight w:val="none"/>
        </w:rPr>
        <w:t>“</w:t>
      </w:r>
      <w:r>
        <w:rPr>
          <w:rStyle w:val="29"/>
          <w:rFonts w:hint="eastAsia" w:ascii="Times New Roman" w:hAnsi="Times New Roman" w:eastAsia="黑体"/>
          <w:b w:val="0"/>
          <w:color w:val="auto"/>
          <w:highlight w:val="none"/>
        </w:rPr>
        <w:t>三公”经费支出决算情况说明</w:t>
      </w:r>
      <w:bookmarkEnd w:id="36"/>
      <w:bookmarkEnd w:id="37"/>
    </w:p>
    <w:p>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38" w:name="_Toc15377216"/>
      <w:r>
        <w:rPr>
          <w:rFonts w:hint="eastAsia" w:ascii="Times New Roman" w:hAnsi="Times New Roman" w:eastAsia="楷体_GB2312" w:cs="楷体_GB2312"/>
          <w:b/>
          <w:color w:val="auto"/>
          <w:sz w:val="32"/>
          <w:szCs w:val="32"/>
          <w:highlight w:val="none"/>
        </w:rPr>
        <w:t>（一）“三公”经费财政拨款支出决算总体情况说明</w:t>
      </w:r>
      <w:bookmarkEnd w:id="38"/>
    </w:p>
    <w:p>
      <w:pPr>
        <w:spacing w:line="600" w:lineRule="exact"/>
        <w:ind w:firstLine="640"/>
        <w:rPr>
          <w:rFonts w:hint="eastAsia" w:ascii="Times New Roman" w:hAnsi="Times New Roman" w:eastAsia="仿宋_GB2312" w:cs="仿宋_GB2312"/>
          <w:b/>
          <w:bCs/>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2024年度“三公”经费财政拨款支出决算为</w:t>
      </w:r>
      <w:r>
        <w:rPr>
          <w:rFonts w:hint="eastAsia" w:ascii="仿宋_GB2312" w:hAnsi="仿宋_GB2312" w:eastAsia="仿宋_GB2312" w:cs="仿宋_GB2312"/>
          <w:sz w:val="32"/>
          <w:szCs w:val="32"/>
        </w:rPr>
        <w:t>0.32</w:t>
      </w:r>
      <w:r>
        <w:rPr>
          <w:rFonts w:hint="eastAsia" w:ascii="仿宋_GB2312" w:hAnsi="仿宋_GB2312" w:eastAsia="仿宋_GB2312" w:cs="仿宋_GB2312"/>
          <w:color w:val="auto"/>
          <w:kern w:val="2"/>
          <w:sz w:val="32"/>
          <w:szCs w:val="32"/>
          <w:highlight w:val="none"/>
          <w:lang w:val="en-US" w:eastAsia="zh-CN" w:bidi="ar-SA"/>
        </w:rPr>
        <w:t>万元，完成预算</w:t>
      </w:r>
      <w:r>
        <w:rPr>
          <w:rFonts w:hint="eastAsia" w:ascii="仿宋_GB2312" w:hAnsi="仿宋_GB2312" w:eastAsia="仿宋_GB2312" w:cs="仿宋_GB2312"/>
          <w:sz w:val="32"/>
          <w:szCs w:val="32"/>
        </w:rPr>
        <w:t>100</w:t>
      </w:r>
      <w:r>
        <w:rPr>
          <w:rFonts w:hint="eastAsia" w:ascii="仿宋_GB2312" w:hAnsi="仿宋_GB2312"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较上年度减少</w:t>
      </w:r>
      <w:r>
        <w:rPr>
          <w:rFonts w:hint="eastAsia" w:eastAsia="仿宋_GB2312" w:cs="仿宋_GB2312"/>
          <w:color w:val="auto"/>
          <w:kern w:val="2"/>
          <w:sz w:val="32"/>
          <w:szCs w:val="32"/>
          <w:highlight w:val="none"/>
          <w:lang w:val="en-US" w:eastAsia="zh-CN" w:bidi="ar-SA"/>
        </w:rPr>
        <w:t>0.12</w:t>
      </w:r>
      <w:r>
        <w:rPr>
          <w:rFonts w:hint="eastAsia" w:ascii="Times New Roman" w:hAnsi="Times New Roman" w:eastAsia="仿宋_GB2312" w:cs="仿宋_GB2312"/>
          <w:color w:val="auto"/>
          <w:kern w:val="2"/>
          <w:sz w:val="32"/>
          <w:szCs w:val="32"/>
          <w:highlight w:val="none"/>
          <w:lang w:val="en-US" w:eastAsia="zh-CN" w:bidi="ar-SA"/>
        </w:rPr>
        <w:t>万元，下降</w:t>
      </w:r>
      <w:r>
        <w:rPr>
          <w:rFonts w:hint="eastAsia" w:eastAsia="仿宋_GB2312" w:cs="仿宋_GB2312"/>
          <w:color w:val="auto"/>
          <w:kern w:val="2"/>
          <w:sz w:val="32"/>
          <w:szCs w:val="32"/>
          <w:highlight w:val="none"/>
          <w:lang w:val="en-US" w:eastAsia="zh-CN" w:bidi="ar-SA"/>
        </w:rPr>
        <w:t>27</w:t>
      </w:r>
      <w:r>
        <w:rPr>
          <w:rFonts w:hint="eastAsia" w:ascii="Times New Roman" w:hAnsi="Times New Roman" w:eastAsia="仿宋_GB2312" w:cs="仿宋_GB2312"/>
          <w:color w:val="auto"/>
          <w:kern w:val="2"/>
          <w:sz w:val="32"/>
          <w:szCs w:val="32"/>
          <w:highlight w:val="none"/>
          <w:lang w:val="en-US" w:eastAsia="zh-CN" w:bidi="ar-SA"/>
        </w:rPr>
        <w:t>%。决算数与预算数持平</w:t>
      </w:r>
      <w:r>
        <w:rPr>
          <w:rFonts w:hint="eastAsia" w:ascii="Times New Roman" w:hAnsi="Times New Roman" w:eastAsia="仿宋_GB2312" w:cs="仿宋_GB2312"/>
          <w:b/>
          <w:bCs/>
          <w:color w:val="auto"/>
          <w:kern w:val="2"/>
          <w:sz w:val="32"/>
          <w:szCs w:val="32"/>
          <w:highlight w:val="none"/>
          <w:lang w:val="en-US" w:eastAsia="zh-CN" w:bidi="ar-SA"/>
        </w:rPr>
        <w:t>（注：上述“预算”口径为全年预算数，包括一般公共预算和政府性基金预算财政拨款支出决算情况）</w:t>
      </w:r>
    </w:p>
    <w:p>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39" w:name="_Toc15377217"/>
      <w:r>
        <w:rPr>
          <w:rFonts w:hint="eastAsia" w:ascii="Times New Roman" w:hAnsi="Times New Roman" w:eastAsia="楷体_GB2312" w:cs="楷体_GB2312"/>
          <w:b/>
          <w:color w:val="auto"/>
          <w:sz w:val="32"/>
          <w:szCs w:val="32"/>
          <w:highlight w:val="none"/>
        </w:rPr>
        <w:t>（二）“三公”经费财政拨款支出决算具体情况说明</w:t>
      </w:r>
      <w:bookmarkEnd w:id="39"/>
    </w:p>
    <w:p>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2024年度“三公”经费财政拨款支出决算中，因公出国（境）费支出决算</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万元，占**%；公务用车购置及运行维护费支出决算</w:t>
      </w:r>
      <w:r>
        <w:rPr>
          <w:rFonts w:hint="eastAsia" w:ascii="仿宋_GB2312" w:hAnsi="仿宋_GB2312" w:eastAsia="仿宋_GB2312" w:cs="仿宋_GB2312"/>
          <w:sz w:val="32"/>
          <w:szCs w:val="32"/>
        </w:rPr>
        <w:t>0.32</w:t>
      </w:r>
      <w:r>
        <w:rPr>
          <w:rFonts w:hint="eastAsia" w:ascii="仿宋_GB2312" w:hAnsi="仿宋_GB2312" w:eastAsia="仿宋_GB2312" w:cs="仿宋_GB2312"/>
          <w:color w:val="auto"/>
          <w:kern w:val="2"/>
          <w:sz w:val="32"/>
          <w:szCs w:val="32"/>
          <w:highlight w:val="none"/>
          <w:lang w:val="en-US" w:eastAsia="zh-CN" w:bidi="ar-SA"/>
        </w:rPr>
        <w:t>万元，占100%；公务接待费支出决算</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万元，占**%。具体情况如下：</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（图7：“三公”经费财政拨款支出结构）（饼状图）</w:t>
      </w:r>
    </w:p>
    <w:p>
      <w:pPr>
        <w:pStyle w:val="2"/>
        <w:jc w:val="center"/>
        <w:rPr>
          <w:rFonts w:hint="eastAsia"/>
          <w:lang w:val="en-US" w:eastAsia="zh-CN"/>
        </w:rPr>
      </w:pPr>
      <w:r>
        <w:rPr>
          <w:rFonts w:hint="eastAsia"/>
          <w:lang w:val="en-US" w:eastAsia="zh-CN"/>
        </w:rPr>
        <w:drawing>
          <wp:inline distT="0" distB="0" distL="114300" distR="114300">
            <wp:extent cx="3850640" cy="2887980"/>
            <wp:effectExtent l="4445" t="5080" r="12065" b="21590"/>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b/>
          <w:bCs/>
          <w:color w:val="auto"/>
          <w:kern w:val="2"/>
          <w:sz w:val="32"/>
          <w:szCs w:val="32"/>
          <w:highlight w:val="none"/>
          <w:lang w:val="en-US" w:eastAsia="zh-CN" w:bidi="ar-SA"/>
        </w:rPr>
        <w:t>1.因公出国（境）经费支出**万元，完成预算**%。</w:t>
      </w:r>
      <w:r>
        <w:rPr>
          <w:rFonts w:hint="eastAsia" w:ascii="Times New Roman" w:hAnsi="Times New Roman" w:eastAsia="仿宋_GB2312" w:cs="仿宋_GB2312"/>
          <w:color w:val="auto"/>
          <w:kern w:val="2"/>
          <w:sz w:val="32"/>
          <w:szCs w:val="32"/>
          <w:highlight w:val="none"/>
          <w:lang w:val="en-US" w:eastAsia="zh-CN" w:bidi="ar-SA"/>
        </w:rPr>
        <w:t>全年安排因公出国（境）团</w:t>
      </w:r>
      <w:r>
        <w:rPr>
          <w:rFonts w:hint="eastAsia" w:ascii="仿宋_GB2312" w:hAnsi="仿宋_GB2312" w:eastAsia="仿宋_GB2312" w:cs="仿宋_GB2312"/>
          <w:color w:val="auto"/>
          <w:kern w:val="2"/>
          <w:sz w:val="32"/>
          <w:szCs w:val="32"/>
          <w:highlight w:val="none"/>
          <w:lang w:val="en-US" w:eastAsia="zh-CN" w:bidi="ar-SA"/>
        </w:rPr>
        <w:t>组</w:t>
      </w:r>
      <w:r>
        <w:rPr>
          <w:rFonts w:hint="eastAsia" w:ascii="仿宋_GB2312" w:hAnsi="仿宋_GB2312" w:eastAsia="仿宋_GB2312" w:cs="仿宋_GB2312"/>
          <w:sz w:val="32"/>
          <w:szCs w:val="32"/>
        </w:rPr>
        <w:t>0</w:t>
      </w:r>
      <w:r>
        <w:rPr>
          <w:rFonts w:hint="eastAsia" w:ascii="Times New Roman" w:hAnsi="Times New Roman" w:eastAsia="仿宋_GB2312" w:cs="仿宋_GB2312"/>
          <w:color w:val="auto"/>
          <w:kern w:val="2"/>
          <w:sz w:val="32"/>
          <w:szCs w:val="32"/>
          <w:highlight w:val="none"/>
          <w:lang w:val="en-US" w:eastAsia="zh-CN" w:bidi="ar-SA"/>
        </w:rPr>
        <w:t>次，出国（境）</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人</w:t>
      </w:r>
      <w:r>
        <w:rPr>
          <w:rFonts w:hint="eastAsia" w:ascii="Times New Roman" w:hAnsi="Times New Roman" w:eastAsia="仿宋_GB2312" w:cs="仿宋_GB2312"/>
          <w:color w:val="auto"/>
          <w:kern w:val="2"/>
          <w:sz w:val="32"/>
          <w:szCs w:val="32"/>
          <w:highlight w:val="none"/>
          <w:lang w:val="en-US" w:eastAsia="zh-CN" w:bidi="ar-SA"/>
        </w:rPr>
        <w:t>。因公出国（境）支出决算比2023年增加/减少**万元，增长/下降**%。主要原因是……</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开支内容包括：……（团组名称、出访地点、取得成效等）</w:t>
      </w:r>
    </w:p>
    <w:p>
      <w:pPr>
        <w:numPr>
          <w:ilvl w:val="0"/>
          <w:numId w:val="3"/>
        </w:numPr>
        <w:spacing w:line="600" w:lineRule="exact"/>
        <w:ind w:firstLine="640"/>
        <w:rPr>
          <w:rFonts w:hint="eastAsia" w:eastAsia="仿宋_GB2312" w:cs="仿宋_GB2312"/>
          <w:color w:val="auto"/>
          <w:kern w:val="2"/>
          <w:sz w:val="32"/>
          <w:szCs w:val="32"/>
          <w:highlight w:val="none"/>
          <w:lang w:val="en-US" w:eastAsia="zh-CN" w:bidi="ar-SA"/>
        </w:rPr>
      </w:pPr>
      <w:r>
        <w:rPr>
          <w:rFonts w:hint="eastAsia" w:ascii="Times New Roman" w:hAnsi="Times New Roman" w:eastAsia="仿宋_GB2312" w:cs="仿宋_GB2312"/>
          <w:b/>
          <w:bCs/>
          <w:color w:val="auto"/>
          <w:kern w:val="2"/>
          <w:sz w:val="32"/>
          <w:szCs w:val="32"/>
          <w:highlight w:val="none"/>
          <w:lang w:val="en-US" w:eastAsia="zh-CN" w:bidi="ar-SA"/>
        </w:rPr>
        <w:t>公务用车购置及运行维护费支出</w:t>
      </w:r>
      <w:r>
        <w:rPr>
          <w:rFonts w:hint="eastAsia" w:ascii="仿宋_GB2312" w:hAnsi="仿宋_GB2312" w:eastAsia="仿宋_GB2312" w:cs="仿宋_GB2312"/>
          <w:b/>
          <w:bCs/>
          <w:color w:val="auto"/>
          <w:kern w:val="2"/>
          <w:sz w:val="32"/>
          <w:szCs w:val="32"/>
          <w:highlight w:val="none"/>
          <w:lang w:val="en-US" w:eastAsia="zh-CN" w:bidi="ar-SA"/>
        </w:rPr>
        <w:t>0.32万</w:t>
      </w:r>
      <w:r>
        <w:rPr>
          <w:rFonts w:hint="eastAsia" w:ascii="Times New Roman" w:hAnsi="Times New Roman" w:eastAsia="仿宋_GB2312" w:cs="仿宋_GB2312"/>
          <w:b/>
          <w:bCs/>
          <w:color w:val="auto"/>
          <w:kern w:val="2"/>
          <w:sz w:val="32"/>
          <w:szCs w:val="32"/>
          <w:highlight w:val="none"/>
          <w:lang w:val="en-US" w:eastAsia="zh-CN" w:bidi="ar-SA"/>
        </w:rPr>
        <w:t>元</w:t>
      </w:r>
      <w:r>
        <w:rPr>
          <w:rFonts w:hint="eastAsia" w:eastAsia="仿宋_GB2312" w:cs="仿宋_GB2312"/>
          <w:b/>
          <w:bCs/>
          <w:color w:val="auto"/>
          <w:kern w:val="2"/>
          <w:sz w:val="32"/>
          <w:szCs w:val="32"/>
          <w:highlight w:val="none"/>
          <w:lang w:val="en-US" w:eastAsia="zh-CN" w:bidi="ar-SA"/>
        </w:rPr>
        <w:t>，</w:t>
      </w:r>
      <w:r>
        <w:rPr>
          <w:rFonts w:hint="eastAsia" w:ascii="Times New Roman" w:hAnsi="Times New Roman" w:eastAsia="仿宋_GB2312" w:cs="仿宋_GB2312"/>
          <w:b/>
          <w:bCs/>
          <w:color w:val="auto"/>
          <w:kern w:val="2"/>
          <w:sz w:val="32"/>
          <w:szCs w:val="32"/>
          <w:highlight w:val="none"/>
          <w:lang w:val="en-US" w:eastAsia="zh-CN" w:bidi="ar-SA"/>
        </w:rPr>
        <w:t>完成预算</w:t>
      </w:r>
      <w:r>
        <w:rPr>
          <w:rFonts w:hint="eastAsia" w:eastAsia="仿宋_GB2312" w:cs="仿宋_GB2312"/>
          <w:b/>
          <w:bCs/>
          <w:color w:val="auto"/>
          <w:kern w:val="2"/>
          <w:sz w:val="32"/>
          <w:szCs w:val="32"/>
          <w:highlight w:val="none"/>
          <w:lang w:val="en-US" w:eastAsia="zh-CN" w:bidi="ar-SA"/>
        </w:rPr>
        <w:t>100</w:t>
      </w:r>
      <w:r>
        <w:rPr>
          <w:rFonts w:hint="eastAsia" w:ascii="Times New Roman" w:hAnsi="Times New Roman" w:eastAsia="仿宋_GB2312" w:cs="仿宋_GB2312"/>
          <w:b/>
          <w:bCs/>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公务用车购置及运行维护费支出决算比2023年度减少</w:t>
      </w:r>
      <w:r>
        <w:rPr>
          <w:rFonts w:hint="eastAsia" w:eastAsia="仿宋_GB2312" w:cs="仿宋_GB2312"/>
          <w:color w:val="auto"/>
          <w:kern w:val="2"/>
          <w:sz w:val="32"/>
          <w:szCs w:val="32"/>
          <w:highlight w:val="none"/>
          <w:lang w:val="en-US" w:eastAsia="zh-CN" w:bidi="ar-SA"/>
        </w:rPr>
        <w:t>0.12</w:t>
      </w:r>
      <w:r>
        <w:rPr>
          <w:rFonts w:hint="eastAsia" w:ascii="Times New Roman" w:hAnsi="Times New Roman" w:eastAsia="仿宋_GB2312" w:cs="仿宋_GB2312"/>
          <w:color w:val="auto"/>
          <w:kern w:val="2"/>
          <w:sz w:val="32"/>
          <w:szCs w:val="32"/>
          <w:highlight w:val="none"/>
          <w:lang w:val="en-US" w:eastAsia="zh-CN" w:bidi="ar-SA"/>
        </w:rPr>
        <w:t>万元，下降</w:t>
      </w:r>
      <w:r>
        <w:rPr>
          <w:rFonts w:hint="eastAsia" w:eastAsia="仿宋_GB2312" w:cs="仿宋_GB2312"/>
          <w:color w:val="auto"/>
          <w:kern w:val="2"/>
          <w:sz w:val="32"/>
          <w:szCs w:val="32"/>
          <w:highlight w:val="none"/>
          <w:lang w:val="en-US" w:eastAsia="zh-CN" w:bidi="ar-SA"/>
        </w:rPr>
        <w:t>27</w:t>
      </w:r>
      <w:r>
        <w:rPr>
          <w:rFonts w:hint="eastAsia" w:ascii="Times New Roman" w:hAnsi="Times New Roman" w:eastAsia="仿宋_GB2312" w:cs="仿宋_GB2312"/>
          <w:color w:val="auto"/>
          <w:kern w:val="2"/>
          <w:sz w:val="32"/>
          <w:szCs w:val="32"/>
          <w:highlight w:val="none"/>
          <w:lang w:val="en-US" w:eastAsia="zh-CN" w:bidi="ar-SA"/>
        </w:rPr>
        <w:t>%。主要原因是</w:t>
      </w:r>
      <w:r>
        <w:rPr>
          <w:rFonts w:hint="eastAsia" w:eastAsia="仿宋_GB2312" w:cs="仿宋_GB2312"/>
          <w:color w:val="auto"/>
          <w:kern w:val="2"/>
          <w:sz w:val="32"/>
          <w:szCs w:val="32"/>
          <w:highlight w:val="none"/>
          <w:lang w:val="en-US" w:eastAsia="zh-CN" w:bidi="ar-SA"/>
        </w:rPr>
        <w:t>使用车辆人员不足，使用频率下降，日常维护使用费用下降。</w:t>
      </w:r>
    </w:p>
    <w:p>
      <w:pPr>
        <w:numPr>
          <w:ilvl w:val="0"/>
          <w:numId w:val="3"/>
        </w:num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其中：公务用车购置支</w:t>
      </w:r>
      <w:r>
        <w:rPr>
          <w:rFonts w:hint="eastAsia" w:ascii="仿宋_GB2312" w:hAnsi="仿宋_GB2312" w:eastAsia="仿宋_GB2312" w:cs="仿宋_GB2312"/>
          <w:color w:val="auto"/>
          <w:kern w:val="2"/>
          <w:sz w:val="32"/>
          <w:szCs w:val="32"/>
          <w:highlight w:val="none"/>
          <w:lang w:val="en-US" w:eastAsia="zh-CN" w:bidi="ar-SA"/>
        </w:rPr>
        <w:t>出</w:t>
      </w:r>
      <w:r>
        <w:rPr>
          <w:rFonts w:hint="eastAsia" w:ascii="仿宋_GB2312" w:hAnsi="仿宋_GB2312" w:eastAsia="仿宋_GB2312" w:cs="仿宋_GB2312"/>
          <w:sz w:val="32"/>
          <w:szCs w:val="32"/>
        </w:rPr>
        <w:t>0</w:t>
      </w:r>
      <w:r>
        <w:rPr>
          <w:rFonts w:hint="eastAsia" w:ascii="Times New Roman" w:hAnsi="Times New Roman" w:eastAsia="仿宋_GB2312" w:cs="仿宋_GB2312"/>
          <w:color w:val="auto"/>
          <w:kern w:val="2"/>
          <w:sz w:val="32"/>
          <w:szCs w:val="32"/>
          <w:highlight w:val="none"/>
          <w:lang w:val="en-US" w:eastAsia="zh-CN" w:bidi="ar-SA"/>
        </w:rPr>
        <w:t>万元。全年按规定更新购置公务用车**辆，其中：轿车**辆、金额**万元，越野车**辆、金额**万元，载客汽车**辆、金额**万元，主要用于……。截至2024年12月31日，单位共有公务用车</w:t>
      </w:r>
      <w:r>
        <w:rPr>
          <w:rFonts w:hint="eastAsia" w:eastAsia="仿宋_GB2312" w:cs="仿宋_GB2312"/>
          <w:color w:val="auto"/>
          <w:kern w:val="2"/>
          <w:sz w:val="32"/>
          <w:szCs w:val="32"/>
          <w:highlight w:val="none"/>
          <w:lang w:val="en-US" w:eastAsia="zh-CN" w:bidi="ar-SA"/>
        </w:rPr>
        <w:t>1</w:t>
      </w:r>
      <w:r>
        <w:rPr>
          <w:rFonts w:hint="eastAsia" w:ascii="Times New Roman" w:hAnsi="Times New Roman" w:eastAsia="仿宋_GB2312" w:cs="仿宋_GB2312"/>
          <w:color w:val="auto"/>
          <w:kern w:val="2"/>
          <w:sz w:val="32"/>
          <w:szCs w:val="32"/>
          <w:highlight w:val="none"/>
          <w:lang w:val="en-US" w:eastAsia="zh-CN" w:bidi="ar-SA"/>
        </w:rPr>
        <w:t>辆，其中：轿车</w:t>
      </w:r>
      <w:r>
        <w:rPr>
          <w:rFonts w:hint="eastAsia" w:eastAsia="仿宋_GB2312" w:cs="仿宋_GB2312"/>
          <w:color w:val="auto"/>
          <w:kern w:val="2"/>
          <w:sz w:val="32"/>
          <w:szCs w:val="32"/>
          <w:highlight w:val="none"/>
          <w:lang w:val="en-US" w:eastAsia="zh-CN" w:bidi="ar-SA"/>
        </w:rPr>
        <w:t>1</w:t>
      </w:r>
      <w:r>
        <w:rPr>
          <w:rFonts w:hint="eastAsia" w:ascii="Times New Roman" w:hAnsi="Times New Roman" w:eastAsia="仿宋_GB2312" w:cs="仿宋_GB2312"/>
          <w:color w:val="auto"/>
          <w:kern w:val="2"/>
          <w:sz w:val="32"/>
          <w:szCs w:val="32"/>
          <w:highlight w:val="none"/>
          <w:lang w:val="en-US" w:eastAsia="zh-CN" w:bidi="ar-SA"/>
        </w:rPr>
        <w:t>辆、越野车**辆、载客汽车**辆。</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公务用车运行维护费支</w:t>
      </w:r>
      <w:r>
        <w:rPr>
          <w:rFonts w:hint="eastAsia" w:ascii="仿宋_GB2312" w:hAnsi="仿宋_GB2312" w:eastAsia="仿宋_GB2312" w:cs="仿宋_GB2312"/>
          <w:color w:val="auto"/>
          <w:kern w:val="2"/>
          <w:sz w:val="32"/>
          <w:szCs w:val="32"/>
          <w:highlight w:val="none"/>
          <w:lang w:val="en-US" w:eastAsia="zh-CN" w:bidi="ar-SA"/>
        </w:rPr>
        <w:t>出</w:t>
      </w:r>
      <w:r>
        <w:rPr>
          <w:rFonts w:hint="eastAsia" w:ascii="仿宋_GB2312" w:hAnsi="仿宋_GB2312" w:eastAsia="仿宋_GB2312" w:cs="仿宋_GB2312"/>
          <w:sz w:val="32"/>
          <w:szCs w:val="32"/>
        </w:rPr>
        <w:t>0.32</w:t>
      </w:r>
      <w:r>
        <w:rPr>
          <w:rFonts w:hint="eastAsia" w:ascii="Times New Roman" w:hAnsi="Times New Roman" w:eastAsia="仿宋_GB2312" w:cs="仿宋_GB2312"/>
          <w:color w:val="auto"/>
          <w:kern w:val="2"/>
          <w:sz w:val="32"/>
          <w:szCs w:val="32"/>
          <w:highlight w:val="none"/>
          <w:lang w:val="en-US" w:eastAsia="zh-CN" w:bidi="ar-SA"/>
        </w:rPr>
        <w:t>万元。主要用于</w:t>
      </w:r>
      <w:r>
        <w:rPr>
          <w:rFonts w:hint="eastAsia" w:eastAsia="仿宋_GB2312" w:cs="仿宋_GB2312"/>
          <w:color w:val="auto"/>
          <w:kern w:val="2"/>
          <w:sz w:val="32"/>
          <w:szCs w:val="32"/>
          <w:highlight w:val="none"/>
          <w:lang w:val="en-US" w:eastAsia="zh-CN" w:bidi="ar-SA"/>
        </w:rPr>
        <w:t>日常公房公租房巡查使用，往返各小区物业工作巡查，往返各楼盘修建情况进行备案巡查等</w:t>
      </w:r>
      <w:r>
        <w:rPr>
          <w:rFonts w:hint="eastAsia" w:ascii="Times New Roman" w:hAnsi="Times New Roman" w:eastAsia="仿宋_GB2312" w:cs="仿宋_GB2312"/>
          <w:color w:val="auto"/>
          <w:kern w:val="2"/>
          <w:sz w:val="32"/>
          <w:szCs w:val="32"/>
          <w:highlight w:val="none"/>
          <w:lang w:val="en-US" w:eastAsia="zh-CN" w:bidi="ar-SA"/>
        </w:rPr>
        <w:t>所需的公务用车燃料费、维修费、过路过桥费、保险费等支出。</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b/>
          <w:bCs/>
          <w:color w:val="auto"/>
          <w:kern w:val="2"/>
          <w:sz w:val="32"/>
          <w:szCs w:val="32"/>
          <w:highlight w:val="none"/>
          <w:lang w:val="en-US" w:eastAsia="zh-CN" w:bidi="ar-SA"/>
        </w:rPr>
        <w:t>3.公务接待费支出</w:t>
      </w:r>
      <w:r>
        <w:rPr>
          <w:rFonts w:hint="eastAsia" w:ascii="仿宋_GB2312" w:hAnsi="仿宋_GB2312" w:eastAsia="仿宋_GB2312" w:cs="仿宋_GB2312"/>
          <w:b/>
          <w:bCs/>
          <w:color w:val="auto"/>
          <w:kern w:val="2"/>
          <w:sz w:val="32"/>
          <w:szCs w:val="32"/>
          <w:highlight w:val="none"/>
          <w:lang w:val="en-US" w:eastAsia="zh-CN" w:bidi="ar-SA"/>
        </w:rPr>
        <w:t>0万</w:t>
      </w:r>
      <w:r>
        <w:rPr>
          <w:rFonts w:hint="eastAsia" w:ascii="Times New Roman" w:hAnsi="Times New Roman" w:eastAsia="仿宋_GB2312" w:cs="仿宋_GB2312"/>
          <w:b/>
          <w:bCs/>
          <w:color w:val="auto"/>
          <w:kern w:val="2"/>
          <w:sz w:val="32"/>
          <w:szCs w:val="32"/>
          <w:highlight w:val="none"/>
          <w:lang w:val="en-US" w:eastAsia="zh-CN" w:bidi="ar-SA"/>
        </w:rPr>
        <w:t>元，完成预算**%。</w:t>
      </w:r>
      <w:r>
        <w:rPr>
          <w:rFonts w:hint="eastAsia" w:ascii="Times New Roman" w:hAnsi="Times New Roman" w:eastAsia="仿宋_GB2312" w:cs="仿宋_GB2312"/>
          <w:color w:val="auto"/>
          <w:kern w:val="2"/>
          <w:sz w:val="32"/>
          <w:szCs w:val="32"/>
          <w:highlight w:val="none"/>
          <w:lang w:val="en-US" w:eastAsia="zh-CN" w:bidi="ar-SA"/>
        </w:rPr>
        <w:t>公务接待费支出决算比2023年度增加/减少**万元，增长/下降**%。主要原因是……。其中：</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国内公务接待支</w:t>
      </w:r>
      <w:r>
        <w:rPr>
          <w:rFonts w:hint="eastAsia" w:ascii="仿宋_GB2312" w:hAnsi="仿宋_GB2312" w:eastAsia="仿宋_GB2312" w:cs="仿宋_GB2312"/>
          <w:color w:val="auto"/>
          <w:kern w:val="2"/>
          <w:sz w:val="32"/>
          <w:szCs w:val="32"/>
          <w:highlight w:val="none"/>
          <w:lang w:val="en-US" w:eastAsia="zh-CN" w:bidi="ar-SA"/>
        </w:rPr>
        <w:t>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元，主要用于……(执行公务、开展业务活动开支的交通费、住宿费、用餐费等)。国内公务接</w:t>
      </w:r>
      <w:r>
        <w:rPr>
          <w:rFonts w:hint="eastAsia" w:ascii="仿宋_GB2312" w:hAnsi="仿宋_GB2312" w:eastAsia="仿宋_GB2312" w:cs="仿宋_GB2312"/>
          <w:color w:val="auto"/>
          <w:kern w:val="2"/>
          <w:sz w:val="32"/>
          <w:szCs w:val="32"/>
          <w:highlight w:val="none"/>
          <w:lang w:val="en-US" w:eastAsia="zh-CN" w:bidi="ar-SA"/>
        </w:rPr>
        <w:t>待</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批次，</w:t>
      </w:r>
      <w:r>
        <w:rPr>
          <w:rFonts w:hint="eastAsia" w:ascii="仿宋_GB2312" w:hAnsi="仿宋_GB2312" w:eastAsia="仿宋_GB2312" w:cs="仿宋_GB2312"/>
          <w:sz w:val="32"/>
          <w:szCs w:val="32"/>
        </w:rPr>
        <w:t>0</w:t>
      </w:r>
      <w:r>
        <w:rPr>
          <w:rFonts w:hint="eastAsia" w:ascii="Times New Roman" w:hAnsi="Times New Roman" w:eastAsia="仿宋_GB2312" w:cs="仿宋_GB2312"/>
          <w:color w:val="auto"/>
          <w:kern w:val="2"/>
          <w:sz w:val="32"/>
          <w:szCs w:val="32"/>
          <w:highlight w:val="none"/>
          <w:lang w:val="en-US" w:eastAsia="zh-CN" w:bidi="ar-SA"/>
        </w:rPr>
        <w:t>人次（不包括陪同人员），共计支出**万元，具体内容包括：……（接待具体项目、金额）。</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外事接待支</w:t>
      </w:r>
      <w:r>
        <w:rPr>
          <w:rFonts w:hint="eastAsia" w:ascii="仿宋_GB2312" w:hAnsi="仿宋_GB2312" w:eastAsia="仿宋_GB2312" w:cs="仿宋_GB2312"/>
          <w:color w:val="auto"/>
          <w:kern w:val="2"/>
          <w:sz w:val="32"/>
          <w:szCs w:val="32"/>
          <w:highlight w:val="none"/>
          <w:lang w:val="en-US" w:eastAsia="zh-CN" w:bidi="ar-SA"/>
        </w:rPr>
        <w:t>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万元，主要用于……（具体项目）。外事接待</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批次，</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人次（不包括陪同人员），共计支出**万</w:t>
      </w:r>
      <w:r>
        <w:rPr>
          <w:rFonts w:hint="eastAsia" w:ascii="Times New Roman" w:hAnsi="Times New Roman" w:eastAsia="仿宋_GB2312" w:cs="仿宋_GB2312"/>
          <w:color w:val="auto"/>
          <w:kern w:val="2"/>
          <w:sz w:val="32"/>
          <w:szCs w:val="32"/>
          <w:highlight w:val="none"/>
          <w:lang w:val="en-US" w:eastAsia="zh-CN" w:bidi="ar-SA"/>
        </w:rPr>
        <w:t>元。</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bookmarkStart w:id="40" w:name="_Toc15377218"/>
      <w:bookmarkStart w:id="41" w:name="_Toc15396610"/>
    </w:p>
    <w:p>
      <w:pPr>
        <w:spacing w:line="600" w:lineRule="exact"/>
        <w:ind w:firstLine="640"/>
        <w:outlineLvl w:val="1"/>
        <w:rPr>
          <w:rStyle w:val="29"/>
          <w:rFonts w:ascii="Times New Roman" w:hAnsi="Times New Roman" w:eastAsia="黑体"/>
          <w:color w:val="auto"/>
          <w:highlight w:val="none"/>
        </w:rPr>
      </w:pPr>
      <w:r>
        <w:rPr>
          <w:rFonts w:hint="eastAsia" w:ascii="Times New Roman" w:hAnsi="Times New Roman" w:eastAsia="黑体"/>
          <w:color w:val="auto"/>
          <w:sz w:val="32"/>
          <w:szCs w:val="32"/>
          <w:highlight w:val="none"/>
        </w:rPr>
        <w:t>八、</w:t>
      </w:r>
      <w:r>
        <w:rPr>
          <w:rStyle w:val="29"/>
          <w:rFonts w:hint="eastAsia" w:ascii="Times New Roman" w:hAnsi="Times New Roman" w:eastAsia="黑体"/>
          <w:b w:val="0"/>
          <w:color w:val="auto"/>
          <w:highlight w:val="none"/>
        </w:rPr>
        <w:t>政府性基金预算支出决算情况说明</w:t>
      </w:r>
      <w:bookmarkEnd w:id="40"/>
      <w:bookmarkEnd w:id="41"/>
    </w:p>
    <w:p>
      <w:pPr>
        <w:spacing w:line="600" w:lineRule="exact"/>
        <w:ind w:firstLine="640"/>
        <w:rPr>
          <w:rFonts w:hint="eastAsia" w:ascii="Times New Roman" w:hAnsi="Times New Roman" w:eastAsia="仿宋_GB2312" w:cs="仿宋_GB2312"/>
          <w:b/>
          <w:bCs/>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2024年度政府性基金预算财政拨款支出</w:t>
      </w:r>
      <w:r>
        <w:rPr>
          <w:rFonts w:hint="eastAsia" w:ascii="仿宋_GB2312" w:hAnsi="仿宋_GB2312" w:eastAsia="仿宋_GB2312" w:cs="仿宋_GB2312"/>
          <w:sz w:val="32"/>
          <w:szCs w:val="32"/>
        </w:rPr>
        <w:t>7.28</w:t>
      </w:r>
      <w:r>
        <w:rPr>
          <w:rFonts w:hint="eastAsia" w:ascii="仿宋_GB2312" w:hAnsi="仿宋_GB2312" w:eastAsia="仿宋_GB2312" w:cs="仿宋_GB2312"/>
          <w:color w:val="auto"/>
          <w:kern w:val="2"/>
          <w:sz w:val="32"/>
          <w:szCs w:val="32"/>
          <w:highlight w:val="none"/>
          <w:lang w:val="en-US" w:eastAsia="zh-CN" w:bidi="ar-SA"/>
        </w:rPr>
        <w:t>万元，占本年支出合计的</w:t>
      </w:r>
      <w:r>
        <w:rPr>
          <w:rFonts w:hint="eastAsia" w:ascii="仿宋_GB2312" w:hAnsi="仿宋_GB2312" w:eastAsia="仿宋_GB2312" w:cs="仿宋_GB2312"/>
          <w:sz w:val="32"/>
          <w:szCs w:val="32"/>
        </w:rPr>
        <w:t>2.73</w:t>
      </w:r>
      <w:r>
        <w:rPr>
          <w:rFonts w:hint="eastAsia" w:ascii="仿宋_GB2312" w:hAnsi="仿宋_GB2312"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。与2023年度相比，政府性基金预算财政拨款支出增加</w:t>
      </w:r>
      <w:r>
        <w:rPr>
          <w:rFonts w:hint="eastAsia" w:eastAsia="仿宋_GB2312" w:cs="仿宋_GB2312"/>
          <w:color w:val="auto"/>
          <w:kern w:val="2"/>
          <w:sz w:val="32"/>
          <w:szCs w:val="32"/>
          <w:highlight w:val="none"/>
          <w:lang w:val="en-US" w:eastAsia="zh-CN" w:bidi="ar-SA"/>
        </w:rPr>
        <w:t>7.28</w:t>
      </w:r>
      <w:r>
        <w:rPr>
          <w:rFonts w:hint="eastAsia" w:ascii="Times New Roman" w:hAnsi="Times New Roman" w:eastAsia="仿宋_GB2312" w:cs="仿宋_GB2312"/>
          <w:color w:val="auto"/>
          <w:kern w:val="2"/>
          <w:sz w:val="32"/>
          <w:szCs w:val="32"/>
          <w:highlight w:val="none"/>
          <w:lang w:val="en-US" w:eastAsia="zh-CN" w:bidi="ar-SA"/>
        </w:rPr>
        <w:t>万元，增长</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%。主要变动原因是</w:t>
      </w:r>
      <w:r>
        <w:rPr>
          <w:rFonts w:hint="eastAsia" w:eastAsia="仿宋_GB2312" w:cs="仿宋_GB2312"/>
          <w:color w:val="auto"/>
          <w:kern w:val="2"/>
          <w:sz w:val="32"/>
          <w:szCs w:val="32"/>
          <w:highlight w:val="none"/>
          <w:lang w:val="en-US" w:eastAsia="zh-CN" w:bidi="ar-SA"/>
        </w:rPr>
        <w:t>住宅专项维修资金使用：符合五住建【2023】63号文件请示及相关批复的组织实施程序和内容，用于回迁安置小区专项维修资金</w:t>
      </w:r>
      <w:r>
        <w:rPr>
          <w:rFonts w:hint="eastAsia" w:ascii="Times New Roman" w:hAnsi="Times New Roman" w:eastAsia="仿宋_GB2312" w:cs="仿宋_GB2312"/>
          <w:b/>
          <w:bCs/>
          <w:color w:val="auto"/>
          <w:kern w:val="2"/>
          <w:sz w:val="32"/>
          <w:szCs w:val="32"/>
          <w:highlight w:val="none"/>
          <w:lang w:val="en-US" w:eastAsia="zh-CN" w:bidi="ar-SA"/>
        </w:rPr>
        <w:t>（注：支出数与上年持平可以不写原因）</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pPr>
        <w:numPr>
          <w:ilvl w:val="0"/>
          <w:numId w:val="0"/>
        </w:numPr>
        <w:spacing w:line="600" w:lineRule="exact"/>
        <w:ind w:left="630" w:leftChars="0"/>
        <w:outlineLvl w:val="1"/>
        <w:rPr>
          <w:rStyle w:val="29"/>
          <w:rFonts w:ascii="Times New Roman" w:hAnsi="Times New Roman" w:eastAsia="黑体"/>
          <w:b w:val="0"/>
          <w:color w:val="auto"/>
          <w:highlight w:val="none"/>
        </w:rPr>
      </w:pPr>
      <w:bookmarkStart w:id="42" w:name="_Toc15396611"/>
      <w:bookmarkStart w:id="43" w:name="_Toc15377219"/>
      <w:r>
        <w:rPr>
          <w:rStyle w:val="29"/>
          <w:rFonts w:hint="eastAsia" w:ascii="Times New Roman" w:hAnsi="Times New Roman" w:eastAsia="黑体"/>
          <w:b w:val="0"/>
          <w:color w:val="auto"/>
          <w:highlight w:val="none"/>
          <w:lang w:eastAsia="zh-CN"/>
        </w:rPr>
        <w:t>九、</w:t>
      </w:r>
      <w:r>
        <w:rPr>
          <w:rStyle w:val="29"/>
          <w:rFonts w:hint="eastAsia" w:ascii="Times New Roman" w:hAnsi="Times New Roman" w:eastAsia="黑体"/>
          <w:b w:val="0"/>
          <w:color w:val="auto"/>
          <w:highlight w:val="none"/>
        </w:rPr>
        <w:t>国有资本经营预算支出决算情况说明</w:t>
      </w:r>
      <w:bookmarkEnd w:id="42"/>
      <w:bookmarkEnd w:id="43"/>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2024年度国有资本经营预算财政拨款支出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万元，占本年支出合计的</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。与2023年度相比，国有资本经营预算财政拨款支出增加/减少**万元，增长/下降**%。主要变动原因是……</w:t>
      </w:r>
      <w:r>
        <w:rPr>
          <w:rFonts w:hint="eastAsia" w:ascii="Times New Roman" w:hAnsi="Times New Roman" w:eastAsia="仿宋_GB2312" w:cs="仿宋_GB2312"/>
          <w:b/>
          <w:bCs/>
          <w:color w:val="auto"/>
          <w:kern w:val="2"/>
          <w:sz w:val="32"/>
          <w:szCs w:val="32"/>
          <w:highlight w:val="none"/>
          <w:lang w:val="en-US" w:eastAsia="zh-CN" w:bidi="ar-SA"/>
        </w:rPr>
        <w:t>（注：支出数与上年持平可以不写原因）</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pPr>
        <w:numPr>
          <w:ilvl w:val="0"/>
          <w:numId w:val="0"/>
        </w:numPr>
        <w:spacing w:line="600" w:lineRule="exact"/>
        <w:ind w:left="630" w:leftChars="0"/>
        <w:outlineLvl w:val="1"/>
        <w:rPr>
          <w:rStyle w:val="29"/>
          <w:rFonts w:hint="eastAsia" w:ascii="Times New Roman" w:hAnsi="Times New Roman" w:eastAsia="黑体"/>
          <w:b w:val="0"/>
          <w:color w:val="auto"/>
          <w:highlight w:val="none"/>
        </w:rPr>
      </w:pPr>
      <w:bookmarkStart w:id="44" w:name="_Toc15396612"/>
      <w:bookmarkStart w:id="45" w:name="_Toc15377221"/>
      <w:r>
        <w:rPr>
          <w:rStyle w:val="29"/>
          <w:rFonts w:hint="eastAsia" w:ascii="Times New Roman" w:hAnsi="Times New Roman" w:eastAsia="黑体"/>
          <w:b w:val="0"/>
          <w:color w:val="auto"/>
          <w:highlight w:val="none"/>
          <w:lang w:eastAsia="zh-CN"/>
        </w:rPr>
        <w:t>十、</w:t>
      </w:r>
      <w:r>
        <w:rPr>
          <w:rStyle w:val="29"/>
          <w:rFonts w:hint="eastAsia" w:ascii="Times New Roman" w:hAnsi="Times New Roman" w:eastAsia="黑体"/>
          <w:b w:val="0"/>
          <w:color w:val="auto"/>
          <w:highlight w:val="none"/>
        </w:rPr>
        <w:t>其他重要事项的情况说明</w:t>
      </w:r>
      <w:bookmarkEnd w:id="44"/>
      <w:bookmarkEnd w:id="45"/>
    </w:p>
    <w:p>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46" w:name="_Toc15377222"/>
      <w:r>
        <w:rPr>
          <w:rFonts w:hint="eastAsia" w:ascii="Times New Roman" w:hAnsi="Times New Roman" w:eastAsia="楷体_GB2312" w:cs="楷体_GB2312"/>
          <w:b/>
          <w:color w:val="auto"/>
          <w:sz w:val="32"/>
          <w:szCs w:val="32"/>
          <w:highlight w:val="none"/>
        </w:rPr>
        <w:t>（一）机关运行经费支出情况</w:t>
      </w:r>
      <w:bookmarkEnd w:id="46"/>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w:t>
      </w:r>
      <w:r>
        <w:rPr>
          <w:rFonts w:hint="eastAsia" w:ascii="仿宋_GB2312" w:hAnsi="仿宋_GB2312" w:eastAsia="仿宋_GB2312" w:cs="仿宋_GB2312"/>
          <w:color w:val="auto"/>
          <w:kern w:val="2"/>
          <w:sz w:val="32"/>
          <w:szCs w:val="32"/>
          <w:highlight w:val="none"/>
          <w:lang w:val="en-US" w:eastAsia="zh-CN" w:bidi="ar-SA"/>
        </w:rPr>
        <w:t>，</w:t>
      </w:r>
      <w:r>
        <w:rPr>
          <w:rFonts w:hint="eastAsia" w:ascii="仿宋_GB2312" w:hAnsi="仿宋_GB2312" w:eastAsia="仿宋_GB2312" w:cs="仿宋_GB2312"/>
          <w:sz w:val="32"/>
          <w:szCs w:val="32"/>
        </w:rPr>
        <w:t>乐山市五通桥区住房保障和房地产事务中心</w:t>
      </w:r>
      <w:r>
        <w:rPr>
          <w:rFonts w:hint="eastAsia" w:ascii="仿宋_GB2312" w:hAnsi="仿宋_GB2312" w:eastAsia="仿宋_GB2312" w:cs="仿宋_GB2312"/>
          <w:color w:val="auto"/>
          <w:kern w:val="2"/>
          <w:sz w:val="32"/>
          <w:szCs w:val="32"/>
          <w:highlight w:val="none"/>
          <w:lang w:val="en-US" w:eastAsia="zh-CN" w:bidi="ar-SA"/>
        </w:rPr>
        <w:t>机关运行经费支出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元，比2023年度增加/减少**万元，增长/下降**%（或与2023年度决算数持平）。主要原因是……</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47" w:name="_Toc15377223"/>
      <w:r>
        <w:rPr>
          <w:rFonts w:hint="eastAsia" w:ascii="Times New Roman" w:hAnsi="Times New Roman" w:eastAsia="楷体_GB2312" w:cs="楷体_GB2312"/>
          <w:b/>
          <w:color w:val="auto"/>
          <w:sz w:val="32"/>
          <w:szCs w:val="32"/>
          <w:highlight w:val="none"/>
        </w:rPr>
        <w:t>（二）政府采购支出情况</w:t>
      </w:r>
      <w:bookmarkEnd w:id="47"/>
    </w:p>
    <w:p>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2024年度，</w:t>
      </w:r>
      <w:r>
        <w:rPr>
          <w:rFonts w:hint="eastAsia" w:ascii="仿宋_GB2312" w:hAnsi="仿宋_GB2312" w:eastAsia="仿宋_GB2312" w:cs="仿宋_GB2312"/>
          <w:sz w:val="32"/>
          <w:szCs w:val="32"/>
        </w:rPr>
        <w:t>乐山市五通桥区住房保障和房地产事务中心</w:t>
      </w:r>
      <w:r>
        <w:rPr>
          <w:rFonts w:hint="eastAsia" w:ascii="仿宋_GB2312" w:hAnsi="仿宋_GB2312" w:eastAsia="仿宋_GB2312" w:cs="仿宋_GB2312"/>
          <w:color w:val="auto"/>
          <w:kern w:val="2"/>
          <w:sz w:val="32"/>
          <w:szCs w:val="32"/>
          <w:highlight w:val="none"/>
          <w:lang w:val="en-US" w:eastAsia="zh-CN" w:bidi="ar-SA"/>
        </w:rPr>
        <w:t>政府采购支出总额</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万元，其中：政府采购货物支出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万元、政府采购工程支出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万元、政府采购服务支出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万元。主要用于……（具体工作）。授予中小企业合同金额</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万元，占政府采购支出总额的</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%，其中：授予小微企业合同金额</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万元，占政府采购支出总额的</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48" w:name="_Toc15377224"/>
      <w:r>
        <w:rPr>
          <w:rFonts w:hint="eastAsia" w:ascii="Times New Roman" w:hAnsi="Times New Roman" w:eastAsia="楷体_GB2312" w:cs="楷体_GB2312"/>
          <w:b/>
          <w:color w:val="auto"/>
          <w:sz w:val="32"/>
          <w:szCs w:val="32"/>
          <w:highlight w:val="none"/>
        </w:rPr>
        <w:t>（三）国有资产占有使用情况</w:t>
      </w:r>
      <w:bookmarkEnd w:id="48"/>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截至2024年12月31日，</w:t>
      </w:r>
      <w:r>
        <w:rPr>
          <w:rFonts w:hint="eastAsia" w:ascii="仿宋_GB2312" w:hAnsi="仿宋_GB2312" w:eastAsia="仿宋_GB2312" w:cs="仿宋_GB2312"/>
          <w:sz w:val="32"/>
          <w:szCs w:val="32"/>
        </w:rPr>
        <w:t>乐山市五通桥区住房保障和房地产事务中心</w:t>
      </w:r>
      <w:r>
        <w:rPr>
          <w:rFonts w:hint="eastAsia" w:ascii="仿宋_GB2312" w:hAnsi="仿宋_GB2312" w:eastAsia="仿宋_GB2312" w:cs="仿宋_GB2312"/>
          <w:color w:val="auto"/>
          <w:kern w:val="2"/>
          <w:sz w:val="32"/>
          <w:szCs w:val="32"/>
          <w:highlight w:val="none"/>
          <w:lang w:val="en-US" w:eastAsia="zh-CN" w:bidi="ar-SA"/>
        </w:rPr>
        <w:t>共有车辆</w:t>
      </w:r>
      <w:r>
        <w:rPr>
          <w:rFonts w:hint="eastAsia" w:ascii="仿宋_GB2312" w:hAnsi="仿宋_GB2312" w:eastAsia="仿宋_GB2312" w:cs="仿宋_GB2312"/>
          <w:sz w:val="32"/>
          <w:szCs w:val="32"/>
        </w:rPr>
        <w:t>1</w:t>
      </w:r>
      <w:r>
        <w:rPr>
          <w:rFonts w:hint="eastAsia" w:ascii="仿宋_GB2312" w:hAnsi="仿宋_GB2312" w:eastAsia="仿宋_GB2312" w:cs="仿宋_GB2312"/>
          <w:color w:val="auto"/>
          <w:kern w:val="2"/>
          <w:sz w:val="32"/>
          <w:szCs w:val="32"/>
          <w:highlight w:val="none"/>
          <w:lang w:val="en-US" w:eastAsia="zh-CN" w:bidi="ar-SA"/>
        </w:rPr>
        <w:t>辆，其中：主要负责人用车</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辆、机要通信用车</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辆、应急保障用车</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辆、其他用车</w:t>
      </w:r>
      <w:r>
        <w:rPr>
          <w:rFonts w:hint="eastAsia" w:ascii="仿宋_GB2312" w:hAnsi="仿宋_GB2312" w:eastAsia="仿宋_GB2312" w:cs="仿宋_GB2312"/>
          <w:sz w:val="32"/>
          <w:szCs w:val="32"/>
        </w:rPr>
        <w:t>1</w:t>
      </w:r>
      <w:r>
        <w:rPr>
          <w:rFonts w:hint="eastAsia" w:ascii="仿宋_GB2312" w:hAnsi="仿宋_GB2312" w:eastAsia="仿宋_GB2312" w:cs="仿宋_GB2312"/>
          <w:color w:val="auto"/>
          <w:kern w:val="2"/>
          <w:sz w:val="32"/>
          <w:szCs w:val="32"/>
          <w:highlight w:val="none"/>
          <w:lang w:val="en-US" w:eastAsia="zh-CN" w:bidi="ar-SA"/>
        </w:rPr>
        <w:t>辆，其他用车主要是用于</w:t>
      </w:r>
      <w:r>
        <w:rPr>
          <w:rFonts w:hint="eastAsia" w:eastAsia="仿宋_GB2312" w:cs="仿宋_GB2312"/>
          <w:color w:val="auto"/>
          <w:kern w:val="2"/>
          <w:sz w:val="32"/>
          <w:szCs w:val="32"/>
          <w:highlight w:val="none"/>
          <w:lang w:val="en-US" w:eastAsia="zh-CN" w:bidi="ar-SA"/>
        </w:rPr>
        <w:t>日常公房公租房巡查使用，往返各小区物业工作巡查，往返各楼盘修建情况进行备案巡查等</w:t>
      </w:r>
      <w:r>
        <w:rPr>
          <w:rFonts w:hint="eastAsia" w:ascii="Times New Roman" w:hAnsi="Times New Roman" w:eastAsia="仿宋_GB2312" w:cs="仿宋_GB2312"/>
          <w:color w:val="auto"/>
          <w:kern w:val="2"/>
          <w:sz w:val="32"/>
          <w:szCs w:val="32"/>
          <w:highlight w:val="none"/>
          <w:lang w:val="en-US" w:eastAsia="zh-CN" w:bidi="ar-SA"/>
        </w:rPr>
        <w:t>所需的公务用车燃料费、维修费、过路过桥费、保险费等支出。</w:t>
      </w:r>
      <w:r>
        <w:rPr>
          <w:rFonts w:hint="eastAsia" w:ascii="仿宋_GB2312" w:hAnsi="仿宋_GB2312" w:eastAsia="仿宋_GB2312" w:cs="仿宋_GB2312"/>
          <w:color w:val="auto"/>
          <w:kern w:val="2"/>
          <w:sz w:val="32"/>
          <w:szCs w:val="32"/>
          <w:highlight w:val="none"/>
          <w:lang w:val="en-US" w:eastAsia="zh-CN" w:bidi="ar-SA"/>
        </w:rPr>
        <w:t>单价100万元（含）以上设备（不含车辆）</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台（套）</w:t>
      </w:r>
      <w:r>
        <w:rPr>
          <w:rFonts w:hint="eastAsia" w:ascii="Times New Roman" w:hAnsi="Times New Roman" w:eastAsia="仿宋_GB2312" w:cs="仿宋_GB2312"/>
          <w:color w:val="auto"/>
          <w:kern w:val="2"/>
          <w:sz w:val="32"/>
          <w:szCs w:val="32"/>
          <w:highlight w:val="none"/>
          <w:lang w:val="en-US" w:eastAsia="zh-CN" w:bidi="ar-SA"/>
        </w:rPr>
        <w:t>。</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r>
        <w:rPr>
          <w:rFonts w:hint="eastAsia" w:ascii="Times New Roman" w:hAnsi="Times New Roman" w:eastAsia="楷体_GB2312" w:cs="楷体_GB2312"/>
          <w:b/>
          <w:color w:val="auto"/>
          <w:sz w:val="32"/>
          <w:szCs w:val="32"/>
          <w:highlight w:val="none"/>
        </w:rPr>
        <w:t>（四）预算绩效管理情况</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根据预算绩效管理要求，乐山市五通桥区住房保障和房地产事务中心在2024年度预算编制阶段，组织对公房管理维修经费</w:t>
      </w:r>
      <w:r>
        <w:rPr>
          <w:rFonts w:hint="eastAsia" w:eastAsia="仿宋_GB2312" w:cs="仿宋_GB2312"/>
          <w:color w:val="auto"/>
          <w:kern w:val="2"/>
          <w:sz w:val="32"/>
          <w:szCs w:val="32"/>
          <w:highlight w:val="none"/>
          <w:lang w:val="en-US" w:eastAsia="zh-CN" w:bidi="ar-SA"/>
        </w:rPr>
        <w:t>、公共租赁住房管理经费、交易与产权和房管事务管理、两河口工农街区直管公房住户搬迁</w:t>
      </w:r>
      <w:r>
        <w:rPr>
          <w:rFonts w:hint="eastAsia" w:ascii="Times New Roman" w:hAnsi="Times New Roman" w:eastAsia="仿宋_GB2312" w:cs="仿宋_GB2312"/>
          <w:color w:val="auto"/>
          <w:kern w:val="2"/>
          <w:sz w:val="32"/>
          <w:szCs w:val="32"/>
          <w:highlight w:val="none"/>
          <w:lang w:val="en-US" w:eastAsia="zh-CN" w:bidi="ar-SA"/>
        </w:rPr>
        <w:t>等</w:t>
      </w:r>
      <w:r>
        <w:rPr>
          <w:rFonts w:hint="eastAsia" w:eastAsia="仿宋_GB2312" w:cs="仿宋_GB2312"/>
          <w:color w:val="auto"/>
          <w:kern w:val="2"/>
          <w:sz w:val="32"/>
          <w:szCs w:val="32"/>
          <w:highlight w:val="none"/>
          <w:lang w:val="en-US" w:eastAsia="zh-CN" w:bidi="ar-SA"/>
        </w:rPr>
        <w:t>4</w:t>
      </w:r>
      <w:r>
        <w:rPr>
          <w:rFonts w:hint="eastAsia" w:ascii="Times New Roman" w:hAnsi="Times New Roman" w:eastAsia="仿宋_GB2312" w:cs="仿宋_GB2312"/>
          <w:color w:val="auto"/>
          <w:kern w:val="2"/>
          <w:sz w:val="32"/>
          <w:szCs w:val="32"/>
          <w:highlight w:val="none"/>
          <w:lang w:val="en-US" w:eastAsia="zh-CN" w:bidi="ar-SA"/>
        </w:rPr>
        <w:t>个项目开展了预算事前绩效评估，对</w:t>
      </w:r>
      <w:r>
        <w:rPr>
          <w:rFonts w:hint="eastAsia" w:eastAsia="仿宋_GB2312" w:cs="仿宋_GB2312"/>
          <w:color w:val="auto"/>
          <w:kern w:val="2"/>
          <w:sz w:val="32"/>
          <w:szCs w:val="32"/>
          <w:highlight w:val="none"/>
          <w:lang w:val="en-US" w:eastAsia="zh-CN" w:bidi="ar-SA"/>
        </w:rPr>
        <w:t>4</w:t>
      </w:r>
      <w:r>
        <w:rPr>
          <w:rFonts w:hint="eastAsia" w:ascii="Times New Roman" w:hAnsi="Times New Roman" w:eastAsia="仿宋_GB2312" w:cs="仿宋_GB2312"/>
          <w:color w:val="auto"/>
          <w:kern w:val="2"/>
          <w:sz w:val="32"/>
          <w:szCs w:val="32"/>
          <w:highlight w:val="none"/>
          <w:lang w:val="en-US" w:eastAsia="zh-CN" w:bidi="ar-SA"/>
        </w:rPr>
        <w:t>个项目编制了绩效目标，预算执行过程中，选取</w:t>
      </w:r>
      <w:r>
        <w:rPr>
          <w:rFonts w:hint="eastAsia" w:eastAsia="仿宋_GB2312" w:cs="仿宋_GB2312"/>
          <w:color w:val="auto"/>
          <w:kern w:val="2"/>
          <w:sz w:val="32"/>
          <w:szCs w:val="32"/>
          <w:highlight w:val="none"/>
          <w:lang w:val="en-US" w:eastAsia="zh-CN" w:bidi="ar-SA"/>
        </w:rPr>
        <w:t>4</w:t>
      </w:r>
      <w:r>
        <w:rPr>
          <w:rFonts w:hint="eastAsia" w:ascii="Times New Roman" w:hAnsi="Times New Roman" w:eastAsia="仿宋_GB2312" w:cs="仿宋_GB2312"/>
          <w:color w:val="auto"/>
          <w:kern w:val="2"/>
          <w:sz w:val="32"/>
          <w:szCs w:val="32"/>
          <w:highlight w:val="none"/>
          <w:lang w:val="en-US" w:eastAsia="zh-CN" w:bidi="ar-SA"/>
        </w:rPr>
        <w:t>个项目开展绩效监控。</w:t>
      </w:r>
    </w:p>
    <w:p>
      <w:pPr>
        <w:spacing w:line="600" w:lineRule="exact"/>
        <w:ind w:firstLine="640"/>
        <w:rPr>
          <w:rFonts w:hint="eastAsia" w:ascii="Times New Roman" w:hAnsi="Times New Roman" w:eastAsia="仿宋_GB2312" w:cs="仿宋_GB2312"/>
          <w:b/>
          <w:bCs/>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组织对2024年度一般公共预算、政府性基金预算、国有资本经营预算、社会保险基金预算以及资本资产、债券资金等全面开展绩效自评，形成</w:t>
      </w:r>
      <w:r>
        <w:rPr>
          <w:rFonts w:hint="eastAsia" w:ascii="Times New Roman" w:hAnsi="Times New Roman"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部门整体（含部门预算项目）绩效自评报告、***等专项预算项目绩效自评报告，其中，</w:t>
      </w:r>
      <w:r>
        <w:rPr>
          <w:rFonts w:hint="eastAsia" w:ascii="Times New Roman" w:hAnsi="Times New Roman"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部门整体（含部门预算项目）绩效自评得分为</w:t>
      </w:r>
      <w:r>
        <w:rPr>
          <w:rFonts w:hint="eastAsia" w:ascii="Times New Roman" w:hAnsi="Times New Roman"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分，绩效自评综述……；***专项预算项目绩效自评得分为***分，绩效自评综述……。绩效自评报告详见附件。</w:t>
      </w:r>
      <w:r>
        <w:rPr>
          <w:rFonts w:hint="eastAsia" w:ascii="Times New Roman" w:hAnsi="Times New Roman" w:eastAsia="仿宋_GB2312" w:cs="仿宋_GB2312"/>
          <w:b/>
          <w:bCs/>
          <w:color w:val="auto"/>
          <w:kern w:val="2"/>
          <w:sz w:val="32"/>
          <w:szCs w:val="32"/>
          <w:highlight w:val="none"/>
          <w:lang w:val="en-US" w:eastAsia="zh-CN" w:bidi="ar-SA"/>
        </w:rPr>
        <w:t>（</w:t>
      </w:r>
      <w:r>
        <w:rPr>
          <w:rFonts w:hint="eastAsia" w:eastAsia="仿宋_GB2312" w:cs="仿宋_GB2312"/>
          <w:b/>
          <w:bCs/>
          <w:color w:val="auto"/>
          <w:kern w:val="2"/>
          <w:sz w:val="32"/>
          <w:szCs w:val="32"/>
          <w:highlight w:val="none"/>
          <w:lang w:val="en-US" w:eastAsia="zh-CN" w:bidi="ar-SA"/>
        </w:rPr>
        <w:t>注：</w:t>
      </w:r>
      <w:r>
        <w:rPr>
          <w:rFonts w:hint="eastAsia" w:ascii="Times New Roman" w:hAnsi="Times New Roman" w:eastAsia="仿宋_GB2312" w:cs="仿宋_GB2312"/>
          <w:b/>
          <w:bCs/>
          <w:color w:val="auto"/>
          <w:kern w:val="2"/>
          <w:sz w:val="32"/>
          <w:szCs w:val="32"/>
          <w:highlight w:val="none"/>
          <w:lang w:val="en-US" w:eastAsia="zh-CN" w:bidi="ar-SA"/>
        </w:rPr>
        <w:t>如不涉及，可根据实际修改表述。）</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pPr>
        <w:numPr>
          <w:ilvl w:val="0"/>
          <w:numId w:val="0"/>
        </w:numPr>
        <w:spacing w:line="600" w:lineRule="exact"/>
        <w:jc w:val="center"/>
        <w:outlineLvl w:val="0"/>
        <w:rPr>
          <w:rFonts w:hint="eastAsia" w:ascii="Times New Roman" w:hAnsi="Times New Roman" w:eastAsia="黑体"/>
          <w:color w:val="auto"/>
          <w:sz w:val="44"/>
          <w:szCs w:val="44"/>
          <w:highlight w:val="none"/>
        </w:rPr>
      </w:pPr>
      <w:bookmarkStart w:id="49" w:name="_Toc15377225"/>
      <w:bookmarkStart w:id="50" w:name="_Toc15396613"/>
      <w:r>
        <w:rPr>
          <w:rFonts w:hint="eastAsia" w:ascii="Times New Roman" w:hAnsi="Times New Roman" w:eastAsia="黑体"/>
          <w:color w:val="auto"/>
          <w:sz w:val="44"/>
          <w:szCs w:val="44"/>
          <w:highlight w:val="none"/>
        </w:rPr>
        <w:t>第</w:t>
      </w:r>
      <w:r>
        <w:rPr>
          <w:rFonts w:hint="eastAsia" w:eastAsia="黑体"/>
          <w:color w:val="auto"/>
          <w:sz w:val="44"/>
          <w:szCs w:val="44"/>
          <w:highlight w:val="none"/>
          <w:lang w:eastAsia="zh-CN"/>
        </w:rPr>
        <w:t>三</w:t>
      </w:r>
      <w:r>
        <w:rPr>
          <w:rFonts w:hint="eastAsia" w:ascii="Times New Roman" w:hAnsi="Times New Roman" w:eastAsia="黑体"/>
          <w:color w:val="auto"/>
          <w:sz w:val="44"/>
          <w:szCs w:val="44"/>
          <w:highlight w:val="none"/>
        </w:rPr>
        <w:t>部分</w:t>
      </w:r>
      <w:r>
        <w:rPr>
          <w:rFonts w:hint="eastAsia" w:ascii="Times New Roman" w:hAnsi="Times New Roman" w:eastAsia="黑体"/>
          <w:color w:val="auto"/>
          <w:sz w:val="44"/>
          <w:szCs w:val="44"/>
          <w:highlight w:val="none"/>
          <w:lang w:val="en-US" w:eastAsia="zh-CN"/>
        </w:rPr>
        <w:t xml:space="preserve"> </w:t>
      </w:r>
      <w:r>
        <w:rPr>
          <w:rFonts w:hint="eastAsia" w:eastAsia="黑体"/>
          <w:color w:val="auto"/>
          <w:sz w:val="44"/>
          <w:szCs w:val="44"/>
          <w:highlight w:val="none"/>
          <w:lang w:val="en-US" w:eastAsia="zh-CN"/>
        </w:rPr>
        <w:t xml:space="preserve"> </w:t>
      </w:r>
      <w:r>
        <w:rPr>
          <w:rFonts w:hint="eastAsia" w:ascii="Times New Roman" w:hAnsi="Times New Roman" w:eastAsia="黑体"/>
          <w:color w:val="auto"/>
          <w:sz w:val="44"/>
          <w:szCs w:val="44"/>
          <w:highlight w:val="none"/>
        </w:rPr>
        <w:t>名词解释</w:t>
      </w:r>
      <w:bookmarkEnd w:id="49"/>
      <w:bookmarkEnd w:id="50"/>
    </w:p>
    <w:p>
      <w:pPr>
        <w:spacing w:line="600" w:lineRule="exact"/>
        <w:jc w:val="left"/>
        <w:rPr>
          <w:rFonts w:ascii="Times New Roman" w:hAnsi="Times New Roman"/>
          <w:b/>
          <w:color w:val="auto"/>
          <w:sz w:val="44"/>
          <w:szCs w:val="44"/>
          <w:highlight w:val="none"/>
        </w:rPr>
      </w:pP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1.财政拨款收入：指单位从同级财政部门取得的财政预算资金。</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2.事业收入：指事业单位开展专业业务活动及辅助活动取得的收入。如……（二级预算单位事业收入情况）等。</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3.经营收入：指事业单位在专业业务活动及其辅助活动之外开展非独立核算经营活动取得的收入。如……（二级预算单位经营收入情况）等。</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 xml:space="preserve">4.其他收入：指单位取得的除上述收入以外的各项收入。主要是……（收入类型）等。 </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 xml:space="preserve">5.使用非财政拨款结余（含专用结余）：指事业单位使用以前年度积累的非财政拨款结余弥补当年收支差额的金额。 </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 xml:space="preserve">6.年初结转和结余：指以前年度尚未完成、结转到本年按有关规定继续使用的资金。 </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7.结余分配：指事业单位按照会计制度规定缴纳的所得税、提取的专用结余以及转入非财政拨款结余的金额等。</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8.年末结转和结余：指单位按有关规定结转到下年或以后年度继续使用的资金。</w:t>
      </w:r>
    </w:p>
    <w:p>
      <w:pPr>
        <w:spacing w:line="600" w:lineRule="exact"/>
        <w:ind w:firstLine="640"/>
        <w:rPr>
          <w:rFonts w:hint="eastAsia"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15.社会保障和就业（类）……（款）……（项）：指</w:t>
      </w:r>
      <w:r>
        <w:rPr>
          <w:rFonts w:hint="eastAsia" w:eastAsia="仿宋_GB2312" w:cs="仿宋_GB2312"/>
          <w:color w:val="auto"/>
          <w:kern w:val="2"/>
          <w:sz w:val="32"/>
          <w:szCs w:val="32"/>
          <w:highlight w:val="none"/>
          <w:lang w:val="en-US" w:eastAsia="zh-CN" w:bidi="ar-SA"/>
        </w:rPr>
        <w:t>行政事业单位养老支出</w:t>
      </w:r>
    </w:p>
    <w:p>
      <w:pPr>
        <w:spacing w:line="600" w:lineRule="exact"/>
        <w:ind w:firstLine="640"/>
        <w:rPr>
          <w:rFonts w:hint="eastAsia"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16.卫生健康（类）……（款）……（项）：指</w:t>
      </w:r>
      <w:r>
        <w:rPr>
          <w:rFonts w:hint="eastAsia" w:eastAsia="仿宋_GB2312" w:cs="仿宋_GB2312"/>
          <w:color w:val="auto"/>
          <w:kern w:val="2"/>
          <w:sz w:val="32"/>
          <w:szCs w:val="32"/>
          <w:highlight w:val="none"/>
          <w:lang w:val="en-US" w:eastAsia="zh-CN" w:bidi="ar-SA"/>
        </w:rPr>
        <w:t>行政事业单位医疗</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18.城乡社区（类）……（款）……（项）：指</w:t>
      </w:r>
      <w:r>
        <w:rPr>
          <w:rFonts w:hint="eastAsia" w:eastAsia="仿宋_GB2312" w:cs="仿宋_GB2312"/>
          <w:color w:val="auto"/>
          <w:kern w:val="2"/>
          <w:sz w:val="32"/>
          <w:szCs w:val="32"/>
          <w:highlight w:val="none"/>
          <w:lang w:val="en-US" w:eastAsia="zh-CN" w:bidi="ar-SA"/>
        </w:rPr>
        <w:t>其他城乡社区管理事务</w:t>
      </w:r>
    </w:p>
    <w:p>
      <w:pPr>
        <w:spacing w:line="600" w:lineRule="exact"/>
        <w:ind w:firstLine="640"/>
        <w:rPr>
          <w:rFonts w:hint="eastAsia"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25.住房保障（类）……（款）……（项）：指</w:t>
      </w:r>
      <w:r>
        <w:rPr>
          <w:rFonts w:hint="eastAsia" w:eastAsia="仿宋_GB2312" w:cs="仿宋_GB2312"/>
          <w:color w:val="auto"/>
          <w:kern w:val="2"/>
          <w:sz w:val="32"/>
          <w:szCs w:val="32"/>
          <w:highlight w:val="none"/>
          <w:lang w:val="en-US" w:eastAsia="zh-CN" w:bidi="ar-SA"/>
        </w:rPr>
        <w:t>住房公积金</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b/>
          <w:bCs/>
          <w:color w:val="auto"/>
          <w:kern w:val="2"/>
          <w:sz w:val="32"/>
          <w:szCs w:val="32"/>
          <w:highlight w:val="none"/>
          <w:lang w:val="en-US" w:eastAsia="zh-CN" w:bidi="ar-SA"/>
        </w:rPr>
        <w:t>（</w:t>
      </w:r>
      <w:r>
        <w:rPr>
          <w:rFonts w:hint="eastAsia" w:eastAsia="仿宋_GB2312" w:cs="仿宋_GB2312"/>
          <w:b/>
          <w:bCs/>
          <w:color w:val="auto"/>
          <w:kern w:val="2"/>
          <w:sz w:val="32"/>
          <w:szCs w:val="32"/>
          <w:highlight w:val="none"/>
          <w:lang w:val="en-US" w:eastAsia="zh-CN" w:bidi="ar-SA"/>
        </w:rPr>
        <w:t>注：</w:t>
      </w:r>
      <w:r>
        <w:rPr>
          <w:rFonts w:hint="eastAsia" w:ascii="Times New Roman" w:hAnsi="Times New Roman" w:eastAsia="仿宋_GB2312" w:cs="仿宋_GB2312"/>
          <w:b/>
          <w:bCs/>
          <w:color w:val="auto"/>
          <w:kern w:val="2"/>
          <w:sz w:val="32"/>
          <w:szCs w:val="32"/>
          <w:highlight w:val="none"/>
          <w:lang w:val="en-US" w:eastAsia="zh-CN" w:bidi="ar-SA"/>
        </w:rPr>
        <w:t>解释本部门决算报表中涉及的全部功能分类科目至项级，不涉及的科目请自行删除。请参照</w:t>
      </w:r>
      <w:r>
        <w:rPr>
          <w:rFonts w:hint="eastAsia" w:eastAsia="仿宋_GB2312" w:cs="仿宋_GB2312"/>
          <w:b/>
          <w:bCs/>
          <w:color w:val="auto"/>
          <w:kern w:val="2"/>
          <w:sz w:val="32"/>
          <w:szCs w:val="32"/>
          <w:highlight w:val="none"/>
          <w:lang w:val="en-US" w:eastAsia="zh-CN" w:bidi="ar-SA"/>
        </w:rPr>
        <w:t>《</w:t>
      </w:r>
      <w:r>
        <w:rPr>
          <w:rFonts w:hint="eastAsia" w:ascii="Times New Roman" w:hAnsi="Times New Roman" w:eastAsia="仿宋_GB2312" w:cs="仿宋_GB2312"/>
          <w:b/>
          <w:bCs/>
          <w:color w:val="auto"/>
          <w:kern w:val="2"/>
          <w:sz w:val="32"/>
          <w:szCs w:val="32"/>
          <w:highlight w:val="none"/>
          <w:lang w:val="en-US" w:eastAsia="zh-CN" w:bidi="ar-SA"/>
        </w:rPr>
        <w:t>202</w:t>
      </w:r>
      <w:r>
        <w:rPr>
          <w:rFonts w:hint="eastAsia" w:eastAsia="仿宋_GB2312" w:cs="仿宋_GB2312"/>
          <w:b/>
          <w:bCs/>
          <w:color w:val="auto"/>
          <w:kern w:val="2"/>
          <w:sz w:val="32"/>
          <w:szCs w:val="32"/>
          <w:highlight w:val="none"/>
          <w:lang w:val="en-US" w:eastAsia="zh-CN" w:bidi="ar-SA"/>
        </w:rPr>
        <w:t>4</w:t>
      </w:r>
      <w:r>
        <w:rPr>
          <w:rFonts w:hint="eastAsia" w:ascii="Times New Roman" w:hAnsi="Times New Roman" w:eastAsia="仿宋_GB2312" w:cs="仿宋_GB2312"/>
          <w:b/>
          <w:bCs/>
          <w:color w:val="auto"/>
          <w:kern w:val="2"/>
          <w:sz w:val="32"/>
          <w:szCs w:val="32"/>
          <w:highlight w:val="none"/>
          <w:lang w:val="en-US" w:eastAsia="zh-CN" w:bidi="ar-SA"/>
        </w:rPr>
        <w:t>年政府收支分类科目</w:t>
      </w:r>
      <w:r>
        <w:rPr>
          <w:rFonts w:hint="eastAsia" w:eastAsia="仿宋_GB2312" w:cs="仿宋_GB2312"/>
          <w:b/>
          <w:bCs/>
          <w:color w:val="auto"/>
          <w:kern w:val="2"/>
          <w:sz w:val="32"/>
          <w:szCs w:val="32"/>
          <w:highlight w:val="none"/>
          <w:lang w:val="en-US" w:eastAsia="zh-CN" w:bidi="ar-SA"/>
        </w:rPr>
        <w:t>》</w:t>
      </w:r>
      <w:r>
        <w:rPr>
          <w:rFonts w:hint="eastAsia" w:ascii="Times New Roman" w:hAnsi="Times New Roman" w:eastAsia="仿宋_GB2312" w:cs="仿宋_GB2312"/>
          <w:b/>
          <w:bCs/>
          <w:color w:val="auto"/>
          <w:kern w:val="2"/>
          <w:sz w:val="32"/>
          <w:szCs w:val="32"/>
          <w:highlight w:val="none"/>
          <w:lang w:val="en-US" w:eastAsia="zh-CN" w:bidi="ar-SA"/>
        </w:rPr>
        <w:t>增减内容）</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27.基本支出：指为保障机构正常运转、完成日常工作任务而发生的人员支出和公用支出。</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 xml:space="preserve">28.项目支出：指在基本支出之外为完成特定行政任务和事业发展目标所发生的支出。 </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29.经营支出：指事业单位在专业业务活动及其辅助活动之外开展非独立核算经营活动发生的支出。</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30.</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三公</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31.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32.……</w:t>
      </w:r>
    </w:p>
    <w:p>
      <w:pPr>
        <w:spacing w:line="600" w:lineRule="exact"/>
        <w:ind w:firstLine="640"/>
        <w:rPr>
          <w:rFonts w:hint="eastAsia" w:ascii="Times New Roman" w:hAnsi="Times New Roman" w:eastAsia="仿宋_GB2312" w:cs="仿宋_GB2312"/>
          <w:b/>
          <w:bCs/>
          <w:color w:val="auto"/>
          <w:kern w:val="2"/>
          <w:sz w:val="32"/>
          <w:szCs w:val="32"/>
          <w:highlight w:val="none"/>
          <w:lang w:val="en-US" w:eastAsia="zh-CN" w:bidi="ar-SA"/>
        </w:rPr>
      </w:pPr>
      <w:r>
        <w:rPr>
          <w:rFonts w:hint="eastAsia" w:ascii="Times New Roman" w:hAnsi="Times New Roman" w:eastAsia="仿宋_GB2312" w:cs="仿宋_GB2312"/>
          <w:b/>
          <w:bCs/>
          <w:color w:val="auto"/>
          <w:kern w:val="2"/>
          <w:sz w:val="32"/>
          <w:szCs w:val="32"/>
          <w:highlight w:val="none"/>
          <w:lang w:val="en-US" w:eastAsia="zh-CN" w:bidi="ar-SA"/>
        </w:rPr>
        <w:t>（注：名词解释部分请根据各部门实际列支情况罗列，并根据本部门职责职能增减名词解释内容）</w:t>
      </w:r>
    </w:p>
    <w:p>
      <w:pPr>
        <w:spacing w:line="600" w:lineRule="exact"/>
        <w:jc w:val="center"/>
        <w:rPr>
          <w:rStyle w:val="28"/>
          <w:rFonts w:hint="eastAsia" w:ascii="Times New Roman" w:hAnsi="Times New Roman" w:eastAsia="黑体"/>
          <w:b w:val="0"/>
          <w:color w:val="auto"/>
          <w:highlight w:val="none"/>
          <w:lang w:eastAsia="zh-CN"/>
        </w:rPr>
      </w:pPr>
      <w:bookmarkStart w:id="51" w:name="_Toc15377226"/>
      <w:r>
        <w:rPr>
          <w:rFonts w:hint="eastAsia" w:ascii="Times New Roman" w:hAnsi="Times New Roman" w:eastAsia="仿宋_GB2312" w:cs="仿宋_GB2312"/>
          <w:color w:val="auto"/>
          <w:kern w:val="2"/>
          <w:sz w:val="32"/>
          <w:szCs w:val="32"/>
          <w:highlight w:val="none"/>
          <w:lang w:val="en-US" w:eastAsia="zh-CN" w:bidi="ar-SA"/>
        </w:rPr>
        <w:br w:type="page"/>
      </w:r>
      <w:bookmarkStart w:id="52" w:name="_Toc15396614"/>
      <w:r>
        <w:rPr>
          <w:rFonts w:hint="eastAsia" w:ascii="Times New Roman" w:hAnsi="Times New Roman" w:eastAsia="黑体"/>
          <w:color w:val="auto"/>
          <w:sz w:val="44"/>
          <w:szCs w:val="44"/>
          <w:highlight w:val="none"/>
        </w:rPr>
        <w:t>第四部分</w:t>
      </w:r>
      <w:r>
        <w:rPr>
          <w:rFonts w:hint="eastAsia" w:ascii="Times New Roman" w:hAnsi="Times New Roman" w:eastAsia="黑体"/>
          <w:color w:val="auto"/>
          <w:sz w:val="44"/>
          <w:szCs w:val="44"/>
          <w:highlight w:val="none"/>
          <w:lang w:val="en-US" w:eastAsia="zh-CN"/>
        </w:rPr>
        <w:t xml:space="preserve"> </w:t>
      </w:r>
      <w:r>
        <w:rPr>
          <w:rFonts w:hint="eastAsia" w:ascii="Times New Roman" w:hAnsi="Times New Roman" w:eastAsia="黑体"/>
          <w:color w:val="auto"/>
          <w:sz w:val="44"/>
          <w:szCs w:val="44"/>
          <w:highlight w:val="none"/>
        </w:rPr>
        <w:t xml:space="preserve"> 附件</w:t>
      </w:r>
      <w:bookmarkEnd w:id="52"/>
    </w:p>
    <w:p>
      <w:pPr>
        <w:keepNext w:val="0"/>
        <w:keepLines w:val="0"/>
        <w:pageBreakBefore w:val="0"/>
        <w:kinsoku/>
        <w:wordWrap/>
        <w:overflowPunct/>
        <w:topLinePunct w:val="0"/>
        <w:autoSpaceDE/>
        <w:autoSpaceDN/>
        <w:bidi w:val="0"/>
        <w:spacing w:line="572" w:lineRule="exact"/>
        <w:jc w:val="left"/>
        <w:textAlignment w:val="auto"/>
        <w:outlineLvl w:val="0"/>
        <w:rPr>
          <w:rFonts w:hint="eastAsia" w:ascii="Times New Roman" w:hAnsi="Times New Roman" w:eastAsia="黑体" w:cs="黑体"/>
          <w:color w:val="FF0000"/>
          <w:sz w:val="32"/>
          <w:szCs w:val="32"/>
          <w:highlight w:val="none"/>
        </w:rPr>
      </w:pPr>
    </w:p>
    <w:p>
      <w:pPr>
        <w:keepNext w:val="0"/>
        <w:keepLines w:val="0"/>
        <w:pageBreakBefore w:val="0"/>
        <w:kinsoku/>
        <w:wordWrap/>
        <w:overflowPunct/>
        <w:topLinePunct w:val="0"/>
        <w:autoSpaceDE/>
        <w:autoSpaceDN/>
        <w:bidi w:val="0"/>
        <w:spacing w:line="572" w:lineRule="exact"/>
        <w:jc w:val="left"/>
        <w:textAlignment w:val="auto"/>
        <w:outlineLvl w:val="0"/>
        <w:rPr>
          <w:rFonts w:hint="eastAsia" w:ascii="Times New Roman" w:hAnsi="Times New Roman" w:eastAsia="黑体" w:cs="方正小标宋简体"/>
          <w:color w:val="auto"/>
          <w:sz w:val="44"/>
          <w:szCs w:val="44"/>
          <w:highlight w:val="none"/>
          <w:lang w:val="en-US" w:eastAsia="zh-CN"/>
        </w:rPr>
      </w:pPr>
      <w:r>
        <w:rPr>
          <w:rFonts w:hint="eastAsia" w:ascii="Times New Roman" w:hAnsi="Times New Roman" w:eastAsia="黑体" w:cs="黑体"/>
          <w:color w:val="auto"/>
          <w:sz w:val="32"/>
          <w:szCs w:val="32"/>
          <w:highlight w:val="none"/>
        </w:rPr>
        <w:t>附件</w:t>
      </w:r>
      <w:r>
        <w:rPr>
          <w:rFonts w:hint="eastAsia" w:ascii="Times New Roman" w:hAnsi="Times New Roman" w:eastAsia="黑体" w:cs="黑体"/>
          <w:color w:val="auto"/>
          <w:sz w:val="32"/>
          <w:szCs w:val="32"/>
          <w:highlight w:val="none"/>
          <w:lang w:val="en-US" w:eastAsia="zh-CN"/>
        </w:rPr>
        <w:t>1</w:t>
      </w:r>
    </w:p>
    <w:p>
      <w:pPr>
        <w:keepNext w:val="0"/>
        <w:keepLines w:val="0"/>
        <w:pageBreakBefore w:val="0"/>
        <w:widowControl/>
        <w:kinsoku/>
        <w:wordWrap/>
        <w:overflowPunct/>
        <w:topLinePunct w:val="0"/>
        <w:autoSpaceDE/>
        <w:autoSpaceDN/>
        <w:bidi w:val="0"/>
        <w:spacing w:line="578" w:lineRule="exact"/>
        <w:contextualSpacing/>
        <w:jc w:val="center"/>
        <w:textAlignment w:val="auto"/>
        <w:outlineLvl w:val="9"/>
        <w:rPr>
          <w:rFonts w:hint="default" w:ascii="Times New Roman" w:hAnsi="Times New Roman" w:eastAsia="方正小标宋简体" w:cs="Times New Roman"/>
          <w:b w:val="0"/>
          <w:bCs/>
          <w:sz w:val="44"/>
          <w:szCs w:val="44"/>
          <w:highlight w:val="none"/>
          <w:shd w:val="clear" w:color="auto" w:fill="FFFFFF"/>
        </w:rPr>
      </w:pPr>
    </w:p>
    <w:p>
      <w:pPr>
        <w:keepNext w:val="0"/>
        <w:keepLines w:val="0"/>
        <w:pageBreakBefore w:val="0"/>
        <w:widowControl/>
        <w:kinsoku/>
        <w:wordWrap/>
        <w:overflowPunct/>
        <w:topLinePunct w:val="0"/>
        <w:autoSpaceDE/>
        <w:autoSpaceDN/>
        <w:bidi w:val="0"/>
        <w:spacing w:line="578" w:lineRule="exact"/>
        <w:contextualSpacing/>
        <w:jc w:val="center"/>
        <w:textAlignment w:val="auto"/>
        <w:outlineLvl w:val="9"/>
        <w:rPr>
          <w:rFonts w:hint="default" w:ascii="Times New Roman" w:hAnsi="Times New Roman" w:eastAsia="方正小标宋简体" w:cs="Times New Roman"/>
          <w:b w:val="0"/>
          <w:bCs/>
          <w:sz w:val="44"/>
          <w:szCs w:val="44"/>
          <w:highlight w:val="none"/>
          <w:shd w:val="clear" w:color="auto" w:fill="FFFFFF"/>
        </w:rPr>
      </w:pPr>
      <w:r>
        <w:rPr>
          <w:rFonts w:hint="default" w:ascii="Times New Roman" w:hAnsi="Times New Roman" w:eastAsia="方正小标宋简体" w:cs="Times New Roman"/>
          <w:b w:val="0"/>
          <w:bCs/>
          <w:sz w:val="44"/>
          <w:szCs w:val="44"/>
          <w:highlight w:val="none"/>
          <w:shd w:val="clear" w:color="auto" w:fill="FFFFFF"/>
        </w:rPr>
        <w:t>部门</w:t>
      </w:r>
      <w:r>
        <w:rPr>
          <w:rFonts w:hint="default" w:ascii="Times New Roman" w:hAnsi="Times New Roman" w:eastAsia="方正小标宋简体" w:cs="Times New Roman"/>
          <w:b w:val="0"/>
          <w:bCs/>
          <w:sz w:val="44"/>
          <w:szCs w:val="44"/>
          <w:highlight w:val="none"/>
          <w:shd w:val="clear" w:color="auto" w:fill="FFFFFF"/>
          <w:lang w:eastAsia="zh-CN"/>
        </w:rPr>
        <w:t>预算</w:t>
      </w:r>
      <w:r>
        <w:rPr>
          <w:rFonts w:hint="default" w:ascii="Times New Roman" w:hAnsi="Times New Roman" w:eastAsia="方正小标宋简体" w:cs="Times New Roman"/>
          <w:b w:val="0"/>
          <w:bCs/>
          <w:sz w:val="44"/>
          <w:szCs w:val="44"/>
          <w:highlight w:val="none"/>
          <w:shd w:val="clear" w:color="auto" w:fill="FFFFFF"/>
        </w:rPr>
        <w:t>绩效</w:t>
      </w:r>
      <w:r>
        <w:rPr>
          <w:rFonts w:hint="eastAsia" w:ascii="Times New Roman" w:hAnsi="Times New Roman" w:eastAsia="方正小标宋简体" w:cs="Times New Roman"/>
          <w:b w:val="0"/>
          <w:bCs/>
          <w:sz w:val="44"/>
          <w:szCs w:val="44"/>
          <w:highlight w:val="none"/>
          <w:shd w:val="clear" w:color="auto" w:fill="FFFFFF"/>
          <w:lang w:eastAsia="zh-CN"/>
        </w:rPr>
        <w:t>评价</w:t>
      </w:r>
      <w:r>
        <w:rPr>
          <w:rFonts w:hint="default" w:ascii="Times New Roman" w:hAnsi="Times New Roman" w:eastAsia="方正小标宋简体" w:cs="Times New Roman"/>
          <w:b w:val="0"/>
          <w:bCs/>
          <w:sz w:val="44"/>
          <w:szCs w:val="44"/>
          <w:highlight w:val="none"/>
          <w:shd w:val="clear" w:color="auto" w:fill="FFFFFF"/>
        </w:rPr>
        <w:t>报告范本</w:t>
      </w:r>
    </w:p>
    <w:p>
      <w:pPr>
        <w:keepNext w:val="0"/>
        <w:keepLines w:val="0"/>
        <w:pageBreakBefore w:val="0"/>
        <w:widowControl/>
        <w:kinsoku/>
        <w:wordWrap/>
        <w:overflowPunct/>
        <w:topLinePunct w:val="0"/>
        <w:autoSpaceDE/>
        <w:autoSpaceDN/>
        <w:bidi w:val="0"/>
        <w:spacing w:line="578" w:lineRule="exact"/>
        <w:contextualSpacing/>
        <w:jc w:val="center"/>
        <w:textAlignment w:val="auto"/>
        <w:outlineLvl w:val="9"/>
        <w:rPr>
          <w:rFonts w:hint="default" w:ascii="Times New Roman" w:hAnsi="Times New Roman" w:eastAsia="仿宋_GB2312" w:cs="Times New Roman"/>
          <w:sz w:val="32"/>
          <w:szCs w:val="32"/>
          <w:highlight w:val="none"/>
          <w:shd w:val="clear" w:color="auto" w:fill="FFFFFF"/>
        </w:rPr>
      </w:pPr>
      <w:r>
        <w:rPr>
          <w:rFonts w:hint="default" w:ascii="Times New Roman" w:hAnsi="Times New Roman" w:eastAsia="仿宋_GB2312" w:cs="Times New Roman"/>
          <w:sz w:val="32"/>
          <w:szCs w:val="32"/>
          <w:highlight w:val="none"/>
          <w:shd w:val="clear" w:color="auto" w:fill="FFFFFF"/>
        </w:rPr>
        <w:t>（报告范围包括机关和下属单位）</w:t>
      </w:r>
    </w:p>
    <w:p>
      <w:pPr>
        <w:keepNext w:val="0"/>
        <w:keepLines w:val="0"/>
        <w:pageBreakBefore w:val="0"/>
        <w:widowControl/>
        <w:kinsoku/>
        <w:wordWrap/>
        <w:overflowPunct/>
        <w:topLinePunct w:val="0"/>
        <w:autoSpaceDE/>
        <w:autoSpaceDN/>
        <w:bidi w:val="0"/>
        <w:adjustRightInd w:val="0"/>
        <w:snapToGrid w:val="0"/>
        <w:spacing w:line="578" w:lineRule="exact"/>
        <w:ind w:firstLine="480" w:firstLineChars="200"/>
        <w:contextualSpacing/>
        <w:jc w:val="left"/>
        <w:textAlignment w:val="auto"/>
        <w:outlineLvl w:val="9"/>
        <w:rPr>
          <w:rFonts w:hint="default" w:ascii="Times New Roman" w:hAnsi="Times New Roman" w:eastAsia="黑体" w:cs="Times New Roman"/>
          <w:color w:val="000000"/>
          <w:kern w:val="0"/>
          <w:sz w:val="24"/>
          <w:szCs w:val="32"/>
          <w:highlight w:val="none"/>
          <w:shd w:val="clear" w:color="auto" w:fill="FFFFFF"/>
        </w:rPr>
      </w:pP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default" w:ascii="Times New Roman" w:hAnsi="Times New Roman" w:eastAsia="黑体" w:cs="Times New Roman"/>
          <w:color w:val="000000"/>
          <w:kern w:val="0"/>
          <w:sz w:val="32"/>
          <w:szCs w:val="32"/>
          <w:highlight w:val="none"/>
          <w:shd w:val="clear" w:color="auto" w:fill="FFFFFF"/>
          <w:lang w:val="zh-CN"/>
        </w:rPr>
      </w:pPr>
      <w:r>
        <w:rPr>
          <w:rFonts w:hint="eastAsia" w:ascii="Times New Roman" w:hAnsi="Times New Roman" w:eastAsia="黑体" w:cs="Times New Roman"/>
          <w:color w:val="000000"/>
          <w:kern w:val="0"/>
          <w:sz w:val="32"/>
          <w:szCs w:val="32"/>
          <w:highlight w:val="none"/>
          <w:shd w:val="clear" w:color="auto" w:fill="FFFFFF"/>
          <w:lang w:val="zh-CN"/>
        </w:rPr>
        <w:t>一、</w:t>
      </w:r>
      <w:r>
        <w:rPr>
          <w:rFonts w:hint="default" w:ascii="Times New Roman" w:hAnsi="Times New Roman" w:eastAsia="黑体" w:cs="Times New Roman"/>
          <w:color w:val="000000"/>
          <w:kern w:val="0"/>
          <w:sz w:val="32"/>
          <w:szCs w:val="32"/>
          <w:highlight w:val="none"/>
          <w:shd w:val="clear" w:color="auto" w:fill="FFFFFF"/>
          <w:lang w:val="zh-CN"/>
        </w:rPr>
        <w:t>部门（单位）基本情况</w:t>
      </w: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firstLine="643" w:firstLineChars="200"/>
        <w:contextualSpacing/>
        <w:jc w:val="left"/>
        <w:textAlignment w:val="auto"/>
        <w:outlineLvl w:val="9"/>
        <w:rPr>
          <w:rFonts w:hint="default" w:ascii="Times New Roman" w:hAnsi="Times New Roman" w:cs="Times New Roman"/>
          <w:szCs w:val="32"/>
        </w:rPr>
      </w:pPr>
      <w:r>
        <w:rPr>
          <w:rFonts w:hint="eastAsia" w:ascii="Times New Roman" w:hAnsi="Times New Roman" w:eastAsia="楷体_GB2312" w:cs="楷体_GB2312"/>
          <w:b/>
          <w:color w:val="auto"/>
          <w:sz w:val="32"/>
          <w:szCs w:val="32"/>
          <w:highlight w:val="none"/>
          <w:lang w:val="zh-CN"/>
        </w:rPr>
        <w:t>（一）</w:t>
      </w:r>
      <w:r>
        <w:rPr>
          <w:rFonts w:hint="default" w:ascii="Times New Roman" w:hAnsi="Times New Roman" w:eastAsia="楷体_GB2312" w:cs="楷体_GB2312"/>
          <w:b/>
          <w:color w:val="auto"/>
          <w:sz w:val="32"/>
          <w:szCs w:val="32"/>
          <w:highlight w:val="none"/>
          <w:lang w:val="zh-CN"/>
        </w:rPr>
        <w:t>机构组成。</w:t>
      </w:r>
      <w:r>
        <w:rPr>
          <w:rFonts w:hint="eastAsia" w:ascii="Times New Roman" w:hAnsi="Times New Roman" w:eastAsia="仿宋_GB2312" w:cs="仿宋_GB2312"/>
          <w:color w:val="auto"/>
          <w:kern w:val="2"/>
          <w:sz w:val="32"/>
          <w:szCs w:val="32"/>
          <w:highlight w:val="none"/>
          <w:lang w:val="en-US" w:eastAsia="zh-CN" w:bidi="ar-SA"/>
        </w:rPr>
        <w:t>***内设</w:t>
      </w:r>
      <w:r>
        <w:rPr>
          <w:rFonts w:hint="default" w:ascii="Times New Roman" w:hAnsi="Times New Roman" w:eastAsia="仿宋_GB2312" w:cs="仿宋_GB2312"/>
          <w:color w:val="auto"/>
          <w:kern w:val="2"/>
          <w:sz w:val="32"/>
          <w:szCs w:val="32"/>
          <w:highlight w:val="none"/>
          <w:lang w:val="en-US" w:eastAsia="zh-CN" w:bidi="ar-SA"/>
        </w:rPr>
        <w:t>处室</w:t>
      </w:r>
      <w:r>
        <w:rPr>
          <w:rFonts w:hint="eastAsia" w:ascii="Times New Roman" w:hAnsi="Times New Roman" w:eastAsia="仿宋_GB2312" w:cs="仿宋_GB2312"/>
          <w:color w:val="auto"/>
          <w:kern w:val="2"/>
          <w:sz w:val="32"/>
          <w:szCs w:val="32"/>
          <w:highlight w:val="none"/>
          <w:lang w:val="en-US" w:eastAsia="zh-CN" w:bidi="ar-SA"/>
        </w:rPr>
        <w:t>及下属单位情况</w:t>
      </w:r>
      <w:r>
        <w:rPr>
          <w:rFonts w:hint="default" w:ascii="Times New Roman" w:hAnsi="Times New Roman" w:eastAsia="仿宋_GB2312" w:cs="仿宋_GB2312"/>
          <w:color w:val="auto"/>
          <w:kern w:val="2"/>
          <w:sz w:val="32"/>
          <w:szCs w:val="32"/>
          <w:highlight w:val="none"/>
          <w:lang w:val="en-US" w:eastAsia="zh-CN" w:bidi="ar-SA"/>
        </w:rPr>
        <w:t>。</w:t>
      </w:r>
    </w:p>
    <w:p>
      <w:pPr>
        <w:keepNext w:val="0"/>
        <w:keepLines w:val="0"/>
        <w:pageBreakBefore w:val="0"/>
        <w:widowControl/>
        <w:kinsoku/>
        <w:wordWrap/>
        <w:overflowPunct/>
        <w:topLinePunct w:val="0"/>
        <w:autoSpaceDE/>
        <w:autoSpaceDN/>
        <w:bidi w:val="0"/>
        <w:adjustRightInd w:val="0"/>
        <w:snapToGrid w:val="0"/>
        <w:spacing w:line="578" w:lineRule="exact"/>
        <w:ind w:firstLine="643" w:firstLineChars="200"/>
        <w:contextualSpacing/>
        <w:jc w:val="left"/>
        <w:textAlignment w:val="auto"/>
        <w:outlineLvl w:val="9"/>
        <w:rPr>
          <w:rFonts w:hint="default" w:ascii="Times New Roman" w:hAnsi="Times New Roman" w:eastAsia="楷体_GB2312" w:cs="Times New Roman"/>
          <w:b/>
          <w:bCs/>
          <w:color w:val="000000"/>
          <w:kern w:val="0"/>
          <w:szCs w:val="32"/>
          <w:highlight w:val="none"/>
          <w:shd w:val="clear" w:color="auto" w:fill="FFFFFF"/>
          <w:lang w:val="zh-CN"/>
        </w:rPr>
      </w:pPr>
      <w:r>
        <w:rPr>
          <w:rFonts w:hint="default" w:ascii="Times New Roman" w:hAnsi="Times New Roman" w:eastAsia="楷体_GB2312" w:cs="楷体_GB2312"/>
          <w:b/>
          <w:color w:val="auto"/>
          <w:sz w:val="32"/>
          <w:szCs w:val="32"/>
          <w:highlight w:val="none"/>
          <w:lang w:val="zh-CN"/>
        </w:rPr>
        <w:t>（二）机构职能</w:t>
      </w:r>
      <w:r>
        <w:rPr>
          <w:rFonts w:hint="eastAsia" w:ascii="Times New Roman" w:hAnsi="Times New Roman" w:eastAsia="楷体_GB2312" w:cs="楷体_GB2312"/>
          <w:b/>
          <w:color w:val="auto"/>
          <w:sz w:val="32"/>
          <w:szCs w:val="32"/>
          <w:highlight w:val="none"/>
          <w:lang w:val="zh-CN"/>
        </w:rPr>
        <w:t>。</w:t>
      </w:r>
      <w:r>
        <w:rPr>
          <w:rFonts w:hint="eastAsia" w:ascii="Times New Roman" w:hAnsi="Times New Roman" w:eastAsia="仿宋_GB2312" w:cs="仿宋_GB2312"/>
          <w:color w:val="auto"/>
          <w:kern w:val="2"/>
          <w:sz w:val="32"/>
          <w:szCs w:val="32"/>
          <w:highlight w:val="none"/>
          <w:lang w:val="en-US" w:eastAsia="zh-CN" w:bidi="ar-SA"/>
        </w:rPr>
        <w:t>***</w:t>
      </w:r>
      <w:r>
        <w:rPr>
          <w:rFonts w:hint="eastAsia" w:ascii="Times New Roman" w:hAnsi="Times New Roman" w:eastAsia="仿宋_GB2312" w:cs="Times New Roman"/>
          <w:sz w:val="32"/>
          <w:szCs w:val="32"/>
          <w:lang w:val="en-US" w:eastAsia="zh-CN"/>
        </w:rPr>
        <w:t>职责和功能。</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default" w:ascii="Times New Roman" w:hAnsi="Times New Roman" w:cs="Times New Roman"/>
          <w:szCs w:val="32"/>
        </w:rPr>
      </w:pPr>
      <w:r>
        <w:rPr>
          <w:rFonts w:hint="default" w:ascii="Times New Roman" w:hAnsi="Times New Roman" w:eastAsia="楷体_GB2312" w:cs="Times New Roman"/>
          <w:b/>
          <w:bCs/>
          <w:color w:val="000000"/>
          <w:kern w:val="0"/>
          <w:sz w:val="32"/>
          <w:szCs w:val="32"/>
          <w:highlight w:val="none"/>
          <w:shd w:val="clear" w:color="auto" w:fill="FFFFFF"/>
          <w:lang w:val="zh-CN"/>
        </w:rPr>
        <w:t>（</w:t>
      </w:r>
      <w:r>
        <w:rPr>
          <w:rFonts w:hint="eastAsia" w:ascii="Times New Roman" w:hAnsi="Times New Roman" w:eastAsia="楷体_GB2312" w:cs="Times New Roman"/>
          <w:b/>
          <w:bCs/>
          <w:color w:val="000000"/>
          <w:kern w:val="0"/>
          <w:sz w:val="32"/>
          <w:szCs w:val="32"/>
          <w:highlight w:val="none"/>
          <w:shd w:val="clear" w:color="auto" w:fill="FFFFFF"/>
          <w:lang w:val="zh-CN"/>
        </w:rPr>
        <w:t>三</w:t>
      </w:r>
      <w:r>
        <w:rPr>
          <w:rFonts w:hint="default" w:ascii="Times New Roman" w:hAnsi="Times New Roman" w:eastAsia="楷体_GB2312" w:cs="Times New Roman"/>
          <w:b/>
          <w:bCs/>
          <w:color w:val="000000"/>
          <w:kern w:val="0"/>
          <w:sz w:val="32"/>
          <w:szCs w:val="32"/>
          <w:highlight w:val="none"/>
          <w:shd w:val="clear" w:color="auto" w:fill="FFFFFF"/>
          <w:lang w:val="zh-CN"/>
        </w:rPr>
        <w:t>）人员概况</w:t>
      </w:r>
      <w:r>
        <w:rPr>
          <w:rFonts w:hint="eastAsia" w:ascii="Times New Roman" w:hAnsi="Times New Roman" w:eastAsia="楷体_GB2312" w:cs="Times New Roman"/>
          <w:b/>
          <w:bCs/>
          <w:color w:val="000000"/>
          <w:kern w:val="0"/>
          <w:sz w:val="32"/>
          <w:szCs w:val="32"/>
          <w:highlight w:val="none"/>
          <w:shd w:val="clear" w:color="auto" w:fill="FFFFFF"/>
          <w:lang w:val="zh-CN"/>
        </w:rPr>
        <w:t>。</w:t>
      </w:r>
      <w:r>
        <w:rPr>
          <w:rFonts w:hint="default" w:ascii="Times New Roman" w:hAnsi="Times New Roman" w:eastAsia="仿宋_GB2312" w:cs="Times New Roman"/>
          <w:sz w:val="32"/>
          <w:szCs w:val="32"/>
          <w:lang w:val="en-US" w:eastAsia="zh-CN"/>
        </w:rPr>
        <w:t>截至202</w:t>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lang w:val="en-US" w:eastAsia="zh-CN"/>
        </w:rPr>
        <w:t>年末，</w:t>
      </w:r>
      <w:r>
        <w:rPr>
          <w:rFonts w:hint="eastAsia" w:ascii="Times New Roman" w:hAnsi="Times New Roman" w:eastAsia="仿宋_GB2312" w:cs="仿宋_GB2312"/>
          <w:color w:val="auto"/>
          <w:kern w:val="2"/>
          <w:sz w:val="32"/>
          <w:szCs w:val="32"/>
          <w:highlight w:val="none"/>
          <w:lang w:val="en-US" w:eastAsia="zh-CN" w:bidi="ar-SA"/>
        </w:rPr>
        <w:t>***</w:t>
      </w:r>
      <w:r>
        <w:rPr>
          <w:rFonts w:hint="default" w:ascii="Times New Roman" w:hAnsi="Times New Roman" w:eastAsia="仿宋_GB2312" w:cs="Times New Roman"/>
          <w:sz w:val="32"/>
          <w:szCs w:val="32"/>
          <w:lang w:val="en-US" w:eastAsia="zh-CN"/>
        </w:rPr>
        <w:t>及下属单位编制</w:t>
      </w:r>
      <w:r>
        <w:rPr>
          <w:rFonts w:hint="eastAsia" w:ascii="Times New Roman" w:hAnsi="Times New Roman" w:eastAsia="仿宋_GB2312" w:cs="Times New Roman"/>
          <w:sz w:val="32"/>
          <w:szCs w:val="32"/>
          <w:lang w:val="en-US" w:eastAsia="zh-CN"/>
        </w:rPr>
        <w:t>情况、</w:t>
      </w:r>
      <w:r>
        <w:rPr>
          <w:rFonts w:hint="default" w:ascii="Times New Roman" w:hAnsi="Times New Roman" w:eastAsia="仿宋_GB2312" w:cs="Times New Roman"/>
          <w:sz w:val="32"/>
          <w:szCs w:val="32"/>
          <w:lang w:val="en-US" w:eastAsia="zh-CN"/>
        </w:rPr>
        <w:t>年末实有人数</w:t>
      </w:r>
      <w:r>
        <w:rPr>
          <w:rFonts w:hint="eastAsia" w:ascii="Times New Roman" w:hAnsi="Times New Roman" w:eastAsia="仿宋_GB2312" w:cs="Times New Roman"/>
          <w:sz w:val="32"/>
          <w:szCs w:val="32"/>
          <w:lang w:val="en-US" w:eastAsia="zh-CN"/>
        </w:rPr>
        <w:t>情况。</w:t>
      </w: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default" w:ascii="Times New Roman" w:hAnsi="Times New Roman" w:eastAsia="黑体" w:cs="Times New Roman"/>
          <w:color w:val="000000"/>
          <w:kern w:val="0"/>
          <w:sz w:val="32"/>
          <w:szCs w:val="32"/>
          <w:highlight w:val="none"/>
          <w:shd w:val="clear" w:color="auto" w:fill="FFFFFF"/>
          <w:lang w:val="zh-CN" w:eastAsia="zh-CN"/>
        </w:rPr>
      </w:pPr>
      <w:r>
        <w:rPr>
          <w:rFonts w:hint="default" w:ascii="Times New Roman" w:hAnsi="Times New Roman" w:eastAsia="黑体" w:cs="Times New Roman"/>
          <w:color w:val="000000"/>
          <w:kern w:val="0"/>
          <w:sz w:val="32"/>
          <w:szCs w:val="32"/>
          <w:highlight w:val="none"/>
          <w:shd w:val="clear" w:color="auto" w:fill="FFFFFF"/>
          <w:lang w:val="zh-CN" w:eastAsia="zh-CN"/>
        </w:rPr>
        <w:t>二、部门资金收支情况</w:t>
      </w:r>
    </w:p>
    <w:p>
      <w:pPr>
        <w:keepNext w:val="0"/>
        <w:keepLines w:val="0"/>
        <w:pageBreakBefore w:val="0"/>
        <w:widowControl/>
        <w:kinsoku/>
        <w:wordWrap/>
        <w:overflowPunct/>
        <w:topLinePunct w:val="0"/>
        <w:autoSpaceDE/>
        <w:autoSpaceDN/>
        <w:bidi w:val="0"/>
        <w:adjustRightInd w:val="0"/>
        <w:snapToGrid w:val="0"/>
        <w:spacing w:line="578" w:lineRule="exact"/>
        <w:ind w:firstLine="643" w:firstLineChars="200"/>
        <w:contextualSpacing/>
        <w:jc w:val="left"/>
        <w:textAlignment w:val="auto"/>
        <w:outlineLvl w:val="9"/>
        <w:rPr>
          <w:rFonts w:hint="default" w:ascii="Times New Roman" w:hAnsi="Times New Roman" w:eastAsia="楷体_GB2312" w:cs="Times New Roman"/>
          <w:b/>
          <w:bCs/>
          <w:color w:val="000000"/>
          <w:kern w:val="0"/>
          <w:szCs w:val="32"/>
          <w:highlight w:val="none"/>
          <w:shd w:val="clear" w:color="auto" w:fill="FFFFFF"/>
          <w:lang w:val="en-US"/>
        </w:rPr>
      </w:pPr>
      <w:r>
        <w:rPr>
          <w:rFonts w:hint="default" w:ascii="Times New Roman" w:hAnsi="Times New Roman" w:eastAsia="楷体_GB2312" w:cs="Times New Roman"/>
          <w:b/>
          <w:bCs/>
          <w:color w:val="000000"/>
          <w:kern w:val="0"/>
          <w:sz w:val="32"/>
          <w:szCs w:val="32"/>
          <w:highlight w:val="none"/>
          <w:shd w:val="clear" w:color="auto" w:fill="FFFFFF"/>
          <w:lang w:val="zh-CN"/>
        </w:rPr>
        <w:t>（一）</w:t>
      </w:r>
      <w:r>
        <w:rPr>
          <w:rFonts w:hint="eastAsia" w:ascii="Times New Roman" w:hAnsi="Times New Roman" w:eastAsia="楷体_GB2312" w:cs="Times New Roman"/>
          <w:b/>
          <w:bCs/>
          <w:color w:val="000000"/>
          <w:kern w:val="0"/>
          <w:sz w:val="32"/>
          <w:szCs w:val="32"/>
          <w:highlight w:val="none"/>
          <w:shd w:val="clear" w:color="auto" w:fill="FFFFFF"/>
          <w:lang w:val="zh-CN"/>
        </w:rPr>
        <w:t>收入情况</w:t>
      </w:r>
      <w:r>
        <w:rPr>
          <w:rFonts w:hint="default" w:ascii="Times New Roman" w:hAnsi="Times New Roman" w:eastAsia="楷体_GB2312" w:cs="Times New Roman"/>
          <w:b/>
          <w:bCs/>
          <w:color w:val="000000"/>
          <w:kern w:val="0"/>
          <w:sz w:val="32"/>
          <w:szCs w:val="32"/>
          <w:highlight w:val="none"/>
          <w:shd w:val="clear" w:color="auto" w:fill="FFFFFF"/>
          <w:lang w:val="zh-CN"/>
        </w:rPr>
        <w:t>。</w:t>
      </w:r>
      <w:r>
        <w:rPr>
          <w:rFonts w:hint="eastAsia" w:ascii="Times New Roman" w:hAnsi="Times New Roman" w:eastAsia="仿宋_GB2312" w:cs="仿宋_GB2312"/>
          <w:color w:val="auto"/>
          <w:kern w:val="2"/>
          <w:sz w:val="32"/>
          <w:szCs w:val="32"/>
          <w:highlight w:val="none"/>
          <w:lang w:val="en-US" w:eastAsia="zh-CN" w:bidi="ar-SA"/>
        </w:rPr>
        <w:t>***</w:t>
      </w:r>
      <w:r>
        <w:rPr>
          <w:rFonts w:hint="eastAsia" w:ascii="Times New Roman" w:hAnsi="Times New Roman" w:eastAsia="仿宋_GB2312" w:cs="Times New Roman"/>
          <w:sz w:val="32"/>
          <w:szCs w:val="32"/>
          <w:lang w:val="en-US" w:eastAsia="zh-CN"/>
        </w:rPr>
        <w:t>2024年年初预算收入情况、决算报表收入情况。</w:t>
      </w:r>
    </w:p>
    <w:p>
      <w:pPr>
        <w:keepNext w:val="0"/>
        <w:keepLines w:val="0"/>
        <w:pageBreakBefore w:val="0"/>
        <w:widowControl/>
        <w:kinsoku/>
        <w:wordWrap/>
        <w:overflowPunct/>
        <w:topLinePunct w:val="0"/>
        <w:autoSpaceDE/>
        <w:autoSpaceDN/>
        <w:bidi w:val="0"/>
        <w:adjustRightInd w:val="0"/>
        <w:snapToGrid w:val="0"/>
        <w:spacing w:line="578" w:lineRule="exact"/>
        <w:ind w:firstLine="643" w:firstLineChars="200"/>
        <w:contextualSpacing/>
        <w:jc w:val="left"/>
        <w:textAlignment w:val="auto"/>
        <w:outlineLvl w:val="9"/>
        <w:rPr>
          <w:rFonts w:hint="default" w:ascii="Times New Roman" w:hAnsi="Times New Roman" w:cs="Times New Roman"/>
          <w:szCs w:val="32"/>
          <w:lang w:val="zh-CN" w:eastAsia="zh-CN"/>
        </w:rPr>
      </w:pPr>
      <w:r>
        <w:rPr>
          <w:rFonts w:hint="default" w:ascii="Times New Roman" w:hAnsi="Times New Roman" w:eastAsia="楷体_GB2312" w:cs="Times New Roman"/>
          <w:b/>
          <w:bCs/>
          <w:color w:val="000000"/>
          <w:kern w:val="0"/>
          <w:sz w:val="32"/>
          <w:szCs w:val="32"/>
          <w:highlight w:val="none"/>
          <w:shd w:val="clear" w:color="auto" w:fill="FFFFFF"/>
          <w:lang w:val="zh-CN"/>
        </w:rPr>
        <w:t>（</w:t>
      </w:r>
      <w:r>
        <w:rPr>
          <w:rFonts w:hint="eastAsia" w:ascii="Times New Roman" w:hAnsi="Times New Roman" w:eastAsia="楷体_GB2312" w:cs="Times New Roman"/>
          <w:b/>
          <w:bCs/>
          <w:color w:val="000000"/>
          <w:kern w:val="0"/>
          <w:sz w:val="32"/>
          <w:szCs w:val="32"/>
          <w:highlight w:val="none"/>
          <w:shd w:val="clear" w:color="auto" w:fill="FFFFFF"/>
          <w:lang w:val="zh-CN"/>
        </w:rPr>
        <w:t>二</w:t>
      </w:r>
      <w:r>
        <w:rPr>
          <w:rFonts w:hint="default" w:ascii="Times New Roman" w:hAnsi="Times New Roman" w:eastAsia="楷体_GB2312" w:cs="Times New Roman"/>
          <w:b/>
          <w:bCs/>
          <w:color w:val="000000"/>
          <w:kern w:val="0"/>
          <w:sz w:val="32"/>
          <w:szCs w:val="32"/>
          <w:highlight w:val="none"/>
          <w:shd w:val="clear" w:color="auto" w:fill="FFFFFF"/>
          <w:lang w:val="zh-CN"/>
        </w:rPr>
        <w:t>）</w:t>
      </w:r>
      <w:r>
        <w:rPr>
          <w:rFonts w:hint="eastAsia" w:ascii="Times New Roman" w:hAnsi="Times New Roman" w:eastAsia="楷体_GB2312" w:cs="Times New Roman"/>
          <w:b/>
          <w:bCs/>
          <w:color w:val="000000"/>
          <w:kern w:val="0"/>
          <w:sz w:val="32"/>
          <w:szCs w:val="32"/>
          <w:highlight w:val="none"/>
          <w:shd w:val="clear" w:color="auto" w:fill="FFFFFF"/>
          <w:lang w:val="zh-CN"/>
        </w:rPr>
        <w:t>支出情况</w:t>
      </w:r>
      <w:r>
        <w:rPr>
          <w:rFonts w:hint="default" w:ascii="Times New Roman" w:hAnsi="Times New Roman" w:eastAsia="楷体_GB2312" w:cs="Times New Roman"/>
          <w:b/>
          <w:bCs/>
          <w:color w:val="000000"/>
          <w:kern w:val="0"/>
          <w:sz w:val="32"/>
          <w:szCs w:val="32"/>
          <w:highlight w:val="none"/>
          <w:shd w:val="clear" w:color="auto" w:fill="FFFFFF"/>
          <w:lang w:val="zh-CN"/>
        </w:rPr>
        <w:t>。</w:t>
      </w:r>
      <w:r>
        <w:rPr>
          <w:rFonts w:hint="eastAsia" w:ascii="Times New Roman" w:hAnsi="Times New Roman" w:eastAsia="仿宋_GB2312" w:cs="仿宋_GB2312"/>
          <w:color w:val="auto"/>
          <w:kern w:val="2"/>
          <w:sz w:val="32"/>
          <w:szCs w:val="32"/>
          <w:highlight w:val="none"/>
          <w:lang w:val="en-US" w:eastAsia="zh-CN" w:bidi="ar-SA"/>
        </w:rPr>
        <w:t>***</w:t>
      </w:r>
      <w:r>
        <w:rPr>
          <w:rFonts w:hint="eastAsia" w:ascii="Times New Roman" w:hAnsi="Times New Roman" w:eastAsia="仿宋_GB2312" w:cs="Times New Roman"/>
          <w:sz w:val="32"/>
          <w:szCs w:val="32"/>
          <w:lang w:val="en-US" w:eastAsia="zh-CN"/>
        </w:rPr>
        <w:t>2024年年初预算支出情况、决算报表支出情况。</w:t>
      </w:r>
    </w:p>
    <w:p>
      <w:pPr>
        <w:keepNext w:val="0"/>
        <w:keepLines w:val="0"/>
        <w:pageBreakBefore w:val="0"/>
        <w:widowControl/>
        <w:kinsoku/>
        <w:wordWrap/>
        <w:overflowPunct/>
        <w:topLinePunct w:val="0"/>
        <w:autoSpaceDE/>
        <w:autoSpaceDN/>
        <w:bidi w:val="0"/>
        <w:adjustRightInd w:val="0"/>
        <w:snapToGrid w:val="0"/>
        <w:spacing w:line="578" w:lineRule="exact"/>
        <w:ind w:firstLine="643" w:firstLineChars="200"/>
        <w:contextualSpacing/>
        <w:jc w:val="left"/>
        <w:textAlignment w:val="auto"/>
        <w:outlineLvl w:val="9"/>
        <w:rPr>
          <w:rFonts w:hint="default" w:ascii="Times New Roman" w:hAnsi="Times New Roman" w:eastAsia="仿宋_GB2312" w:cs="Times New Roman"/>
          <w:b w:val="0"/>
          <w:bCs w:val="0"/>
          <w:color w:val="000000"/>
          <w:kern w:val="0"/>
          <w:szCs w:val="32"/>
          <w:highlight w:val="none"/>
          <w:shd w:val="clear" w:color="auto" w:fill="FFFFFF"/>
          <w:lang w:val="zh-CN" w:eastAsia="zh-CN"/>
        </w:rPr>
      </w:pPr>
      <w:r>
        <w:rPr>
          <w:rFonts w:hint="default" w:ascii="Times New Roman" w:hAnsi="Times New Roman" w:eastAsia="楷体_GB2312" w:cs="Times New Roman"/>
          <w:b/>
          <w:bCs/>
          <w:color w:val="000000"/>
          <w:kern w:val="0"/>
          <w:sz w:val="32"/>
          <w:szCs w:val="32"/>
          <w:highlight w:val="none"/>
          <w:shd w:val="clear" w:color="auto" w:fill="FFFFFF"/>
          <w:lang w:val="zh-CN"/>
        </w:rPr>
        <w:t>（</w:t>
      </w:r>
      <w:r>
        <w:rPr>
          <w:rFonts w:hint="eastAsia" w:ascii="Times New Roman" w:hAnsi="Times New Roman" w:eastAsia="楷体_GB2312" w:cs="Times New Roman"/>
          <w:b/>
          <w:bCs/>
          <w:color w:val="000000"/>
          <w:kern w:val="0"/>
          <w:sz w:val="32"/>
          <w:szCs w:val="32"/>
          <w:highlight w:val="none"/>
          <w:shd w:val="clear" w:color="auto" w:fill="FFFFFF"/>
          <w:lang w:val="zh-CN"/>
        </w:rPr>
        <w:t>三</w:t>
      </w:r>
      <w:r>
        <w:rPr>
          <w:rFonts w:hint="default" w:ascii="Times New Roman" w:hAnsi="Times New Roman" w:eastAsia="楷体_GB2312" w:cs="Times New Roman"/>
          <w:b/>
          <w:bCs/>
          <w:color w:val="000000"/>
          <w:kern w:val="0"/>
          <w:sz w:val="32"/>
          <w:szCs w:val="32"/>
          <w:highlight w:val="none"/>
          <w:shd w:val="clear" w:color="auto" w:fill="FFFFFF"/>
          <w:lang w:val="zh-CN"/>
        </w:rPr>
        <w:t>）结余分配和结转结余情况</w:t>
      </w:r>
      <w:r>
        <w:rPr>
          <w:rFonts w:hint="eastAsia" w:ascii="Times New Roman" w:hAnsi="Times New Roman" w:eastAsia="楷体_GB2312" w:cs="Times New Roman"/>
          <w:b/>
          <w:bCs/>
          <w:color w:val="000000"/>
          <w:kern w:val="0"/>
          <w:sz w:val="32"/>
          <w:szCs w:val="32"/>
          <w:highlight w:val="none"/>
          <w:shd w:val="clear" w:color="auto" w:fill="FFFFFF"/>
          <w:lang w:val="zh-CN" w:eastAsia="zh-CN"/>
        </w:rPr>
        <w:t>。</w:t>
      </w:r>
      <w:r>
        <w:rPr>
          <w:rFonts w:hint="eastAsia" w:ascii="Times New Roman" w:hAnsi="Times New Roman" w:eastAsia="仿宋_GB2312" w:cs="仿宋_GB2312"/>
          <w:color w:val="auto"/>
          <w:kern w:val="2"/>
          <w:sz w:val="32"/>
          <w:szCs w:val="32"/>
          <w:highlight w:val="none"/>
          <w:lang w:val="en-US" w:eastAsia="zh-CN" w:bidi="ar-SA"/>
        </w:rPr>
        <w:t>***</w:t>
      </w:r>
      <w:r>
        <w:rPr>
          <w:rFonts w:hint="eastAsia" w:ascii="Times New Roman" w:hAnsi="Times New Roman" w:eastAsia="仿宋_GB2312" w:cs="Times New Roman"/>
          <w:sz w:val="32"/>
          <w:szCs w:val="32"/>
          <w:lang w:val="en-US" w:eastAsia="zh-CN"/>
        </w:rPr>
        <w:t>2024年决算报表</w:t>
      </w:r>
      <w:r>
        <w:rPr>
          <w:rFonts w:hint="default" w:ascii="Times New Roman" w:hAnsi="Times New Roman" w:eastAsia="仿宋_GB2312" w:cs="Times New Roman"/>
          <w:sz w:val="32"/>
          <w:szCs w:val="32"/>
          <w:lang w:val="en-US" w:eastAsia="zh-CN"/>
        </w:rPr>
        <w:t>结转结余</w:t>
      </w:r>
      <w:r>
        <w:rPr>
          <w:rFonts w:hint="eastAsia" w:ascii="Times New Roman" w:hAnsi="Times New Roman" w:eastAsia="仿宋_GB2312" w:cs="Times New Roman"/>
          <w:sz w:val="32"/>
          <w:szCs w:val="32"/>
          <w:lang w:val="en-US" w:eastAsia="zh-CN"/>
        </w:rPr>
        <w:t>情况</w:t>
      </w:r>
      <w:r>
        <w:rPr>
          <w:rFonts w:hint="default" w:ascii="Times New Roman" w:hAnsi="Times New Roman" w:eastAsia="仿宋_GB2312" w:cs="Times New Roman"/>
          <w:sz w:val="32"/>
          <w:szCs w:val="32"/>
          <w:lang w:val="en-US" w:eastAsia="zh-CN"/>
        </w:rPr>
        <w:t>。</w:t>
      </w: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default" w:ascii="Times New Roman" w:hAnsi="Times New Roman" w:eastAsia="黑体" w:cs="Times New Roman"/>
          <w:color w:val="000000"/>
          <w:kern w:val="0"/>
          <w:sz w:val="32"/>
          <w:szCs w:val="32"/>
          <w:highlight w:val="none"/>
          <w:shd w:val="clear" w:color="auto" w:fill="FFFFFF"/>
          <w:lang w:val="zh-CN" w:eastAsia="zh-CN"/>
        </w:rPr>
      </w:pPr>
      <w:r>
        <w:rPr>
          <w:rFonts w:hint="default" w:ascii="Times New Roman" w:hAnsi="Times New Roman" w:eastAsia="黑体" w:cs="Times New Roman"/>
          <w:color w:val="000000"/>
          <w:kern w:val="0"/>
          <w:sz w:val="32"/>
          <w:szCs w:val="32"/>
          <w:highlight w:val="none"/>
          <w:shd w:val="clear" w:color="auto" w:fill="FFFFFF"/>
          <w:lang w:val="zh-CN" w:eastAsia="zh-CN"/>
        </w:rPr>
        <w:t>三、部门预算绩效分析</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3" w:firstLineChars="200"/>
        <w:contextualSpacing/>
        <w:jc w:val="left"/>
        <w:textAlignment w:val="auto"/>
        <w:outlineLvl w:val="9"/>
        <w:rPr>
          <w:rFonts w:hint="default" w:ascii="Times New Roman" w:hAnsi="Times New Roman" w:eastAsia="仿宋_GB2312" w:cs="仿宋_GB2312"/>
          <w:color w:val="auto"/>
          <w:kern w:val="2"/>
          <w:sz w:val="32"/>
          <w:szCs w:val="32"/>
          <w:highlight w:val="none"/>
          <w:lang w:val="zh-CN" w:eastAsia="zh-CN" w:bidi="ar-SA"/>
        </w:rPr>
      </w:pPr>
      <w:r>
        <w:rPr>
          <w:rFonts w:hint="default" w:ascii="Times New Roman" w:hAnsi="Times New Roman" w:eastAsia="楷体_GB2312" w:cs="Times New Roman"/>
          <w:b/>
          <w:bCs/>
          <w:color w:val="000000"/>
          <w:kern w:val="0"/>
          <w:sz w:val="32"/>
          <w:szCs w:val="32"/>
          <w:highlight w:val="none"/>
          <w:shd w:val="clear" w:color="auto" w:fill="FFFFFF"/>
          <w:lang w:val="zh-CN"/>
        </w:rPr>
        <w:t>（一）</w:t>
      </w:r>
      <w:r>
        <w:rPr>
          <w:rFonts w:hint="eastAsia" w:ascii="Times New Roman" w:hAnsi="Times New Roman" w:eastAsia="楷体_GB2312" w:cs="Times New Roman"/>
          <w:b/>
          <w:bCs/>
          <w:color w:val="000000"/>
          <w:kern w:val="0"/>
          <w:sz w:val="32"/>
          <w:szCs w:val="32"/>
          <w:highlight w:val="none"/>
          <w:shd w:val="clear" w:color="auto" w:fill="FFFFFF"/>
          <w:lang w:val="zh-CN"/>
        </w:rPr>
        <w:t>部门预算</w:t>
      </w:r>
      <w:r>
        <w:rPr>
          <w:rFonts w:hint="default" w:ascii="Times New Roman" w:hAnsi="Times New Roman" w:eastAsia="楷体_GB2312" w:cs="Times New Roman"/>
          <w:b/>
          <w:bCs/>
          <w:color w:val="000000"/>
          <w:kern w:val="0"/>
          <w:sz w:val="32"/>
          <w:szCs w:val="32"/>
          <w:highlight w:val="none"/>
          <w:shd w:val="clear" w:color="auto" w:fill="FFFFFF"/>
          <w:lang w:val="zh-CN"/>
        </w:rPr>
        <w:t>总体绩效分析。</w:t>
      </w:r>
      <w:r>
        <w:rPr>
          <w:rFonts w:hint="default" w:ascii="Times New Roman" w:hAnsi="Times New Roman" w:eastAsia="仿宋_GB2312" w:cs="仿宋_GB2312"/>
          <w:color w:val="auto"/>
          <w:kern w:val="2"/>
          <w:sz w:val="32"/>
          <w:szCs w:val="32"/>
          <w:highlight w:val="none"/>
          <w:lang w:val="zh-CN" w:eastAsia="zh-CN" w:bidi="ar-SA"/>
        </w:rPr>
        <w:t>根据部门预算绩效评价指标体系</w:t>
      </w:r>
      <w:r>
        <w:rPr>
          <w:rFonts w:hint="eastAsia" w:ascii="Times New Roman" w:hAnsi="Times New Roman" w:eastAsia="仿宋_GB2312" w:cs="仿宋_GB2312"/>
          <w:color w:val="auto"/>
          <w:kern w:val="2"/>
          <w:sz w:val="32"/>
          <w:szCs w:val="32"/>
          <w:highlight w:val="none"/>
          <w:lang w:val="zh-CN" w:eastAsia="zh-CN" w:bidi="ar-SA"/>
        </w:rPr>
        <w:t>“</w:t>
      </w:r>
      <w:r>
        <w:rPr>
          <w:rFonts w:hint="default" w:ascii="Times New Roman" w:hAnsi="Times New Roman" w:eastAsia="仿宋_GB2312" w:cs="仿宋_GB2312"/>
          <w:color w:val="auto"/>
          <w:kern w:val="2"/>
          <w:sz w:val="32"/>
          <w:szCs w:val="32"/>
          <w:highlight w:val="none"/>
          <w:lang w:val="zh-CN" w:eastAsia="zh-CN" w:bidi="ar-SA"/>
        </w:rPr>
        <w:t>总体绩效</w:t>
      </w:r>
      <w:r>
        <w:rPr>
          <w:rFonts w:hint="eastAsia" w:ascii="Times New Roman" w:hAnsi="Times New Roman" w:eastAsia="仿宋_GB2312" w:cs="仿宋_GB2312"/>
          <w:color w:val="auto"/>
          <w:kern w:val="2"/>
          <w:sz w:val="32"/>
          <w:szCs w:val="32"/>
          <w:highlight w:val="none"/>
          <w:lang w:val="zh-CN" w:eastAsia="zh-CN" w:bidi="ar-SA"/>
        </w:rPr>
        <w:t>”</w:t>
      </w:r>
      <w:r>
        <w:rPr>
          <w:rFonts w:hint="default" w:ascii="Times New Roman" w:hAnsi="Times New Roman" w:eastAsia="仿宋_GB2312" w:cs="仿宋_GB2312"/>
          <w:color w:val="auto"/>
          <w:kern w:val="2"/>
          <w:sz w:val="32"/>
          <w:szCs w:val="32"/>
          <w:highlight w:val="none"/>
          <w:lang w:val="zh-CN" w:eastAsia="zh-CN" w:bidi="ar-SA"/>
        </w:rPr>
        <w:t>涉及</w:t>
      </w:r>
      <w:r>
        <w:rPr>
          <w:rFonts w:hint="eastAsia" w:ascii="Times New Roman" w:hAnsi="Times New Roman" w:eastAsia="仿宋_GB2312" w:cs="仿宋_GB2312"/>
          <w:color w:val="auto"/>
          <w:kern w:val="2"/>
          <w:sz w:val="32"/>
          <w:szCs w:val="32"/>
          <w:highlight w:val="none"/>
          <w:lang w:val="zh-CN" w:eastAsia="zh-CN" w:bidi="ar-SA"/>
        </w:rPr>
        <w:t>二、三级</w:t>
      </w:r>
      <w:r>
        <w:rPr>
          <w:rFonts w:hint="default" w:ascii="Times New Roman" w:hAnsi="Times New Roman" w:eastAsia="仿宋_GB2312" w:cs="仿宋_GB2312"/>
          <w:color w:val="auto"/>
          <w:kern w:val="2"/>
          <w:sz w:val="32"/>
          <w:szCs w:val="32"/>
          <w:highlight w:val="none"/>
          <w:lang w:val="zh-CN" w:eastAsia="zh-CN" w:bidi="ar-SA"/>
        </w:rPr>
        <w:t>指标进行</w:t>
      </w:r>
      <w:r>
        <w:rPr>
          <w:rFonts w:hint="eastAsia" w:ascii="Times New Roman" w:hAnsi="Times New Roman" w:eastAsia="仿宋_GB2312" w:cs="仿宋_GB2312"/>
          <w:color w:val="auto"/>
          <w:kern w:val="2"/>
          <w:sz w:val="32"/>
          <w:szCs w:val="32"/>
          <w:highlight w:val="none"/>
          <w:lang w:val="zh-CN" w:eastAsia="zh-CN" w:bidi="ar-SA"/>
        </w:rPr>
        <w:t>逐项</w:t>
      </w:r>
      <w:r>
        <w:rPr>
          <w:rFonts w:hint="default" w:ascii="Times New Roman" w:hAnsi="Times New Roman" w:eastAsia="仿宋_GB2312" w:cs="仿宋_GB2312"/>
          <w:color w:val="auto"/>
          <w:kern w:val="2"/>
          <w:sz w:val="32"/>
          <w:szCs w:val="32"/>
          <w:highlight w:val="none"/>
          <w:lang w:val="zh-CN" w:eastAsia="zh-CN" w:bidi="ar-SA"/>
        </w:rPr>
        <w:t>绩效分析</w:t>
      </w:r>
      <w:r>
        <w:rPr>
          <w:rFonts w:hint="eastAsia" w:ascii="Times New Roman" w:hAnsi="Times New Roman" w:eastAsia="仿宋_GB2312" w:cs="仿宋_GB2312"/>
          <w:color w:val="auto"/>
          <w:kern w:val="2"/>
          <w:sz w:val="32"/>
          <w:szCs w:val="32"/>
          <w:highlight w:val="none"/>
          <w:lang w:val="zh-CN" w:eastAsia="zh-CN" w:bidi="ar-SA"/>
        </w:rPr>
        <w:t>并评分</w:t>
      </w:r>
      <w:r>
        <w:rPr>
          <w:rFonts w:hint="default" w:ascii="Times New Roman" w:hAnsi="Times New Roman" w:eastAsia="仿宋_GB2312" w:cs="仿宋_GB2312"/>
          <w:color w:val="auto"/>
          <w:kern w:val="2"/>
          <w:sz w:val="32"/>
          <w:szCs w:val="32"/>
          <w:highlight w:val="none"/>
          <w:lang w:val="zh-CN" w:eastAsia="zh-CN" w:bidi="ar-SA"/>
        </w:rPr>
        <w:t>，依次包括履职效能、预算管理、财务管理、资产管理、采购管理等情况。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eastAsia="仿宋_GB2312" w:cs="仿宋_GB2312"/>
          <w:color w:val="auto"/>
          <w:kern w:val="2"/>
          <w:sz w:val="32"/>
          <w:szCs w:val="32"/>
          <w:highlight w:val="none"/>
          <w:lang w:val="zh-CN" w:eastAsia="zh-CN" w:bidi="ar-SA"/>
        </w:rPr>
      </w:pPr>
      <w:r>
        <w:rPr>
          <w:rFonts w:hint="eastAsia" w:ascii="Times New Roman" w:hAnsi="Times New Roman" w:eastAsia="仿宋_GB2312" w:cs="仿宋_GB2312"/>
          <w:color w:val="auto"/>
          <w:kern w:val="2"/>
          <w:sz w:val="32"/>
          <w:szCs w:val="32"/>
          <w:highlight w:val="none"/>
          <w:lang w:val="en-US" w:eastAsia="zh-CN" w:bidi="ar-SA"/>
        </w:rPr>
        <w:t>1.</w:t>
      </w:r>
      <w:r>
        <w:rPr>
          <w:rFonts w:hint="eastAsia" w:ascii="Times New Roman" w:hAnsi="Times New Roman" w:eastAsia="仿宋_GB2312" w:cs="仿宋_GB2312"/>
          <w:color w:val="auto"/>
          <w:kern w:val="2"/>
          <w:sz w:val="32"/>
          <w:szCs w:val="32"/>
          <w:highlight w:val="none"/>
          <w:lang w:val="zh-CN" w:eastAsia="zh-CN" w:bidi="ar-SA"/>
        </w:rPr>
        <w:t>履职效能。部门整体绩效目标中选定3-5个核心职能目标，对职能目标完成效果情况绩效分析。</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eastAsia="仿宋_GB2312" w:cs="仿宋_GB2312"/>
          <w:color w:val="auto"/>
          <w:kern w:val="2"/>
          <w:sz w:val="32"/>
          <w:szCs w:val="32"/>
          <w:highlight w:val="none"/>
          <w:lang w:val="zh-CN" w:eastAsia="zh-CN" w:bidi="ar-SA"/>
        </w:rPr>
      </w:pPr>
      <w:r>
        <w:rPr>
          <w:rFonts w:hint="eastAsia" w:ascii="Times New Roman" w:hAnsi="Times New Roman" w:eastAsia="仿宋_GB2312" w:cs="仿宋_GB2312"/>
          <w:color w:val="auto"/>
          <w:kern w:val="2"/>
          <w:sz w:val="32"/>
          <w:szCs w:val="32"/>
          <w:highlight w:val="none"/>
          <w:lang w:val="en-US" w:eastAsia="zh-CN" w:bidi="ar-SA"/>
        </w:rPr>
        <w:t>2.</w:t>
      </w:r>
      <w:r>
        <w:rPr>
          <w:rFonts w:hint="default" w:ascii="Times New Roman" w:hAnsi="Times New Roman" w:eastAsia="仿宋_GB2312" w:cs="仿宋_GB2312"/>
          <w:color w:val="auto"/>
          <w:kern w:val="2"/>
          <w:sz w:val="32"/>
          <w:szCs w:val="32"/>
          <w:highlight w:val="none"/>
          <w:lang w:val="zh-CN" w:eastAsia="zh-CN" w:bidi="ar-SA"/>
        </w:rPr>
        <w:t>预算管理</w:t>
      </w:r>
      <w:r>
        <w:rPr>
          <w:rFonts w:hint="eastAsia" w:ascii="Times New Roman" w:hAnsi="Times New Roman" w:eastAsia="仿宋_GB2312" w:cs="仿宋_GB2312"/>
          <w:color w:val="auto"/>
          <w:kern w:val="2"/>
          <w:sz w:val="32"/>
          <w:szCs w:val="32"/>
          <w:highlight w:val="none"/>
          <w:lang w:val="zh-CN" w:eastAsia="zh-CN" w:bidi="ar-SA"/>
        </w:rPr>
        <w:t>。围绕预算编制质量、单位收入统筹、支出执行进度、预算年终结余、严控一般性支出</w:t>
      </w:r>
      <w:r>
        <w:rPr>
          <w:rFonts w:hint="default" w:ascii="Times New Roman" w:hAnsi="Times New Roman" w:eastAsia="仿宋_GB2312" w:cs="仿宋_GB2312"/>
          <w:color w:val="auto"/>
          <w:kern w:val="2"/>
          <w:sz w:val="32"/>
          <w:szCs w:val="32"/>
          <w:highlight w:val="none"/>
          <w:lang w:val="zh-CN" w:eastAsia="zh-CN" w:bidi="ar-SA"/>
        </w:rPr>
        <w:t>进行绩效分析</w:t>
      </w:r>
      <w:r>
        <w:rPr>
          <w:rFonts w:hint="eastAsia" w:ascii="Times New Roman" w:hAnsi="Times New Roman" w:eastAsia="仿宋_GB2312" w:cs="仿宋_GB2312"/>
          <w:color w:val="auto"/>
          <w:kern w:val="2"/>
          <w:sz w:val="32"/>
          <w:szCs w:val="32"/>
          <w:highlight w:val="none"/>
          <w:lang w:val="zh-CN" w:eastAsia="zh-CN" w:bidi="ar-SA"/>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eastAsia="仿宋_GB2312" w:cs="仿宋_GB2312"/>
          <w:color w:val="auto"/>
          <w:kern w:val="2"/>
          <w:sz w:val="32"/>
          <w:szCs w:val="32"/>
          <w:highlight w:val="none"/>
          <w:lang w:val="zh-CN" w:eastAsia="zh-CN" w:bidi="ar-SA"/>
        </w:rPr>
      </w:pPr>
      <w:r>
        <w:rPr>
          <w:rFonts w:hint="eastAsia" w:ascii="Times New Roman" w:hAnsi="Times New Roman" w:eastAsia="仿宋_GB2312" w:cs="仿宋_GB2312"/>
          <w:color w:val="auto"/>
          <w:kern w:val="2"/>
          <w:sz w:val="32"/>
          <w:szCs w:val="32"/>
          <w:highlight w:val="none"/>
          <w:lang w:val="en-US" w:eastAsia="zh-CN" w:bidi="ar-SA"/>
        </w:rPr>
        <w:t>3.</w:t>
      </w:r>
      <w:r>
        <w:rPr>
          <w:rFonts w:hint="default" w:ascii="Times New Roman" w:hAnsi="Times New Roman" w:eastAsia="仿宋_GB2312" w:cs="仿宋_GB2312"/>
          <w:color w:val="auto"/>
          <w:kern w:val="2"/>
          <w:sz w:val="32"/>
          <w:szCs w:val="32"/>
          <w:highlight w:val="none"/>
          <w:lang w:val="zh-CN" w:eastAsia="zh-CN" w:bidi="ar-SA"/>
        </w:rPr>
        <w:t>财务管理</w:t>
      </w:r>
      <w:r>
        <w:rPr>
          <w:rFonts w:hint="eastAsia" w:ascii="Times New Roman" w:hAnsi="Times New Roman" w:eastAsia="仿宋_GB2312" w:cs="仿宋_GB2312"/>
          <w:color w:val="auto"/>
          <w:kern w:val="2"/>
          <w:sz w:val="32"/>
          <w:szCs w:val="32"/>
          <w:highlight w:val="none"/>
          <w:lang w:val="zh-CN" w:eastAsia="zh-CN" w:bidi="ar-SA"/>
        </w:rPr>
        <w:t>。围绕财务管理制度、财务岗位设置、资金使用规范</w:t>
      </w:r>
      <w:r>
        <w:rPr>
          <w:rFonts w:hint="default" w:ascii="Times New Roman" w:hAnsi="Times New Roman" w:eastAsia="仿宋_GB2312" w:cs="仿宋_GB2312"/>
          <w:color w:val="auto"/>
          <w:kern w:val="2"/>
          <w:sz w:val="32"/>
          <w:szCs w:val="32"/>
          <w:highlight w:val="none"/>
          <w:lang w:val="zh-CN" w:eastAsia="zh-CN" w:bidi="ar-SA"/>
        </w:rPr>
        <w:t>进行绩效分析</w:t>
      </w:r>
      <w:r>
        <w:rPr>
          <w:rFonts w:hint="eastAsia" w:ascii="Times New Roman" w:hAnsi="Times New Roman" w:eastAsia="仿宋_GB2312" w:cs="仿宋_GB2312"/>
          <w:color w:val="auto"/>
          <w:kern w:val="2"/>
          <w:sz w:val="32"/>
          <w:szCs w:val="32"/>
          <w:highlight w:val="none"/>
          <w:lang w:val="zh-CN" w:eastAsia="zh-CN" w:bidi="ar-SA"/>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eastAsia="仿宋_GB2312" w:cs="仿宋_GB2312"/>
          <w:color w:val="auto"/>
          <w:kern w:val="2"/>
          <w:sz w:val="32"/>
          <w:szCs w:val="32"/>
          <w:highlight w:val="none"/>
          <w:lang w:val="zh-CN" w:eastAsia="zh-CN" w:bidi="ar-SA"/>
        </w:rPr>
      </w:pPr>
      <w:r>
        <w:rPr>
          <w:rFonts w:hint="eastAsia" w:ascii="Times New Roman" w:hAnsi="Times New Roman" w:eastAsia="仿宋_GB2312" w:cs="仿宋_GB2312"/>
          <w:color w:val="auto"/>
          <w:kern w:val="2"/>
          <w:sz w:val="32"/>
          <w:szCs w:val="32"/>
          <w:highlight w:val="none"/>
          <w:lang w:val="en-US" w:eastAsia="zh-CN" w:bidi="ar-SA"/>
        </w:rPr>
        <w:t>4.</w:t>
      </w:r>
      <w:r>
        <w:rPr>
          <w:rFonts w:hint="default" w:ascii="Times New Roman" w:hAnsi="Times New Roman" w:eastAsia="仿宋_GB2312" w:cs="仿宋_GB2312"/>
          <w:color w:val="auto"/>
          <w:kern w:val="2"/>
          <w:sz w:val="32"/>
          <w:szCs w:val="32"/>
          <w:highlight w:val="none"/>
          <w:lang w:val="zh-CN" w:eastAsia="zh-CN" w:bidi="ar-SA"/>
        </w:rPr>
        <w:t>资产管理</w:t>
      </w:r>
      <w:r>
        <w:rPr>
          <w:rFonts w:hint="eastAsia" w:ascii="Times New Roman" w:hAnsi="Times New Roman" w:eastAsia="仿宋_GB2312" w:cs="仿宋_GB2312"/>
          <w:color w:val="auto"/>
          <w:kern w:val="2"/>
          <w:sz w:val="32"/>
          <w:szCs w:val="32"/>
          <w:highlight w:val="none"/>
          <w:lang w:val="zh-CN" w:eastAsia="zh-CN" w:bidi="ar-SA"/>
        </w:rPr>
        <w:t>。围绕人均资产变化率、资产利用率、资产盘活率</w:t>
      </w:r>
      <w:r>
        <w:rPr>
          <w:rFonts w:hint="default" w:ascii="Times New Roman" w:hAnsi="Times New Roman" w:eastAsia="仿宋_GB2312" w:cs="仿宋_GB2312"/>
          <w:color w:val="auto"/>
          <w:kern w:val="2"/>
          <w:sz w:val="32"/>
          <w:szCs w:val="32"/>
          <w:highlight w:val="none"/>
          <w:lang w:val="zh-CN" w:eastAsia="zh-CN" w:bidi="ar-SA"/>
        </w:rPr>
        <w:t>进行绩效分析</w:t>
      </w:r>
      <w:r>
        <w:rPr>
          <w:rFonts w:hint="eastAsia" w:ascii="Times New Roman" w:hAnsi="Times New Roman" w:eastAsia="仿宋_GB2312" w:cs="仿宋_GB2312"/>
          <w:color w:val="auto"/>
          <w:kern w:val="2"/>
          <w:sz w:val="32"/>
          <w:szCs w:val="32"/>
          <w:highlight w:val="none"/>
          <w:lang w:val="zh-CN" w:eastAsia="zh-CN" w:bidi="ar-SA"/>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eastAsia="仿宋_GB2312" w:cs="仿宋_GB2312"/>
          <w:color w:val="auto"/>
          <w:kern w:val="2"/>
          <w:sz w:val="32"/>
          <w:szCs w:val="32"/>
          <w:highlight w:val="none"/>
          <w:lang w:val="zh-CN" w:eastAsia="zh-CN" w:bidi="ar-SA"/>
        </w:rPr>
      </w:pPr>
      <w:r>
        <w:rPr>
          <w:rFonts w:hint="eastAsia" w:ascii="Times New Roman" w:hAnsi="Times New Roman" w:eastAsia="仿宋_GB2312" w:cs="仿宋_GB2312"/>
          <w:color w:val="auto"/>
          <w:kern w:val="2"/>
          <w:sz w:val="32"/>
          <w:szCs w:val="32"/>
          <w:highlight w:val="none"/>
          <w:lang w:val="en-US" w:eastAsia="zh-CN" w:bidi="ar-SA"/>
        </w:rPr>
        <w:t>5.</w:t>
      </w:r>
      <w:r>
        <w:rPr>
          <w:rFonts w:hint="default" w:ascii="Times New Roman" w:hAnsi="Times New Roman" w:eastAsia="仿宋_GB2312" w:cs="仿宋_GB2312"/>
          <w:color w:val="auto"/>
          <w:kern w:val="2"/>
          <w:sz w:val="32"/>
          <w:szCs w:val="32"/>
          <w:highlight w:val="none"/>
          <w:lang w:val="zh-CN" w:eastAsia="zh-CN" w:bidi="ar-SA"/>
        </w:rPr>
        <w:t>采购管理</w:t>
      </w:r>
      <w:r>
        <w:rPr>
          <w:rFonts w:hint="eastAsia" w:ascii="Times New Roman" w:hAnsi="Times New Roman" w:eastAsia="仿宋_GB2312" w:cs="仿宋_GB2312"/>
          <w:color w:val="auto"/>
          <w:kern w:val="2"/>
          <w:sz w:val="32"/>
          <w:szCs w:val="32"/>
          <w:highlight w:val="none"/>
          <w:lang w:val="zh-CN" w:eastAsia="zh-CN" w:bidi="ar-SA"/>
        </w:rPr>
        <w:t>。围绕支持中小企业发展、采购执行率</w:t>
      </w:r>
      <w:r>
        <w:rPr>
          <w:rFonts w:hint="default" w:ascii="Times New Roman" w:hAnsi="Times New Roman" w:eastAsia="仿宋_GB2312" w:cs="仿宋_GB2312"/>
          <w:color w:val="auto"/>
          <w:kern w:val="2"/>
          <w:sz w:val="32"/>
          <w:szCs w:val="32"/>
          <w:highlight w:val="none"/>
          <w:lang w:val="zh-CN" w:eastAsia="zh-CN" w:bidi="ar-SA"/>
        </w:rPr>
        <w:t>进行绩效分析</w:t>
      </w:r>
      <w:r>
        <w:rPr>
          <w:rFonts w:hint="eastAsia" w:ascii="Times New Roman" w:hAnsi="Times New Roman" w:eastAsia="仿宋_GB2312" w:cs="仿宋_GB2312"/>
          <w:color w:val="auto"/>
          <w:kern w:val="2"/>
          <w:sz w:val="32"/>
          <w:szCs w:val="32"/>
          <w:highlight w:val="none"/>
          <w:lang w:val="zh-CN" w:eastAsia="zh-CN" w:bidi="ar-SA"/>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3" w:firstLineChars="200"/>
        <w:contextualSpacing/>
        <w:jc w:val="both"/>
        <w:textAlignment w:val="auto"/>
        <w:outlineLvl w:val="9"/>
        <w:rPr>
          <w:rFonts w:hint="default" w:ascii="Times New Roman" w:hAnsi="Times New Roman" w:eastAsia="仿宋_GB2312" w:cs="仿宋_GB2312"/>
          <w:color w:val="auto"/>
          <w:kern w:val="2"/>
          <w:sz w:val="32"/>
          <w:szCs w:val="32"/>
          <w:highlight w:val="none"/>
          <w:lang w:val="en-US" w:eastAsia="zh-CN" w:bidi="ar-SA"/>
        </w:rPr>
      </w:pPr>
      <w:r>
        <w:rPr>
          <w:rFonts w:hint="default" w:ascii="Times New Roman" w:hAnsi="Times New Roman" w:eastAsia="楷体_GB2312" w:cs="Times New Roman"/>
          <w:b/>
          <w:bCs/>
          <w:color w:val="000000"/>
          <w:kern w:val="0"/>
          <w:sz w:val="32"/>
          <w:szCs w:val="32"/>
          <w:highlight w:val="none"/>
          <w:shd w:val="clear" w:color="auto" w:fill="FFFFFF"/>
          <w:lang w:val="zh-CN"/>
        </w:rPr>
        <w:t>（二）部门预算项目绩效分析。</w:t>
      </w:r>
      <w:r>
        <w:rPr>
          <w:rFonts w:hint="eastAsia" w:ascii="Times New Roman" w:hAnsi="Times New Roman" w:eastAsia="仿宋_GB2312" w:cs="仿宋_GB2312"/>
          <w:color w:val="auto"/>
          <w:kern w:val="2"/>
          <w:sz w:val="32"/>
          <w:szCs w:val="32"/>
          <w:highlight w:val="none"/>
          <w:lang w:val="zh-CN" w:eastAsia="zh-CN" w:bidi="ar-SA"/>
        </w:rPr>
        <w:t>填报以下数据，并</w:t>
      </w:r>
      <w:r>
        <w:rPr>
          <w:rFonts w:hint="default" w:ascii="Times New Roman" w:hAnsi="Times New Roman" w:eastAsia="仿宋_GB2312" w:cs="仿宋_GB2312"/>
          <w:color w:val="auto"/>
          <w:kern w:val="2"/>
          <w:sz w:val="32"/>
          <w:szCs w:val="32"/>
          <w:highlight w:val="none"/>
          <w:lang w:val="zh-CN" w:eastAsia="zh-CN" w:bidi="ar-SA"/>
        </w:rPr>
        <w:t>根据部门预算绩效评价指标体系</w:t>
      </w:r>
      <w:r>
        <w:rPr>
          <w:rFonts w:hint="eastAsia" w:ascii="Times New Roman" w:hAnsi="Times New Roman" w:eastAsia="仿宋_GB2312" w:cs="仿宋_GB2312"/>
          <w:color w:val="auto"/>
          <w:kern w:val="2"/>
          <w:sz w:val="32"/>
          <w:szCs w:val="32"/>
          <w:highlight w:val="none"/>
          <w:lang w:val="zh-CN" w:eastAsia="zh-CN" w:bidi="ar-SA"/>
        </w:rPr>
        <w:t>“</w:t>
      </w:r>
      <w:r>
        <w:rPr>
          <w:rFonts w:hint="default" w:ascii="Times New Roman" w:hAnsi="Times New Roman" w:eastAsia="仿宋_GB2312" w:cs="仿宋_GB2312"/>
          <w:color w:val="auto"/>
          <w:kern w:val="2"/>
          <w:sz w:val="32"/>
          <w:szCs w:val="32"/>
          <w:highlight w:val="none"/>
          <w:lang w:val="zh-CN" w:eastAsia="zh-CN" w:bidi="ar-SA"/>
        </w:rPr>
        <w:t>项目绩效</w:t>
      </w:r>
      <w:r>
        <w:rPr>
          <w:rFonts w:hint="eastAsia" w:ascii="Times New Roman" w:hAnsi="Times New Roman" w:eastAsia="仿宋_GB2312" w:cs="仿宋_GB2312"/>
          <w:color w:val="auto"/>
          <w:kern w:val="2"/>
          <w:sz w:val="32"/>
          <w:szCs w:val="32"/>
          <w:highlight w:val="none"/>
          <w:lang w:val="zh-CN" w:eastAsia="zh-CN" w:bidi="ar-SA"/>
        </w:rPr>
        <w:t>”</w:t>
      </w:r>
      <w:r>
        <w:rPr>
          <w:rFonts w:hint="default" w:ascii="Times New Roman" w:hAnsi="Times New Roman" w:eastAsia="仿宋_GB2312" w:cs="仿宋_GB2312"/>
          <w:color w:val="auto"/>
          <w:kern w:val="2"/>
          <w:sz w:val="32"/>
          <w:szCs w:val="32"/>
          <w:highlight w:val="none"/>
          <w:lang w:val="zh-CN" w:eastAsia="zh-CN" w:bidi="ar-SA"/>
        </w:rPr>
        <w:t>涉及</w:t>
      </w:r>
      <w:r>
        <w:rPr>
          <w:rFonts w:hint="eastAsia" w:ascii="Times New Roman" w:hAnsi="Times New Roman" w:eastAsia="仿宋_GB2312" w:cs="仿宋_GB2312"/>
          <w:color w:val="auto"/>
          <w:kern w:val="2"/>
          <w:sz w:val="32"/>
          <w:szCs w:val="32"/>
          <w:highlight w:val="none"/>
          <w:lang w:val="zh-CN" w:eastAsia="zh-CN" w:bidi="ar-SA"/>
        </w:rPr>
        <w:t>二、三级</w:t>
      </w:r>
      <w:r>
        <w:rPr>
          <w:rFonts w:hint="default" w:ascii="Times New Roman" w:hAnsi="Times New Roman" w:eastAsia="仿宋_GB2312" w:cs="仿宋_GB2312"/>
          <w:color w:val="auto"/>
          <w:kern w:val="2"/>
          <w:sz w:val="32"/>
          <w:szCs w:val="32"/>
          <w:highlight w:val="none"/>
          <w:lang w:val="zh-CN" w:eastAsia="zh-CN" w:bidi="ar-SA"/>
        </w:rPr>
        <w:t>指标进行</w:t>
      </w:r>
      <w:r>
        <w:rPr>
          <w:rFonts w:hint="eastAsia" w:ascii="Times New Roman" w:hAnsi="Times New Roman" w:eastAsia="仿宋_GB2312" w:cs="仿宋_GB2312"/>
          <w:color w:val="auto"/>
          <w:kern w:val="2"/>
          <w:sz w:val="32"/>
          <w:szCs w:val="32"/>
          <w:highlight w:val="none"/>
          <w:lang w:val="zh-CN" w:eastAsia="zh-CN" w:bidi="ar-SA"/>
        </w:rPr>
        <w:t>逐项</w:t>
      </w:r>
      <w:r>
        <w:rPr>
          <w:rFonts w:hint="default" w:ascii="Times New Roman" w:hAnsi="Times New Roman" w:eastAsia="仿宋_GB2312" w:cs="仿宋_GB2312"/>
          <w:color w:val="auto"/>
          <w:kern w:val="2"/>
          <w:sz w:val="32"/>
          <w:szCs w:val="32"/>
          <w:highlight w:val="none"/>
          <w:lang w:val="zh-CN" w:eastAsia="zh-CN" w:bidi="ar-SA"/>
        </w:rPr>
        <w:t>绩效分析</w:t>
      </w:r>
      <w:r>
        <w:rPr>
          <w:rFonts w:hint="eastAsia" w:ascii="Times New Roman" w:hAnsi="Times New Roman" w:eastAsia="仿宋_GB2312" w:cs="仿宋_GB2312"/>
          <w:color w:val="auto"/>
          <w:kern w:val="2"/>
          <w:sz w:val="32"/>
          <w:szCs w:val="32"/>
          <w:highlight w:val="none"/>
          <w:lang w:val="zh-CN" w:eastAsia="zh-CN" w:bidi="ar-SA"/>
        </w:rPr>
        <w:t>并评分</w:t>
      </w:r>
      <w:r>
        <w:rPr>
          <w:rFonts w:hint="default" w:ascii="Times New Roman" w:hAnsi="Times New Roman" w:eastAsia="仿宋_GB2312" w:cs="仿宋_GB2312"/>
          <w:color w:val="auto"/>
          <w:kern w:val="2"/>
          <w:sz w:val="32"/>
          <w:szCs w:val="32"/>
          <w:highlight w:val="none"/>
          <w:lang w:val="zh-CN" w:eastAsia="zh-CN" w:bidi="ar-SA"/>
        </w:rPr>
        <w:t>，依次包括项目</w:t>
      </w:r>
      <w:r>
        <w:rPr>
          <w:rFonts w:hint="default" w:ascii="Times New Roman" w:hAnsi="Times New Roman" w:eastAsia="仿宋_GB2312" w:cs="仿宋_GB2312"/>
          <w:color w:val="auto"/>
          <w:kern w:val="2"/>
          <w:sz w:val="32"/>
          <w:szCs w:val="32"/>
          <w:highlight w:val="none"/>
          <w:lang w:val="en-US" w:eastAsia="zh-CN" w:bidi="ar-SA"/>
        </w:rPr>
        <w:t>决策、项目执行、目标实现等情况</w:t>
      </w:r>
      <w:r>
        <w:rPr>
          <w:rFonts w:hint="eastAsia" w:ascii="Times New Roman" w:hAnsi="Times New Roman" w:eastAsia="仿宋_GB2312" w:cs="仿宋_GB2312"/>
          <w:color w:val="auto"/>
          <w:kern w:val="2"/>
          <w:sz w:val="32"/>
          <w:szCs w:val="32"/>
          <w:highlight w:val="none"/>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both"/>
        <w:textAlignment w:val="auto"/>
        <w:outlineLvl w:val="9"/>
        <w:rPr>
          <w:rFonts w:hint="default" w:ascii="Times New Roman" w:hAnsi="Times New Roman" w:eastAsia="仿宋_GB2312" w:cs="仿宋_GB2312"/>
          <w:color w:val="auto"/>
          <w:kern w:val="2"/>
          <w:sz w:val="32"/>
          <w:szCs w:val="32"/>
          <w:highlight w:val="none"/>
          <w:lang w:val="zh-CN" w:eastAsia="zh-CN" w:bidi="ar-SA"/>
        </w:rPr>
      </w:pPr>
      <w:r>
        <w:rPr>
          <w:rFonts w:hint="default" w:ascii="Times New Roman" w:hAnsi="Times New Roman" w:eastAsia="仿宋_GB2312" w:cs="仿宋_GB2312"/>
          <w:color w:val="auto"/>
          <w:kern w:val="2"/>
          <w:sz w:val="32"/>
          <w:szCs w:val="32"/>
          <w:highlight w:val="none"/>
          <w:lang w:val="en-US" w:eastAsia="zh-CN" w:bidi="ar-SA"/>
        </w:rPr>
        <w:t>常年项目绩效分析。</w:t>
      </w:r>
      <w:r>
        <w:rPr>
          <w:rFonts w:hint="default" w:ascii="Times New Roman" w:hAnsi="Times New Roman" w:eastAsia="仿宋_GB2312" w:cs="仿宋_GB2312"/>
          <w:color w:val="auto"/>
          <w:kern w:val="2"/>
          <w:sz w:val="32"/>
          <w:szCs w:val="32"/>
          <w:highlight w:val="none"/>
          <w:lang w:val="zh-CN" w:eastAsia="zh-CN" w:bidi="ar-SA"/>
        </w:rPr>
        <w:t>该类项目总数</w:t>
      </w:r>
      <w:r>
        <w:rPr>
          <w:rFonts w:hint="eastAsia" w:eastAsia="仿宋_GB2312" w:cs="仿宋_GB2312"/>
          <w:color w:val="auto"/>
          <w:kern w:val="2"/>
          <w:sz w:val="32"/>
          <w:szCs w:val="32"/>
          <w:highlight w:val="none"/>
          <w:lang w:val="en-US" w:eastAsia="zh-CN" w:bidi="ar-SA"/>
        </w:rPr>
        <w:t>4</w:t>
      </w:r>
      <w:r>
        <w:rPr>
          <w:rFonts w:hint="default" w:ascii="Times New Roman" w:hAnsi="Times New Roman" w:eastAsia="仿宋_GB2312" w:cs="仿宋_GB2312"/>
          <w:color w:val="auto"/>
          <w:kern w:val="2"/>
          <w:sz w:val="32"/>
          <w:szCs w:val="32"/>
          <w:highlight w:val="none"/>
          <w:lang w:val="zh-CN" w:eastAsia="zh-CN" w:bidi="ar-SA"/>
        </w:rPr>
        <w:t>个，涉及预算总金额</w:t>
      </w:r>
      <w:r>
        <w:rPr>
          <w:rFonts w:hint="eastAsia" w:eastAsia="仿宋_GB2312" w:cs="仿宋_GB2312"/>
          <w:color w:val="auto"/>
          <w:kern w:val="2"/>
          <w:sz w:val="32"/>
          <w:szCs w:val="32"/>
          <w:highlight w:val="none"/>
          <w:lang w:val="en-US" w:eastAsia="zh-CN" w:bidi="ar-SA"/>
        </w:rPr>
        <w:t>54.75</w:t>
      </w:r>
      <w:r>
        <w:rPr>
          <w:rFonts w:hint="default" w:ascii="Times New Roman" w:hAnsi="Times New Roman" w:eastAsia="仿宋_GB2312" w:cs="仿宋_GB2312"/>
          <w:color w:val="auto"/>
          <w:kern w:val="2"/>
          <w:sz w:val="32"/>
          <w:szCs w:val="32"/>
          <w:highlight w:val="none"/>
          <w:lang w:val="zh-CN" w:eastAsia="zh-CN" w:bidi="ar-SA"/>
        </w:rPr>
        <w:t>万元，1</w:t>
      </w:r>
      <w:r>
        <w:rPr>
          <w:rFonts w:hint="eastAsia" w:ascii="Times New Roman" w:hAnsi="Times New Roman" w:eastAsia="仿宋_GB2312" w:cs="仿宋_GB2312"/>
          <w:color w:val="auto"/>
          <w:kern w:val="2"/>
          <w:sz w:val="32"/>
          <w:szCs w:val="32"/>
          <w:highlight w:val="none"/>
          <w:lang w:val="zh-CN" w:eastAsia="zh-CN" w:bidi="ar-SA"/>
        </w:rPr>
        <w:t>—</w:t>
      </w:r>
      <w:r>
        <w:rPr>
          <w:rFonts w:hint="default" w:ascii="Times New Roman" w:hAnsi="Times New Roman" w:eastAsia="仿宋_GB2312" w:cs="仿宋_GB2312"/>
          <w:color w:val="auto"/>
          <w:kern w:val="2"/>
          <w:sz w:val="32"/>
          <w:szCs w:val="32"/>
          <w:highlight w:val="none"/>
          <w:lang w:val="zh-CN" w:eastAsia="zh-CN" w:bidi="ar-SA"/>
        </w:rPr>
        <w:t>1</w:t>
      </w:r>
      <w:r>
        <w:rPr>
          <w:rFonts w:hint="default" w:ascii="Times New Roman" w:hAnsi="Times New Roman" w:eastAsia="仿宋_GB2312" w:cs="仿宋_GB2312"/>
          <w:color w:val="auto"/>
          <w:kern w:val="2"/>
          <w:sz w:val="32"/>
          <w:szCs w:val="32"/>
          <w:highlight w:val="none"/>
          <w:lang w:val="en-US" w:eastAsia="zh-CN" w:bidi="ar-SA"/>
        </w:rPr>
        <w:t>2</w:t>
      </w:r>
      <w:r>
        <w:rPr>
          <w:rFonts w:hint="default" w:ascii="Times New Roman" w:hAnsi="Times New Roman" w:eastAsia="仿宋_GB2312" w:cs="仿宋_GB2312"/>
          <w:color w:val="auto"/>
          <w:kern w:val="2"/>
          <w:sz w:val="32"/>
          <w:szCs w:val="32"/>
          <w:highlight w:val="none"/>
          <w:lang w:val="zh-CN" w:eastAsia="zh-CN" w:bidi="ar-SA"/>
        </w:rPr>
        <w:t>月预算执行总体进度为</w:t>
      </w:r>
      <w:r>
        <w:rPr>
          <w:rFonts w:hint="eastAsia" w:eastAsia="仿宋_GB2312" w:cs="仿宋_GB2312"/>
          <w:color w:val="auto"/>
          <w:kern w:val="2"/>
          <w:sz w:val="32"/>
          <w:szCs w:val="32"/>
          <w:highlight w:val="none"/>
          <w:lang w:val="en-US" w:eastAsia="zh-CN" w:bidi="ar-SA"/>
        </w:rPr>
        <w:t>100</w:t>
      </w:r>
      <w:r>
        <w:rPr>
          <w:rFonts w:hint="default" w:ascii="Times New Roman" w:hAnsi="Times New Roman" w:eastAsia="仿宋_GB2312" w:cs="仿宋_GB2312"/>
          <w:color w:val="auto"/>
          <w:kern w:val="2"/>
          <w:sz w:val="32"/>
          <w:szCs w:val="32"/>
          <w:highlight w:val="none"/>
          <w:lang w:val="zh-CN" w:eastAsia="zh-CN" w:bidi="ar-SA"/>
        </w:rPr>
        <w:t>%，其中：预算结余率大于</w:t>
      </w:r>
      <w:r>
        <w:rPr>
          <w:rFonts w:hint="default" w:ascii="Times New Roman" w:hAnsi="Times New Roman" w:eastAsia="仿宋_GB2312" w:cs="仿宋_GB2312"/>
          <w:color w:val="auto"/>
          <w:kern w:val="2"/>
          <w:sz w:val="32"/>
          <w:szCs w:val="32"/>
          <w:highlight w:val="none"/>
          <w:lang w:val="en-US" w:eastAsia="zh-CN" w:bidi="ar-SA"/>
        </w:rPr>
        <w:t>10%</w:t>
      </w:r>
      <w:r>
        <w:rPr>
          <w:rFonts w:hint="default" w:ascii="Times New Roman" w:hAnsi="Times New Roman" w:eastAsia="仿宋_GB2312" w:cs="仿宋_GB2312"/>
          <w:color w:val="auto"/>
          <w:kern w:val="2"/>
          <w:sz w:val="32"/>
          <w:szCs w:val="32"/>
          <w:highlight w:val="none"/>
          <w:lang w:val="zh-CN" w:eastAsia="zh-CN" w:bidi="ar-SA"/>
        </w:rPr>
        <w:t>的项目共计</w:t>
      </w:r>
      <w:r>
        <w:rPr>
          <w:rFonts w:hint="eastAsia" w:eastAsia="仿宋_GB2312" w:cs="仿宋_GB2312"/>
          <w:color w:val="auto"/>
          <w:kern w:val="2"/>
          <w:sz w:val="32"/>
          <w:szCs w:val="32"/>
          <w:highlight w:val="none"/>
          <w:lang w:val="en-US" w:eastAsia="zh-CN" w:bidi="ar-SA"/>
        </w:rPr>
        <w:t>0</w:t>
      </w:r>
      <w:r>
        <w:rPr>
          <w:rFonts w:hint="default" w:ascii="Times New Roman" w:hAnsi="Times New Roman" w:eastAsia="仿宋_GB2312" w:cs="仿宋_GB2312"/>
          <w:color w:val="auto"/>
          <w:kern w:val="2"/>
          <w:sz w:val="32"/>
          <w:szCs w:val="32"/>
          <w:highlight w:val="none"/>
          <w:lang w:val="zh-CN" w:eastAsia="zh-CN" w:bidi="ar-SA"/>
        </w:rPr>
        <w:t>个。</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both"/>
        <w:textAlignment w:val="auto"/>
        <w:outlineLvl w:val="9"/>
        <w:rPr>
          <w:rFonts w:hint="default" w:ascii="Times New Roman" w:hAnsi="Times New Roman" w:eastAsia="仿宋_GB2312" w:cs="仿宋_GB2312"/>
          <w:color w:val="auto"/>
          <w:kern w:val="2"/>
          <w:sz w:val="32"/>
          <w:szCs w:val="32"/>
          <w:highlight w:val="none"/>
          <w:lang w:val="zh-CN" w:eastAsia="zh-CN" w:bidi="ar-SA"/>
        </w:rPr>
      </w:pPr>
      <w:r>
        <w:rPr>
          <w:rFonts w:hint="default" w:ascii="Times New Roman" w:hAnsi="Times New Roman" w:eastAsia="仿宋_GB2312" w:cs="仿宋_GB2312"/>
          <w:color w:val="auto"/>
          <w:kern w:val="2"/>
          <w:sz w:val="32"/>
          <w:szCs w:val="32"/>
          <w:highlight w:val="none"/>
          <w:lang w:val="en-US" w:eastAsia="zh-CN" w:bidi="ar-SA"/>
        </w:rPr>
        <w:t>阶段</w:t>
      </w:r>
      <w:r>
        <w:rPr>
          <w:rFonts w:hint="eastAsia" w:ascii="Times New Roman" w:hAnsi="Times New Roman" w:eastAsia="仿宋_GB2312" w:cs="仿宋_GB2312"/>
          <w:color w:val="auto"/>
          <w:kern w:val="2"/>
          <w:sz w:val="32"/>
          <w:szCs w:val="32"/>
          <w:highlight w:val="none"/>
          <w:lang w:val="en-US" w:eastAsia="zh-CN" w:bidi="ar-SA"/>
        </w:rPr>
        <w:t>（</w:t>
      </w:r>
      <w:r>
        <w:rPr>
          <w:rFonts w:hint="default" w:ascii="Times New Roman" w:hAnsi="Times New Roman" w:eastAsia="仿宋_GB2312" w:cs="仿宋_GB2312"/>
          <w:color w:val="auto"/>
          <w:kern w:val="2"/>
          <w:sz w:val="32"/>
          <w:szCs w:val="32"/>
          <w:highlight w:val="none"/>
          <w:lang w:val="en-US" w:eastAsia="zh-CN" w:bidi="ar-SA"/>
        </w:rPr>
        <w:t>一次性</w:t>
      </w:r>
      <w:r>
        <w:rPr>
          <w:rFonts w:hint="eastAsia" w:ascii="Times New Roman" w:hAnsi="Times New Roman" w:eastAsia="仿宋_GB2312" w:cs="仿宋_GB2312"/>
          <w:color w:val="auto"/>
          <w:kern w:val="2"/>
          <w:sz w:val="32"/>
          <w:szCs w:val="32"/>
          <w:highlight w:val="none"/>
          <w:lang w:val="en-US" w:eastAsia="zh-CN" w:bidi="ar-SA"/>
        </w:rPr>
        <w:t>）</w:t>
      </w:r>
      <w:r>
        <w:rPr>
          <w:rFonts w:hint="default" w:ascii="Times New Roman" w:hAnsi="Times New Roman" w:eastAsia="仿宋_GB2312" w:cs="仿宋_GB2312"/>
          <w:color w:val="auto"/>
          <w:kern w:val="2"/>
          <w:sz w:val="32"/>
          <w:szCs w:val="32"/>
          <w:highlight w:val="none"/>
          <w:lang w:val="en-US" w:eastAsia="zh-CN" w:bidi="ar-SA"/>
        </w:rPr>
        <w:t>项目绩效分析。</w:t>
      </w:r>
      <w:r>
        <w:rPr>
          <w:rFonts w:hint="default" w:ascii="Times New Roman" w:hAnsi="Times New Roman" w:eastAsia="仿宋_GB2312" w:cs="仿宋_GB2312"/>
          <w:color w:val="auto"/>
          <w:kern w:val="2"/>
          <w:sz w:val="32"/>
          <w:szCs w:val="32"/>
          <w:highlight w:val="none"/>
          <w:lang w:val="zh-CN" w:eastAsia="zh-CN" w:bidi="ar-SA"/>
        </w:rPr>
        <w:t>该类项目总数</w:t>
      </w:r>
      <w:r>
        <w:rPr>
          <w:rFonts w:hint="eastAsia" w:eastAsia="仿宋_GB2312" w:cs="仿宋_GB2312"/>
          <w:color w:val="auto"/>
          <w:kern w:val="2"/>
          <w:sz w:val="32"/>
          <w:szCs w:val="32"/>
          <w:highlight w:val="none"/>
          <w:lang w:val="en-US" w:eastAsia="zh-CN" w:bidi="ar-SA"/>
        </w:rPr>
        <w:t>0</w:t>
      </w:r>
      <w:r>
        <w:rPr>
          <w:rFonts w:hint="default" w:ascii="Times New Roman" w:hAnsi="Times New Roman" w:eastAsia="仿宋_GB2312" w:cs="仿宋_GB2312"/>
          <w:color w:val="auto"/>
          <w:kern w:val="2"/>
          <w:sz w:val="32"/>
          <w:szCs w:val="32"/>
          <w:highlight w:val="none"/>
          <w:lang w:val="zh-CN" w:eastAsia="zh-CN" w:bidi="ar-SA"/>
        </w:rPr>
        <w:t>个，涉及预算总金额</w:t>
      </w:r>
      <w:r>
        <w:rPr>
          <w:rFonts w:hint="eastAsia" w:eastAsia="仿宋_GB2312" w:cs="仿宋_GB2312"/>
          <w:color w:val="auto"/>
          <w:kern w:val="2"/>
          <w:sz w:val="32"/>
          <w:szCs w:val="32"/>
          <w:highlight w:val="none"/>
          <w:lang w:val="en-US" w:eastAsia="zh-CN" w:bidi="ar-SA"/>
        </w:rPr>
        <w:t>0</w:t>
      </w:r>
      <w:r>
        <w:rPr>
          <w:rFonts w:hint="default" w:ascii="Times New Roman" w:hAnsi="Times New Roman" w:eastAsia="仿宋_GB2312" w:cs="仿宋_GB2312"/>
          <w:color w:val="auto"/>
          <w:kern w:val="2"/>
          <w:sz w:val="32"/>
          <w:szCs w:val="32"/>
          <w:highlight w:val="none"/>
          <w:lang w:val="zh-CN" w:eastAsia="zh-CN" w:bidi="ar-SA"/>
        </w:rPr>
        <w:t>万元，1</w:t>
      </w:r>
      <w:r>
        <w:rPr>
          <w:rFonts w:hint="eastAsia" w:ascii="Times New Roman" w:hAnsi="Times New Roman" w:eastAsia="仿宋_GB2312" w:cs="仿宋_GB2312"/>
          <w:color w:val="auto"/>
          <w:kern w:val="2"/>
          <w:sz w:val="32"/>
          <w:szCs w:val="32"/>
          <w:highlight w:val="none"/>
          <w:lang w:val="zh-CN" w:eastAsia="zh-CN" w:bidi="ar-SA"/>
        </w:rPr>
        <w:t>—</w:t>
      </w:r>
      <w:r>
        <w:rPr>
          <w:rFonts w:hint="default" w:ascii="Times New Roman" w:hAnsi="Times New Roman" w:eastAsia="仿宋_GB2312" w:cs="仿宋_GB2312"/>
          <w:color w:val="auto"/>
          <w:kern w:val="2"/>
          <w:sz w:val="32"/>
          <w:szCs w:val="32"/>
          <w:highlight w:val="none"/>
          <w:lang w:val="zh-CN" w:eastAsia="zh-CN" w:bidi="ar-SA"/>
        </w:rPr>
        <w:t>1</w:t>
      </w:r>
      <w:r>
        <w:rPr>
          <w:rFonts w:hint="default" w:ascii="Times New Roman" w:hAnsi="Times New Roman" w:eastAsia="仿宋_GB2312" w:cs="仿宋_GB2312"/>
          <w:color w:val="auto"/>
          <w:kern w:val="2"/>
          <w:sz w:val="32"/>
          <w:szCs w:val="32"/>
          <w:highlight w:val="none"/>
          <w:lang w:val="en-US" w:eastAsia="zh-CN" w:bidi="ar-SA"/>
        </w:rPr>
        <w:t>2</w:t>
      </w:r>
      <w:r>
        <w:rPr>
          <w:rFonts w:hint="default" w:ascii="Times New Roman" w:hAnsi="Times New Roman" w:eastAsia="仿宋_GB2312" w:cs="仿宋_GB2312"/>
          <w:color w:val="auto"/>
          <w:kern w:val="2"/>
          <w:sz w:val="32"/>
          <w:szCs w:val="32"/>
          <w:highlight w:val="none"/>
          <w:lang w:val="zh-CN" w:eastAsia="zh-CN" w:bidi="ar-SA"/>
        </w:rPr>
        <w:t>月预算执行总体进度为</w:t>
      </w:r>
      <w:r>
        <w:rPr>
          <w:rFonts w:hint="eastAsia" w:eastAsia="仿宋_GB2312" w:cs="仿宋_GB2312"/>
          <w:color w:val="auto"/>
          <w:kern w:val="2"/>
          <w:sz w:val="32"/>
          <w:szCs w:val="32"/>
          <w:highlight w:val="none"/>
          <w:lang w:val="en-US" w:eastAsia="zh-CN" w:bidi="ar-SA"/>
        </w:rPr>
        <w:t>0</w:t>
      </w:r>
      <w:r>
        <w:rPr>
          <w:rFonts w:hint="default" w:ascii="Times New Roman" w:hAnsi="Times New Roman" w:eastAsia="仿宋_GB2312" w:cs="仿宋_GB2312"/>
          <w:color w:val="auto"/>
          <w:kern w:val="2"/>
          <w:sz w:val="32"/>
          <w:szCs w:val="32"/>
          <w:highlight w:val="none"/>
          <w:lang w:val="zh-CN" w:eastAsia="zh-CN" w:bidi="ar-SA"/>
        </w:rPr>
        <w:t>%，其中：预算结余率大于</w:t>
      </w:r>
      <w:r>
        <w:rPr>
          <w:rFonts w:hint="default" w:ascii="Times New Roman" w:hAnsi="Times New Roman" w:eastAsia="仿宋_GB2312" w:cs="仿宋_GB2312"/>
          <w:color w:val="auto"/>
          <w:kern w:val="2"/>
          <w:sz w:val="32"/>
          <w:szCs w:val="32"/>
          <w:highlight w:val="none"/>
          <w:lang w:val="en-US" w:eastAsia="zh-CN" w:bidi="ar-SA"/>
        </w:rPr>
        <w:t>10%</w:t>
      </w:r>
      <w:r>
        <w:rPr>
          <w:rFonts w:hint="default" w:ascii="Times New Roman" w:hAnsi="Times New Roman" w:eastAsia="仿宋_GB2312" w:cs="仿宋_GB2312"/>
          <w:color w:val="auto"/>
          <w:kern w:val="2"/>
          <w:sz w:val="32"/>
          <w:szCs w:val="32"/>
          <w:highlight w:val="none"/>
          <w:lang w:val="zh-CN" w:eastAsia="zh-CN" w:bidi="ar-SA"/>
        </w:rPr>
        <w:t>的项目共计</w:t>
      </w:r>
      <w:r>
        <w:rPr>
          <w:rFonts w:hint="eastAsia" w:eastAsia="仿宋_GB2312" w:cs="仿宋_GB2312"/>
          <w:color w:val="auto"/>
          <w:kern w:val="2"/>
          <w:sz w:val="32"/>
          <w:szCs w:val="32"/>
          <w:highlight w:val="none"/>
          <w:lang w:val="en-US" w:eastAsia="zh-CN" w:bidi="ar-SA"/>
        </w:rPr>
        <w:t>0</w:t>
      </w:r>
      <w:r>
        <w:rPr>
          <w:rFonts w:hint="default" w:ascii="Times New Roman" w:hAnsi="Times New Roman" w:eastAsia="仿宋_GB2312" w:cs="仿宋_GB2312"/>
          <w:color w:val="auto"/>
          <w:kern w:val="2"/>
          <w:sz w:val="32"/>
          <w:szCs w:val="32"/>
          <w:highlight w:val="none"/>
          <w:lang w:val="zh-CN" w:eastAsia="zh-CN" w:bidi="ar-SA"/>
        </w:rPr>
        <w:t>个。</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both"/>
        <w:textAlignment w:val="auto"/>
        <w:outlineLvl w:val="9"/>
        <w:rPr>
          <w:rFonts w:hint="eastAsia" w:ascii="Times New Roman" w:hAnsi="Times New Roman" w:eastAsia="仿宋_GB2312" w:cs="仿宋_GB2312"/>
          <w:color w:val="auto"/>
          <w:kern w:val="2"/>
          <w:sz w:val="32"/>
          <w:szCs w:val="32"/>
          <w:highlight w:val="none"/>
          <w:lang w:val="zh-CN" w:eastAsia="zh-CN" w:bidi="ar-SA"/>
        </w:rPr>
      </w:pPr>
      <w:r>
        <w:rPr>
          <w:rFonts w:hint="eastAsia" w:ascii="Times New Roman" w:hAnsi="Times New Roman" w:eastAsia="仿宋_GB2312" w:cs="仿宋_GB2312"/>
          <w:color w:val="auto"/>
          <w:kern w:val="2"/>
          <w:sz w:val="32"/>
          <w:szCs w:val="32"/>
          <w:highlight w:val="none"/>
          <w:lang w:val="en-US" w:eastAsia="zh-CN" w:bidi="ar-SA"/>
        </w:rPr>
        <w:t>1.</w:t>
      </w:r>
      <w:r>
        <w:rPr>
          <w:rFonts w:hint="eastAsia" w:ascii="Times New Roman" w:hAnsi="Times New Roman" w:eastAsia="仿宋_GB2312" w:cs="仿宋_GB2312"/>
          <w:color w:val="auto"/>
          <w:kern w:val="2"/>
          <w:sz w:val="32"/>
          <w:szCs w:val="32"/>
          <w:highlight w:val="none"/>
          <w:lang w:val="zh-CN" w:eastAsia="zh-CN" w:bidi="ar-SA"/>
        </w:rPr>
        <w:t>项目决策。围绕决策程序、目标设置、项目入库</w:t>
      </w:r>
      <w:r>
        <w:rPr>
          <w:rFonts w:hint="default" w:ascii="Times New Roman" w:hAnsi="Times New Roman" w:eastAsia="仿宋_GB2312" w:cs="仿宋_GB2312"/>
          <w:color w:val="auto"/>
          <w:kern w:val="2"/>
          <w:sz w:val="32"/>
          <w:szCs w:val="32"/>
          <w:highlight w:val="none"/>
          <w:lang w:val="zh-CN" w:eastAsia="zh-CN" w:bidi="ar-SA"/>
        </w:rPr>
        <w:t>进行</w:t>
      </w:r>
      <w:bookmarkStart w:id="68" w:name="_GoBack"/>
      <w:bookmarkEnd w:id="68"/>
      <w:r>
        <w:rPr>
          <w:rFonts w:hint="default" w:ascii="Times New Roman" w:hAnsi="Times New Roman" w:eastAsia="仿宋_GB2312" w:cs="仿宋_GB2312"/>
          <w:color w:val="auto"/>
          <w:kern w:val="2"/>
          <w:sz w:val="32"/>
          <w:szCs w:val="32"/>
          <w:highlight w:val="none"/>
          <w:lang w:val="zh-CN" w:eastAsia="zh-CN" w:bidi="ar-SA"/>
        </w:rPr>
        <w:t>绩效分析</w:t>
      </w:r>
      <w:r>
        <w:rPr>
          <w:rFonts w:hint="eastAsia" w:ascii="Times New Roman" w:hAnsi="Times New Roman" w:eastAsia="仿宋_GB2312" w:cs="仿宋_GB2312"/>
          <w:color w:val="auto"/>
          <w:kern w:val="2"/>
          <w:sz w:val="32"/>
          <w:szCs w:val="32"/>
          <w:highlight w:val="none"/>
          <w:lang w:val="zh-CN" w:eastAsia="zh-CN" w:bidi="ar-SA"/>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both"/>
        <w:textAlignment w:val="auto"/>
        <w:outlineLvl w:val="9"/>
        <w:rPr>
          <w:rFonts w:hint="eastAsia" w:ascii="Times New Roman" w:hAnsi="Times New Roman" w:eastAsia="仿宋_GB2312" w:cs="仿宋_GB2312"/>
          <w:color w:val="auto"/>
          <w:kern w:val="2"/>
          <w:sz w:val="32"/>
          <w:szCs w:val="32"/>
          <w:highlight w:val="none"/>
          <w:lang w:val="zh-CN" w:eastAsia="zh-CN" w:bidi="ar-SA"/>
        </w:rPr>
      </w:pPr>
      <w:r>
        <w:rPr>
          <w:rFonts w:hint="eastAsia" w:ascii="Times New Roman" w:hAnsi="Times New Roman" w:eastAsia="仿宋_GB2312" w:cs="仿宋_GB2312"/>
          <w:color w:val="auto"/>
          <w:kern w:val="2"/>
          <w:sz w:val="32"/>
          <w:szCs w:val="32"/>
          <w:highlight w:val="none"/>
          <w:lang w:val="en-US" w:eastAsia="zh-CN" w:bidi="ar-SA"/>
        </w:rPr>
        <w:t>2.项目执行</w:t>
      </w:r>
      <w:r>
        <w:rPr>
          <w:rFonts w:hint="eastAsia" w:ascii="Times New Roman" w:hAnsi="Times New Roman" w:eastAsia="仿宋_GB2312" w:cs="仿宋_GB2312"/>
          <w:color w:val="auto"/>
          <w:kern w:val="2"/>
          <w:sz w:val="32"/>
          <w:szCs w:val="32"/>
          <w:highlight w:val="none"/>
          <w:lang w:val="zh-CN" w:eastAsia="zh-CN" w:bidi="ar-SA"/>
        </w:rPr>
        <w:t>。围绕资金执行同向、项目调整、执行结果</w:t>
      </w:r>
      <w:r>
        <w:rPr>
          <w:rFonts w:hint="default" w:ascii="Times New Roman" w:hAnsi="Times New Roman" w:eastAsia="仿宋_GB2312" w:cs="仿宋_GB2312"/>
          <w:color w:val="auto"/>
          <w:kern w:val="2"/>
          <w:sz w:val="32"/>
          <w:szCs w:val="32"/>
          <w:highlight w:val="none"/>
          <w:lang w:val="zh-CN" w:eastAsia="zh-CN" w:bidi="ar-SA"/>
        </w:rPr>
        <w:t>进行绩效分析</w:t>
      </w:r>
      <w:r>
        <w:rPr>
          <w:rFonts w:hint="eastAsia" w:ascii="Times New Roman" w:hAnsi="Times New Roman" w:eastAsia="仿宋_GB2312" w:cs="仿宋_GB2312"/>
          <w:color w:val="auto"/>
          <w:kern w:val="2"/>
          <w:sz w:val="32"/>
          <w:szCs w:val="32"/>
          <w:highlight w:val="none"/>
          <w:lang w:val="zh-CN" w:eastAsia="zh-CN" w:bidi="ar-SA"/>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both"/>
        <w:textAlignment w:val="auto"/>
        <w:outlineLvl w:val="9"/>
        <w:rPr>
          <w:rFonts w:hint="eastAsia" w:ascii="Times New Roman" w:hAnsi="Times New Roman" w:eastAsia="仿宋_GB2312" w:cs="仿宋_GB2312"/>
          <w:color w:val="auto"/>
          <w:kern w:val="2"/>
          <w:sz w:val="32"/>
          <w:szCs w:val="32"/>
          <w:highlight w:val="none"/>
          <w:lang w:val="zh-CN" w:eastAsia="zh-CN" w:bidi="ar-SA"/>
        </w:rPr>
      </w:pPr>
      <w:r>
        <w:rPr>
          <w:rFonts w:hint="eastAsia" w:ascii="Times New Roman" w:hAnsi="Times New Roman" w:eastAsia="仿宋_GB2312" w:cs="仿宋_GB2312"/>
          <w:color w:val="auto"/>
          <w:kern w:val="2"/>
          <w:sz w:val="32"/>
          <w:szCs w:val="32"/>
          <w:highlight w:val="none"/>
          <w:lang w:val="en-US" w:eastAsia="zh-CN" w:bidi="ar-SA"/>
        </w:rPr>
        <w:t>3.</w:t>
      </w:r>
      <w:r>
        <w:rPr>
          <w:rFonts w:hint="eastAsia" w:ascii="Times New Roman" w:hAnsi="Times New Roman" w:eastAsia="仿宋_GB2312" w:cs="仿宋_GB2312"/>
          <w:color w:val="auto"/>
          <w:kern w:val="2"/>
          <w:sz w:val="32"/>
          <w:szCs w:val="32"/>
          <w:highlight w:val="none"/>
          <w:lang w:val="zh-CN" w:eastAsia="zh-CN" w:bidi="ar-SA"/>
        </w:rPr>
        <w:t>目标实现。围绕目标完成、目标偏离、实现效果</w:t>
      </w:r>
      <w:r>
        <w:rPr>
          <w:rFonts w:hint="default" w:ascii="Times New Roman" w:hAnsi="Times New Roman" w:eastAsia="仿宋_GB2312" w:cs="仿宋_GB2312"/>
          <w:color w:val="auto"/>
          <w:kern w:val="2"/>
          <w:sz w:val="32"/>
          <w:szCs w:val="32"/>
          <w:highlight w:val="none"/>
          <w:lang w:val="zh-CN" w:eastAsia="zh-CN" w:bidi="ar-SA"/>
        </w:rPr>
        <w:t>进行绩效分析</w:t>
      </w:r>
      <w:r>
        <w:rPr>
          <w:rFonts w:hint="eastAsia" w:ascii="Times New Roman" w:hAnsi="Times New Roman"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snapToGrid w:val="0"/>
        <w:spacing w:line="600" w:lineRule="exact"/>
        <w:ind w:firstLine="640" w:firstLineChars="200"/>
        <w:textAlignment w:val="auto"/>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省级部门对2024年度一般公共预算、政府性基金预算、国有资本经营预算安排的常年项目、阶段项目绩效目标完成情况，以及债券资金、政府购买服务有关情况进行梳理阐述</w:t>
      </w:r>
      <w:r>
        <w:rPr>
          <w:rFonts w:hint="eastAsia" w:ascii="Times New Roman" w:hAnsi="Times New Roman" w:eastAsia="仿宋_GB2312" w:cs="Times New Roman"/>
          <w:sz w:val="32"/>
          <w:szCs w:val="32"/>
          <w:highlight w:val="none"/>
          <w:lang w:val="en-US" w:eastAsia="zh-CN"/>
        </w:rPr>
        <w:t>。</w:t>
      </w:r>
    </w:p>
    <w:p>
      <w:pPr>
        <w:keepNext w:val="0"/>
        <w:keepLines w:val="0"/>
        <w:pageBreakBefore w:val="0"/>
        <w:widowControl w:val="0"/>
        <w:kinsoku/>
        <w:wordWrap/>
        <w:overflowPunct/>
        <w:topLinePunct w:val="0"/>
        <w:autoSpaceDE/>
        <w:autoSpaceDN/>
        <w:bidi w:val="0"/>
        <w:snapToGrid w:val="0"/>
        <w:spacing w:line="600" w:lineRule="exact"/>
        <w:ind w:firstLine="643" w:firstLineChars="200"/>
        <w:textAlignment w:val="auto"/>
        <w:rPr>
          <w:rFonts w:hint="default" w:ascii="Times New Roman" w:hAnsi="Times New Roman" w:eastAsia="仿宋_GB2312" w:cs="Times New Roman"/>
          <w:sz w:val="32"/>
          <w:szCs w:val="32"/>
          <w:highlight w:val="none"/>
          <w:u w:val="none"/>
          <w:lang w:bidi="ar"/>
        </w:rPr>
      </w:pPr>
      <w:r>
        <w:rPr>
          <w:rFonts w:hint="default" w:ascii="Times New Roman" w:hAnsi="Times New Roman" w:eastAsia="楷体_GB2312" w:cs="Times New Roman"/>
          <w:b/>
          <w:bCs/>
          <w:color w:val="000000"/>
          <w:kern w:val="0"/>
          <w:sz w:val="32"/>
          <w:szCs w:val="32"/>
          <w:highlight w:val="none"/>
          <w:shd w:val="clear" w:color="auto" w:fill="FFFFFF"/>
          <w:lang w:val="zh-CN" w:eastAsia="zh-CN"/>
        </w:rPr>
        <w:t>（</w:t>
      </w:r>
      <w:r>
        <w:rPr>
          <w:rFonts w:hint="eastAsia" w:eastAsia="楷体_GB2312" w:cs="Times New Roman"/>
          <w:b/>
          <w:bCs/>
          <w:color w:val="000000"/>
          <w:kern w:val="0"/>
          <w:sz w:val="32"/>
          <w:szCs w:val="32"/>
          <w:highlight w:val="none"/>
          <w:shd w:val="clear" w:color="auto" w:fill="FFFFFF"/>
          <w:lang w:val="en-US" w:eastAsia="zh-CN"/>
        </w:rPr>
        <w:t>三</w:t>
      </w:r>
      <w:r>
        <w:rPr>
          <w:rFonts w:hint="default" w:ascii="Times New Roman" w:hAnsi="Times New Roman" w:eastAsia="楷体_GB2312" w:cs="Times New Roman"/>
          <w:b/>
          <w:bCs/>
          <w:color w:val="000000"/>
          <w:kern w:val="0"/>
          <w:sz w:val="32"/>
          <w:szCs w:val="32"/>
          <w:highlight w:val="none"/>
          <w:shd w:val="clear" w:color="auto" w:fill="FFFFFF"/>
          <w:lang w:val="zh-CN" w:eastAsia="zh-CN"/>
        </w:rPr>
        <w:t>）绩效结果应用情况</w:t>
      </w:r>
      <w:r>
        <w:rPr>
          <w:rFonts w:hint="eastAsia" w:ascii="Times New Roman" w:hAnsi="Times New Roman" w:eastAsia="楷体_GB2312" w:cs="Times New Roman"/>
          <w:b/>
          <w:bCs/>
          <w:color w:val="000000"/>
          <w:kern w:val="0"/>
          <w:sz w:val="32"/>
          <w:szCs w:val="32"/>
          <w:highlight w:val="none"/>
          <w:shd w:val="clear" w:color="auto" w:fill="FFFFFF"/>
          <w:lang w:val="zh-CN" w:eastAsia="zh-CN"/>
        </w:rPr>
        <w:t>。</w:t>
      </w:r>
      <w:r>
        <w:rPr>
          <w:rFonts w:hint="eastAsia" w:ascii="Times New Roman" w:hAnsi="Times New Roman" w:eastAsia="仿宋_GB2312" w:cs="Times New Roman"/>
          <w:sz w:val="32"/>
          <w:szCs w:val="32"/>
          <w:highlight w:val="none"/>
          <w:u w:val="none"/>
          <w:lang w:val="zh-CN" w:eastAsia="zh-CN" w:bidi="ar"/>
        </w:rPr>
        <w:t>围绕内部应用情况、</w:t>
      </w:r>
      <w:r>
        <w:rPr>
          <w:rFonts w:hint="default" w:ascii="Times New Roman" w:hAnsi="Times New Roman" w:eastAsia="仿宋_GB2312" w:cs="Times New Roman"/>
          <w:sz w:val="32"/>
          <w:szCs w:val="32"/>
          <w:highlight w:val="none"/>
          <w:u w:val="none"/>
          <w:lang w:val="zh-CN" w:eastAsia="zh-CN" w:bidi="ar"/>
        </w:rPr>
        <w:t>信息公开情况</w:t>
      </w:r>
      <w:r>
        <w:rPr>
          <w:rFonts w:hint="eastAsia" w:ascii="Times New Roman" w:hAnsi="Times New Roman" w:eastAsia="仿宋_GB2312" w:cs="Times New Roman"/>
          <w:sz w:val="32"/>
          <w:szCs w:val="32"/>
          <w:highlight w:val="none"/>
          <w:u w:val="none"/>
          <w:lang w:val="zh-CN" w:eastAsia="zh-CN" w:bidi="ar"/>
        </w:rPr>
        <w:t>、</w:t>
      </w:r>
      <w:r>
        <w:rPr>
          <w:rFonts w:hint="default" w:ascii="Times New Roman" w:hAnsi="Times New Roman" w:eastAsia="仿宋_GB2312" w:cs="Times New Roman"/>
          <w:sz w:val="32"/>
          <w:szCs w:val="32"/>
          <w:highlight w:val="none"/>
          <w:u w:val="none"/>
          <w:lang w:val="zh-CN" w:eastAsia="zh-CN" w:bidi="ar"/>
        </w:rPr>
        <w:t>整改反馈情况</w:t>
      </w:r>
      <w:r>
        <w:rPr>
          <w:rFonts w:hint="eastAsia" w:ascii="Times New Roman" w:hAnsi="Times New Roman" w:eastAsia="仿宋_GB2312" w:cs="Times New Roman"/>
          <w:sz w:val="32"/>
          <w:szCs w:val="32"/>
          <w:highlight w:val="none"/>
          <w:u w:val="none"/>
          <w:lang w:val="zh-CN" w:eastAsia="zh-CN" w:bidi="ar"/>
        </w:rPr>
        <w:t>进行分析。</w:t>
      </w: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default" w:ascii="Times New Roman" w:hAnsi="Times New Roman" w:eastAsia="黑体" w:cs="Times New Roman"/>
          <w:color w:val="000000"/>
          <w:kern w:val="0"/>
          <w:sz w:val="32"/>
          <w:szCs w:val="32"/>
          <w:highlight w:val="none"/>
          <w:shd w:val="clear" w:color="auto" w:fill="FFFFFF"/>
          <w:lang w:val="zh-CN"/>
        </w:rPr>
      </w:pPr>
      <w:r>
        <w:rPr>
          <w:rFonts w:hint="default" w:ascii="Times New Roman" w:hAnsi="Times New Roman" w:eastAsia="黑体" w:cs="Times New Roman"/>
          <w:color w:val="000000"/>
          <w:kern w:val="0"/>
          <w:sz w:val="32"/>
          <w:szCs w:val="32"/>
          <w:highlight w:val="none"/>
          <w:shd w:val="clear" w:color="auto" w:fill="FFFFFF"/>
          <w:lang w:val="zh-CN" w:eastAsia="zh-CN"/>
        </w:rPr>
        <w:t>四、</w:t>
      </w:r>
      <w:r>
        <w:rPr>
          <w:rFonts w:hint="default" w:ascii="Times New Roman" w:hAnsi="Times New Roman" w:eastAsia="黑体" w:cs="Times New Roman"/>
          <w:color w:val="000000"/>
          <w:kern w:val="0"/>
          <w:sz w:val="32"/>
          <w:szCs w:val="32"/>
          <w:highlight w:val="none"/>
          <w:shd w:val="clear" w:color="auto" w:fill="FFFFFF"/>
          <w:lang w:val="zh-CN"/>
        </w:rPr>
        <w:t>评价结论及建议</w:t>
      </w:r>
    </w:p>
    <w:p>
      <w:pPr>
        <w:keepNext w:val="0"/>
        <w:keepLines w:val="0"/>
        <w:pageBreakBefore w:val="0"/>
        <w:widowControl/>
        <w:kinsoku/>
        <w:wordWrap/>
        <w:overflowPunct/>
        <w:topLinePunct w:val="0"/>
        <w:autoSpaceDE/>
        <w:autoSpaceDN/>
        <w:bidi w:val="0"/>
        <w:adjustRightInd w:val="0"/>
        <w:snapToGrid w:val="0"/>
        <w:spacing w:line="578" w:lineRule="exact"/>
        <w:ind w:firstLine="643" w:firstLineChars="200"/>
        <w:contextualSpacing/>
        <w:jc w:val="left"/>
        <w:textAlignment w:val="auto"/>
        <w:outlineLvl w:val="9"/>
        <w:rPr>
          <w:rFonts w:hint="default" w:ascii="Times New Roman" w:hAnsi="Times New Roman" w:eastAsia="仿宋_GB2312" w:cs="Times New Roman"/>
          <w:sz w:val="32"/>
          <w:szCs w:val="32"/>
          <w:u w:val="none"/>
          <w:lang w:val="en-US" w:eastAsia="zh-CN" w:bidi="ar"/>
        </w:rPr>
      </w:pPr>
      <w:r>
        <w:rPr>
          <w:rFonts w:hint="default" w:ascii="Times New Roman" w:hAnsi="Times New Roman" w:eastAsia="楷体_GB2312" w:cs="Times New Roman"/>
          <w:b/>
          <w:bCs/>
          <w:color w:val="000000"/>
          <w:kern w:val="0"/>
          <w:sz w:val="32"/>
          <w:szCs w:val="32"/>
          <w:highlight w:val="none"/>
          <w:shd w:val="clear" w:color="auto" w:fill="FFFFFF"/>
          <w:lang w:val="zh-CN"/>
        </w:rPr>
        <w:t>（一）评价结论。</w:t>
      </w:r>
      <w:r>
        <w:rPr>
          <w:rFonts w:hint="eastAsia" w:ascii="Times New Roman" w:hAnsi="Times New Roman" w:eastAsia="仿宋_GB2312" w:cs="Times New Roman"/>
          <w:sz w:val="32"/>
          <w:szCs w:val="32"/>
          <w:u w:val="none"/>
          <w:lang w:val="en-US" w:eastAsia="zh-CN" w:bidi="ar"/>
        </w:rPr>
        <w:t>简要阐述部门预算绩效自评总体结论，其中必须包含自评得分。</w:t>
      </w:r>
    </w:p>
    <w:p>
      <w:pPr>
        <w:keepNext w:val="0"/>
        <w:keepLines w:val="0"/>
        <w:pageBreakBefore w:val="0"/>
        <w:widowControl/>
        <w:kinsoku/>
        <w:wordWrap/>
        <w:overflowPunct/>
        <w:topLinePunct w:val="0"/>
        <w:autoSpaceDE/>
        <w:autoSpaceDN/>
        <w:bidi w:val="0"/>
        <w:adjustRightInd w:val="0"/>
        <w:snapToGrid w:val="0"/>
        <w:spacing w:line="578" w:lineRule="exact"/>
        <w:ind w:firstLine="643" w:firstLineChars="200"/>
        <w:contextualSpacing/>
        <w:jc w:val="left"/>
        <w:textAlignment w:val="auto"/>
        <w:outlineLvl w:val="9"/>
        <w:rPr>
          <w:rFonts w:hint="eastAsia" w:ascii="Times New Roman" w:hAnsi="Times New Roman" w:eastAsia="仿宋_GB2312" w:cs="Times New Roman"/>
          <w:sz w:val="32"/>
          <w:szCs w:val="32"/>
          <w:u w:val="none"/>
          <w:lang w:val="en-US" w:eastAsia="zh-CN" w:bidi="ar"/>
        </w:rPr>
      </w:pPr>
      <w:r>
        <w:rPr>
          <w:rFonts w:hint="default" w:ascii="Times New Roman" w:hAnsi="Times New Roman" w:eastAsia="楷体_GB2312" w:cs="Times New Roman"/>
          <w:b/>
          <w:bCs/>
          <w:color w:val="000000"/>
          <w:kern w:val="0"/>
          <w:sz w:val="32"/>
          <w:szCs w:val="32"/>
          <w:highlight w:val="none"/>
          <w:shd w:val="clear" w:color="auto" w:fill="FFFFFF"/>
          <w:lang w:val="zh-CN"/>
        </w:rPr>
        <w:t>（二）存在问题。</w:t>
      </w:r>
      <w:r>
        <w:rPr>
          <w:rFonts w:hint="eastAsia" w:ascii="Times New Roman" w:hAnsi="Times New Roman" w:eastAsia="仿宋_GB2312" w:cs="Times New Roman"/>
          <w:sz w:val="32"/>
          <w:szCs w:val="32"/>
          <w:u w:val="none"/>
          <w:lang w:val="en-US" w:eastAsia="zh-CN" w:bidi="ar"/>
        </w:rPr>
        <w:t>简要阐述部门预算绩效自评发现的主要问题。</w:t>
      </w:r>
    </w:p>
    <w:p>
      <w:pPr>
        <w:keepNext w:val="0"/>
        <w:keepLines w:val="0"/>
        <w:pageBreakBefore w:val="0"/>
        <w:widowControl/>
        <w:kinsoku/>
        <w:wordWrap/>
        <w:overflowPunct/>
        <w:topLinePunct w:val="0"/>
        <w:autoSpaceDE/>
        <w:autoSpaceDN/>
        <w:bidi w:val="0"/>
        <w:adjustRightInd w:val="0"/>
        <w:snapToGrid w:val="0"/>
        <w:spacing w:line="578" w:lineRule="exact"/>
        <w:ind w:firstLine="643" w:firstLineChars="200"/>
        <w:contextualSpacing/>
        <w:jc w:val="left"/>
        <w:textAlignment w:val="auto"/>
        <w:outlineLvl w:val="9"/>
        <w:rPr>
          <w:rFonts w:hint="eastAsia" w:ascii="Times New Roman" w:hAnsi="Times New Roman" w:eastAsia="仿宋_GB2312" w:cs="Times New Roman"/>
          <w:sz w:val="32"/>
          <w:szCs w:val="32"/>
          <w:u w:val="none"/>
          <w:lang w:val="en" w:eastAsia="zh-CN" w:bidi="ar"/>
        </w:rPr>
      </w:pPr>
      <w:r>
        <w:rPr>
          <w:rFonts w:hint="default" w:ascii="Times New Roman" w:hAnsi="Times New Roman" w:eastAsia="楷体_GB2312" w:cs="Times New Roman"/>
          <w:b/>
          <w:bCs/>
          <w:color w:val="000000"/>
          <w:kern w:val="0"/>
          <w:sz w:val="32"/>
          <w:szCs w:val="32"/>
          <w:highlight w:val="none"/>
          <w:shd w:val="clear" w:color="auto" w:fill="FFFFFF"/>
          <w:lang w:val="zh-CN" w:eastAsia="zh-CN"/>
        </w:rPr>
        <w:t>（三）改进建议。</w:t>
      </w:r>
      <w:r>
        <w:rPr>
          <w:rFonts w:hint="eastAsia" w:ascii="Times New Roman" w:hAnsi="Times New Roman" w:eastAsia="仿宋_GB2312" w:cs="Times New Roman"/>
          <w:sz w:val="32"/>
          <w:szCs w:val="32"/>
          <w:u w:val="none"/>
          <w:lang w:val="en-US" w:eastAsia="zh-CN" w:bidi="ar"/>
        </w:rPr>
        <w:t>简要阐述</w:t>
      </w:r>
      <w:bookmarkStart w:id="53" w:name="_Hlk110546638"/>
      <w:r>
        <w:rPr>
          <w:rFonts w:hint="eastAsia" w:ascii="Times New Roman" w:hAnsi="Times New Roman" w:eastAsia="仿宋_GB2312" w:cs="Times New Roman"/>
          <w:sz w:val="32"/>
          <w:szCs w:val="32"/>
          <w:u w:val="none"/>
          <w:lang w:val="en" w:eastAsia="zh-CN" w:bidi="ar"/>
        </w:rPr>
        <w:t>预算安排、完善政策、改进管理等方面的</w:t>
      </w:r>
      <w:r>
        <w:rPr>
          <w:rFonts w:hint="eastAsia" w:ascii="Times New Roman" w:hAnsi="Times New Roman" w:eastAsia="仿宋_GB2312" w:cs="Times New Roman"/>
          <w:sz w:val="32"/>
          <w:szCs w:val="32"/>
          <w:u w:val="none"/>
          <w:lang w:val="en-US" w:eastAsia="zh-CN" w:bidi="ar"/>
        </w:rPr>
        <w:t>措施</w:t>
      </w:r>
      <w:r>
        <w:rPr>
          <w:rFonts w:hint="eastAsia" w:ascii="Times New Roman" w:hAnsi="Times New Roman" w:eastAsia="仿宋_GB2312" w:cs="Times New Roman"/>
          <w:sz w:val="32"/>
          <w:szCs w:val="32"/>
          <w:u w:val="none"/>
          <w:lang w:val="en" w:eastAsia="zh-CN" w:bidi="ar"/>
        </w:rPr>
        <w:t>建议，其中</w:t>
      </w:r>
      <w:r>
        <w:rPr>
          <w:rFonts w:hint="eastAsia" w:ascii="Times New Roman" w:hAnsi="Times New Roman" w:eastAsia="仿宋_GB2312" w:cs="Times New Roman"/>
          <w:sz w:val="32"/>
          <w:szCs w:val="32"/>
          <w:u w:val="none"/>
          <w:lang w:val="en-US" w:eastAsia="zh-CN" w:bidi="ar"/>
        </w:rPr>
        <w:t>必须对应评价发现的主要问题一一提出措施建议。</w:t>
      </w:r>
    </w:p>
    <w:bookmarkEnd w:id="53"/>
    <w:p>
      <w:pPr>
        <w:pStyle w:val="7"/>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Times New Roman" w:hAnsi="Times New Roman" w:eastAsia="仿宋_GB2312" w:cs="Times New Roman"/>
          <w:kern w:val="2"/>
          <w:sz w:val="32"/>
          <w:szCs w:val="32"/>
          <w:u w:val="none"/>
          <w:lang w:val="zh-CN" w:eastAsia="zh-CN" w:bidi="ar"/>
        </w:rPr>
      </w:pPr>
    </w:p>
    <w:p>
      <w:pPr>
        <w:pStyle w:val="7"/>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Times New Roman" w:hAnsi="Times New Roman" w:eastAsia="仿宋_GB2312" w:cs="Times New Roman"/>
          <w:kern w:val="2"/>
          <w:sz w:val="32"/>
          <w:szCs w:val="32"/>
          <w:u w:val="none"/>
          <w:lang w:val="zh-CN" w:eastAsia="zh-CN" w:bidi="ar"/>
        </w:rPr>
      </w:pPr>
      <w:r>
        <w:rPr>
          <w:rFonts w:hint="eastAsia" w:ascii="Times New Roman" w:hAnsi="Times New Roman" w:eastAsia="仿宋_GB2312" w:cs="Times New Roman"/>
          <w:kern w:val="2"/>
          <w:sz w:val="32"/>
          <w:szCs w:val="32"/>
          <w:u w:val="none"/>
          <w:lang w:val="zh-CN" w:eastAsia="zh-CN" w:bidi="ar"/>
        </w:rPr>
        <w:t>附表：</w:t>
      </w:r>
      <w:r>
        <w:rPr>
          <w:rFonts w:hint="eastAsia" w:ascii="Times New Roman" w:hAnsi="Times New Roman" w:eastAsia="仿宋_GB2312" w:cs="Times New Roman"/>
          <w:kern w:val="2"/>
          <w:sz w:val="32"/>
          <w:szCs w:val="32"/>
          <w:u w:val="none"/>
          <w:lang w:val="en-US" w:eastAsia="zh-CN" w:bidi="ar"/>
        </w:rPr>
        <w:t>部门预算项目支出绩效自评表（2024年度）</w:t>
      </w:r>
    </w:p>
    <w:p>
      <w:pPr>
        <w:pStyle w:val="7"/>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Times New Roman" w:hAnsi="Times New Roman" w:eastAsia="仿宋_GB2312" w:cs="仿宋_GB2312"/>
          <w:b w:val="0"/>
          <w:bCs w:val="0"/>
          <w:kern w:val="0"/>
          <w:position w:val="0"/>
          <w:sz w:val="32"/>
          <w:szCs w:val="32"/>
          <w:highlight w:val="none"/>
          <w:lang w:val="zh-CN"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（注：按照绩效自评工作安排，各部门已在预算管理一体化系统绩效自评模块上传“部门预算项目支出绩效自评表（2024年度）”，该表格应作为附表予以公开）</w:t>
      </w:r>
    </w:p>
    <w:p>
      <w:pPr>
        <w:pStyle w:val="7"/>
        <w:keepNext w:val="0"/>
        <w:keepLines w:val="0"/>
        <w:pageBreakBefore w:val="0"/>
        <w:numPr>
          <w:ilvl w:val="0"/>
          <w:numId w:val="0"/>
        </w:numPr>
        <w:kinsoku/>
        <w:wordWrap/>
        <w:overflowPunct/>
        <w:topLinePunct w:val="0"/>
        <w:autoSpaceDE/>
        <w:autoSpaceDN/>
        <w:bidi w:val="0"/>
        <w:spacing w:line="560" w:lineRule="exact"/>
        <w:textAlignment w:val="auto"/>
        <w:rPr>
          <w:rFonts w:hint="eastAsia" w:ascii="Times New Roman" w:hAnsi="Times New Roman" w:cs="Times New Roman"/>
          <w:sz w:val="32"/>
          <w:szCs w:val="32"/>
          <w:highlight w:val="yellow"/>
          <w:lang w:val="zh-CN" w:eastAsia="zh-CN"/>
        </w:rPr>
      </w:pPr>
    </w:p>
    <w:p>
      <w:pPr>
        <w:pStyle w:val="2"/>
        <w:rPr>
          <w:rFonts w:hint="eastAsia" w:ascii="Times New Roman" w:hAnsi="Times New Roman" w:cs="宋体"/>
          <w:color w:val="FF0000"/>
          <w:kern w:val="0"/>
          <w:sz w:val="32"/>
          <w:szCs w:val="32"/>
          <w:highlight w:val="yellow"/>
          <w:shd w:val="clear" w:color="auto" w:fill="FFFFFF"/>
          <w:lang w:val="zh-CN"/>
        </w:rPr>
      </w:pPr>
    </w:p>
    <w:p>
      <w:pPr>
        <w:rPr>
          <w:rFonts w:hint="eastAsia" w:ascii="Times New Roman" w:hAnsi="Times New Roman" w:eastAsia="黑体" w:cs="黑体"/>
          <w:color w:val="auto"/>
          <w:kern w:val="0"/>
          <w:sz w:val="32"/>
          <w:szCs w:val="32"/>
          <w:highlight w:val="none"/>
          <w:shd w:val="clear" w:color="auto" w:fill="FFFFFF"/>
          <w:lang w:val="zh-CN"/>
        </w:rPr>
      </w:pPr>
      <w:r>
        <w:rPr>
          <w:rFonts w:hint="eastAsia" w:ascii="Times New Roman" w:hAnsi="Times New Roman" w:eastAsia="黑体" w:cs="黑体"/>
          <w:color w:val="auto"/>
          <w:kern w:val="0"/>
          <w:sz w:val="32"/>
          <w:szCs w:val="32"/>
          <w:highlight w:val="none"/>
          <w:shd w:val="clear" w:color="auto" w:fill="FFFFFF"/>
          <w:lang w:val="zh-CN"/>
        </w:rPr>
        <w:br w:type="page"/>
      </w:r>
    </w:p>
    <w:p>
      <w:pPr>
        <w:pStyle w:val="2"/>
        <w:rPr>
          <w:rFonts w:hint="eastAsia" w:ascii="Times New Roman" w:hAnsi="Times New Roman" w:eastAsia="黑体" w:cs="黑体"/>
          <w:color w:val="auto"/>
          <w:sz w:val="32"/>
          <w:szCs w:val="32"/>
          <w:highlight w:val="none"/>
          <w:lang w:val="en-US" w:eastAsia="zh-CN"/>
        </w:rPr>
      </w:pPr>
      <w:r>
        <w:rPr>
          <w:rFonts w:hint="eastAsia" w:ascii="Times New Roman" w:hAnsi="Times New Roman" w:eastAsia="黑体" w:cs="黑体"/>
          <w:color w:val="auto"/>
          <w:kern w:val="0"/>
          <w:sz w:val="32"/>
          <w:szCs w:val="32"/>
          <w:highlight w:val="none"/>
          <w:shd w:val="clear" w:color="auto" w:fill="FFFFFF"/>
          <w:lang w:val="zh-CN"/>
        </w:rPr>
        <w:t>附件</w:t>
      </w:r>
      <w:r>
        <w:rPr>
          <w:rFonts w:hint="eastAsia" w:ascii="Times New Roman" w:hAnsi="Times New Roman" w:eastAsia="黑体" w:cs="黑体"/>
          <w:color w:val="auto"/>
          <w:kern w:val="0"/>
          <w:sz w:val="32"/>
          <w:szCs w:val="32"/>
          <w:highlight w:val="none"/>
          <w:shd w:val="clear" w:color="auto" w:fill="FFFFFF"/>
          <w:lang w:val="en-US" w:eastAsia="zh-CN"/>
        </w:rPr>
        <w:t>2</w:t>
      </w:r>
    </w:p>
    <w:p>
      <w:pPr>
        <w:pStyle w:val="34"/>
        <w:keepNext w:val="0"/>
        <w:keepLines w:val="0"/>
        <w:pageBreakBefore w:val="0"/>
        <w:widowControl w:val="0"/>
        <w:kinsoku/>
        <w:wordWrap/>
        <w:overflowPunct/>
        <w:topLinePunct w:val="0"/>
        <w:autoSpaceDE/>
        <w:autoSpaceDN/>
        <w:bidi w:val="0"/>
        <w:spacing w:line="578" w:lineRule="exact"/>
        <w:ind w:left="0" w:leftChars="0"/>
        <w:jc w:val="center"/>
        <w:textAlignment w:val="auto"/>
        <w:rPr>
          <w:rFonts w:hint="eastAsia" w:ascii="Times New Roman" w:hAnsi="Times New Roman" w:eastAsia="方正小标宋简体" w:cs="方正小标宋简体"/>
          <w:color w:val="auto"/>
          <w:kern w:val="2"/>
          <w:sz w:val="44"/>
          <w:szCs w:val="44"/>
          <w:highlight w:val="none"/>
          <w:lang w:val="en-US" w:eastAsia="zh-CN"/>
        </w:rPr>
      </w:pPr>
    </w:p>
    <w:p>
      <w:pPr>
        <w:pStyle w:val="34"/>
        <w:keepNext w:val="0"/>
        <w:keepLines w:val="0"/>
        <w:pageBreakBefore w:val="0"/>
        <w:widowControl w:val="0"/>
        <w:kinsoku/>
        <w:wordWrap/>
        <w:overflowPunct/>
        <w:topLinePunct w:val="0"/>
        <w:autoSpaceDE/>
        <w:autoSpaceDN/>
        <w:bidi w:val="0"/>
        <w:spacing w:line="578" w:lineRule="exact"/>
        <w:ind w:left="0" w:leftChars="0"/>
        <w:jc w:val="center"/>
        <w:textAlignment w:val="auto"/>
        <w:rPr>
          <w:rFonts w:hint="eastAsia" w:ascii="Times New Roman" w:hAnsi="Times New Roman" w:eastAsia="方正小标宋简体" w:cs="方正小标宋简体"/>
          <w:color w:val="auto"/>
          <w:kern w:val="2"/>
          <w:sz w:val="44"/>
          <w:szCs w:val="44"/>
          <w:highlight w:val="none"/>
          <w:lang w:val="en-US" w:eastAsia="zh-CN"/>
        </w:rPr>
      </w:pPr>
      <w:r>
        <w:rPr>
          <w:rFonts w:hint="eastAsia" w:ascii="Times New Roman" w:hAnsi="Times New Roman" w:eastAsia="方正小标宋简体" w:cs="方正小标宋简体"/>
          <w:color w:val="auto"/>
          <w:kern w:val="2"/>
          <w:sz w:val="44"/>
          <w:szCs w:val="44"/>
          <w:highlight w:val="none"/>
          <w:lang w:val="en-US" w:eastAsia="zh-CN"/>
        </w:rPr>
        <w:t>专项预算项目绩效评价报告范本</w:t>
      </w:r>
    </w:p>
    <w:p>
      <w:pPr>
        <w:pStyle w:val="34"/>
        <w:keepNext w:val="0"/>
        <w:keepLines w:val="0"/>
        <w:pageBreakBefore w:val="0"/>
        <w:widowControl w:val="0"/>
        <w:kinsoku/>
        <w:wordWrap/>
        <w:overflowPunct/>
        <w:topLinePunct w:val="0"/>
        <w:autoSpaceDE/>
        <w:autoSpaceDN/>
        <w:bidi w:val="0"/>
        <w:spacing w:line="578" w:lineRule="exact"/>
        <w:ind w:left="0" w:leftChars="0" w:firstLine="640"/>
        <w:jc w:val="center"/>
        <w:textAlignment w:val="auto"/>
        <w:rPr>
          <w:rFonts w:ascii="Times New Roman" w:hAnsi="Times New Roman"/>
          <w:color w:val="auto"/>
          <w:kern w:val="2"/>
          <w:sz w:val="32"/>
          <w:szCs w:val="32"/>
          <w:highlight w:val="none"/>
        </w:rPr>
      </w:pP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rPr>
          <w:rFonts w:ascii="Times New Roman" w:hAnsi="Times New Roman" w:eastAsia="黑体"/>
          <w:sz w:val="32"/>
          <w:szCs w:val="32"/>
          <w:highlight w:val="none"/>
          <w:lang w:val="zh-CN"/>
        </w:rPr>
      </w:pPr>
      <w:r>
        <w:rPr>
          <w:rFonts w:hint="eastAsia" w:ascii="Times New Roman" w:hAnsi="Times New Roman" w:eastAsia="黑体"/>
          <w:sz w:val="32"/>
          <w:szCs w:val="32"/>
          <w:highlight w:val="none"/>
        </w:rPr>
        <w:t>一、</w:t>
      </w:r>
      <w:r>
        <w:rPr>
          <w:rFonts w:hint="eastAsia" w:ascii="Times New Roman" w:hAnsi="Times New Roman" w:eastAsia="黑体"/>
          <w:sz w:val="32"/>
          <w:szCs w:val="32"/>
          <w:highlight w:val="none"/>
          <w:lang w:val="zh-CN"/>
        </w:rPr>
        <w:t>项目概况</w:t>
      </w: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3" w:firstLineChars="200"/>
        <w:contextualSpacing/>
        <w:jc w:val="left"/>
        <w:textAlignment w:val="auto"/>
        <w:rPr>
          <w:rFonts w:hint="eastAsia" w:ascii="Times New Roman" w:hAnsi="Times New Roman" w:eastAsia="仿宋_GB2312" w:cs="仿宋_GB2312"/>
          <w:color w:val="auto"/>
          <w:kern w:val="0"/>
          <w:sz w:val="32"/>
          <w:szCs w:val="32"/>
          <w:highlight w:val="none"/>
          <w:u w:val="none"/>
          <w:shd w:val="clear" w:color="auto" w:fill="FFFFFF"/>
          <w:lang w:val="zh-CN"/>
        </w:rPr>
      </w:pPr>
      <w:r>
        <w:rPr>
          <w:rFonts w:hint="eastAsia" w:ascii="Times New Roman" w:hAnsi="Times New Roman" w:eastAsia="楷体_GB2312"/>
          <w:b/>
          <w:color w:val="auto"/>
          <w:sz w:val="32"/>
          <w:szCs w:val="32"/>
          <w:highlight w:val="none"/>
          <w:u w:val="none"/>
          <w:lang w:val="zh-CN"/>
        </w:rPr>
        <w:t>（一）设立背景及基本情况。</w:t>
      </w:r>
      <w:r>
        <w:rPr>
          <w:rFonts w:hint="eastAsia" w:ascii="Times New Roman" w:hAnsi="Times New Roman" w:eastAsia="仿宋_GB2312" w:cs="仿宋_GB2312"/>
          <w:b w:val="0"/>
          <w:bCs w:val="0"/>
          <w:kern w:val="0"/>
          <w:position w:val="0"/>
          <w:sz w:val="32"/>
          <w:szCs w:val="32"/>
          <w:highlight w:val="none"/>
          <w:lang w:val="en-US" w:eastAsia="zh-CN" w:bidi="ar-SA"/>
        </w:rPr>
        <w:t>项目设立原因及背景，</w:t>
      </w:r>
      <w:r>
        <w:rPr>
          <w:rFonts w:hint="eastAsia" w:ascii="Times New Roman" w:hAnsi="Times New Roman" w:eastAsia="仿宋_GB2312" w:cs="仿宋_GB2312"/>
          <w:b w:val="0"/>
          <w:bCs w:val="0"/>
          <w:kern w:val="0"/>
          <w:position w:val="0"/>
          <w:sz w:val="32"/>
          <w:szCs w:val="32"/>
          <w:highlight w:val="none"/>
          <w:lang w:val="zh-CN" w:eastAsia="zh-CN" w:bidi="ar-SA"/>
        </w:rPr>
        <w:t>项目立项、资金申报的依据，项目主要内容</w:t>
      </w:r>
      <w:r>
        <w:rPr>
          <w:rFonts w:hint="eastAsia" w:ascii="Times New Roman" w:hAnsi="Times New Roman" w:eastAsia="仿宋_GB2312" w:cs="仿宋_GB2312"/>
          <w:b w:val="0"/>
          <w:bCs w:val="0"/>
          <w:kern w:val="0"/>
          <w:position w:val="0"/>
          <w:sz w:val="32"/>
          <w:szCs w:val="32"/>
          <w:highlight w:val="none"/>
          <w:lang w:val="en-US" w:eastAsia="zh-CN" w:bidi="ar-SA"/>
        </w:rPr>
        <w:t>。</w:t>
      </w:r>
      <w:r>
        <w:rPr>
          <w:rFonts w:hint="eastAsia" w:ascii="Times New Roman" w:hAnsi="Times New Roman" w:eastAsia="仿宋_GB2312" w:cs="仿宋_GB2312"/>
          <w:b w:val="0"/>
          <w:bCs w:val="0"/>
          <w:kern w:val="0"/>
          <w:position w:val="0"/>
          <w:sz w:val="32"/>
          <w:szCs w:val="32"/>
          <w:highlight w:val="none"/>
          <w:lang w:val="zh-CN" w:eastAsia="zh-CN" w:bidi="ar-SA"/>
        </w:rPr>
        <w:t>主管部门职能</w:t>
      </w:r>
      <w:r>
        <w:rPr>
          <w:rFonts w:hint="eastAsia" w:ascii="Times New Roman" w:hAnsi="Times New Roman" w:eastAsia="仿宋_GB2312" w:cs="仿宋_GB2312"/>
          <w:color w:val="auto"/>
          <w:kern w:val="0"/>
          <w:sz w:val="32"/>
          <w:szCs w:val="32"/>
          <w:highlight w:val="none"/>
          <w:u w:val="none"/>
          <w:shd w:val="clear" w:color="auto" w:fill="FFFFFF"/>
          <w:lang w:val="zh-CN"/>
        </w:rPr>
        <w:t>。</w:t>
      </w:r>
    </w:p>
    <w:p>
      <w:pPr>
        <w:keepNext w:val="0"/>
        <w:keepLines w:val="0"/>
        <w:pageBreakBefore w:val="0"/>
        <w:kinsoku/>
        <w:wordWrap/>
        <w:overflowPunct/>
        <w:topLinePunct w:val="0"/>
        <w:autoSpaceDE/>
        <w:autoSpaceDN/>
        <w:bidi w:val="0"/>
        <w:adjustRightInd w:val="0"/>
        <w:snapToGrid w:val="0"/>
        <w:spacing w:line="578" w:lineRule="exact"/>
        <w:ind w:left="0" w:leftChars="0" w:firstLine="643" w:firstLineChars="200"/>
        <w:textAlignment w:val="auto"/>
        <w:rPr>
          <w:rFonts w:hint="eastAsia" w:ascii="Times New Roman" w:hAnsi="Times New Roman" w:eastAsia="仿宋_GB2312" w:cs="仿宋_GB2312"/>
          <w:b w:val="0"/>
          <w:bCs w:val="0"/>
          <w:kern w:val="0"/>
          <w:position w:val="0"/>
          <w:sz w:val="32"/>
          <w:szCs w:val="32"/>
          <w:highlight w:val="none"/>
          <w:lang w:val="zh-CN" w:eastAsia="zh-CN" w:bidi="ar-SA"/>
        </w:rPr>
      </w:pPr>
      <w:r>
        <w:rPr>
          <w:rFonts w:hint="eastAsia" w:ascii="Times New Roman" w:hAnsi="Times New Roman" w:eastAsia="楷体_GB2312"/>
          <w:b/>
          <w:color w:val="auto"/>
          <w:sz w:val="32"/>
          <w:szCs w:val="32"/>
          <w:highlight w:val="none"/>
          <w:u w:val="none"/>
          <w:lang w:val="zh-CN"/>
        </w:rPr>
        <w:t>（</w:t>
      </w:r>
      <w:r>
        <w:rPr>
          <w:rFonts w:hint="eastAsia" w:ascii="Times New Roman" w:hAnsi="Times New Roman" w:eastAsia="楷体_GB2312" w:cs="Times New Roman"/>
          <w:b/>
          <w:color w:val="auto"/>
          <w:sz w:val="32"/>
          <w:szCs w:val="32"/>
          <w:highlight w:val="none"/>
          <w:u w:val="none"/>
          <w:lang w:val="zh-CN"/>
        </w:rPr>
        <w:t>二）</w:t>
      </w:r>
      <w:r>
        <w:rPr>
          <w:rFonts w:hint="default" w:ascii="Times New Roman" w:hAnsi="Times New Roman" w:eastAsia="楷体_GB2312" w:cs="Times New Roman"/>
          <w:b/>
          <w:color w:val="auto"/>
          <w:sz w:val="32"/>
          <w:szCs w:val="32"/>
          <w:highlight w:val="none"/>
          <w:u w:val="none"/>
          <w:lang w:val="en-US" w:eastAsia="zh-CN"/>
        </w:rPr>
        <w:t>实施目的及支持方向</w:t>
      </w:r>
      <w:r>
        <w:rPr>
          <w:rFonts w:hint="eastAsia" w:ascii="Times New Roman" w:hAnsi="Times New Roman" w:eastAsia="楷体_GB2312" w:cs="Times New Roman"/>
          <w:b/>
          <w:color w:val="auto"/>
          <w:sz w:val="32"/>
          <w:szCs w:val="32"/>
          <w:highlight w:val="none"/>
          <w:u w:val="none"/>
          <w:lang w:val="en-US" w:eastAsia="zh-CN"/>
        </w:rPr>
        <w:t>。</w:t>
      </w:r>
      <w:r>
        <w:rPr>
          <w:rFonts w:hint="eastAsia" w:ascii="Times New Roman" w:hAnsi="Times New Roman" w:eastAsia="仿宋_GB2312" w:cs="仿宋_GB2312"/>
          <w:b w:val="0"/>
          <w:bCs w:val="0"/>
          <w:kern w:val="0"/>
          <w:position w:val="0"/>
          <w:sz w:val="32"/>
          <w:szCs w:val="32"/>
          <w:highlight w:val="none"/>
          <w:lang w:val="en-US" w:eastAsia="zh-CN" w:bidi="ar-SA"/>
        </w:rPr>
        <w:t>项目资金</w:t>
      </w:r>
      <w:r>
        <w:rPr>
          <w:rFonts w:hint="eastAsia" w:ascii="Times New Roman" w:hAnsi="Times New Roman" w:eastAsia="仿宋_GB2312" w:cs="仿宋_GB2312"/>
          <w:b w:val="0"/>
          <w:bCs w:val="0"/>
          <w:kern w:val="0"/>
          <w:position w:val="0"/>
          <w:sz w:val="32"/>
          <w:szCs w:val="32"/>
          <w:highlight w:val="none"/>
          <w:lang w:val="zh-CN" w:eastAsia="zh-CN" w:bidi="ar-SA"/>
        </w:rPr>
        <w:t>管理办法制定情况，项目实施目的和主要工作任务，项目支持方向。</w:t>
      </w: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3" w:firstLineChars="200"/>
        <w:contextualSpacing/>
        <w:jc w:val="left"/>
        <w:textAlignment w:val="auto"/>
        <w:rPr>
          <w:rFonts w:hint="eastAsia" w:ascii="Times New Roman" w:hAnsi="Times New Roman" w:eastAsia="仿宋_GB2312" w:cs="仿宋_GB2312"/>
          <w:b w:val="0"/>
          <w:bCs w:val="0"/>
          <w:kern w:val="0"/>
          <w:position w:val="0"/>
          <w:sz w:val="32"/>
          <w:szCs w:val="32"/>
          <w:highlight w:val="none"/>
          <w:lang w:val="zh-CN" w:eastAsia="zh-CN" w:bidi="ar-SA"/>
        </w:rPr>
      </w:pPr>
      <w:r>
        <w:rPr>
          <w:rFonts w:hint="eastAsia" w:ascii="Times New Roman" w:hAnsi="Times New Roman" w:eastAsia="楷体_GB2312" w:cs="Times New Roman"/>
          <w:b/>
          <w:color w:val="auto"/>
          <w:sz w:val="32"/>
          <w:szCs w:val="32"/>
          <w:highlight w:val="none"/>
          <w:u w:val="none"/>
          <w:lang w:val="zh-CN" w:eastAsia="zh-CN"/>
        </w:rPr>
        <w:t>（三）</w:t>
      </w:r>
      <w:r>
        <w:rPr>
          <w:rFonts w:hint="default" w:ascii="Times New Roman" w:hAnsi="Times New Roman" w:eastAsia="楷体_GB2312" w:cs="Times New Roman"/>
          <w:b/>
          <w:color w:val="auto"/>
          <w:sz w:val="32"/>
          <w:szCs w:val="32"/>
          <w:highlight w:val="none"/>
          <w:u w:val="none"/>
          <w:lang w:val="en-US" w:eastAsia="zh-CN"/>
        </w:rPr>
        <w:t>预算安排及分配管理</w:t>
      </w:r>
      <w:r>
        <w:rPr>
          <w:rFonts w:hint="eastAsia" w:ascii="Times New Roman" w:hAnsi="Times New Roman" w:eastAsia="楷体_GB2312" w:cs="Times New Roman"/>
          <w:b/>
          <w:color w:val="auto"/>
          <w:sz w:val="32"/>
          <w:szCs w:val="32"/>
          <w:highlight w:val="none"/>
          <w:u w:val="none"/>
          <w:lang w:val="zh-CN" w:eastAsia="zh-CN"/>
        </w:rPr>
        <w:t>。</w:t>
      </w:r>
      <w:r>
        <w:rPr>
          <w:rFonts w:hint="eastAsia" w:ascii="Times New Roman" w:hAnsi="Times New Roman" w:eastAsia="仿宋_GB2312" w:cs="仿宋_GB2312"/>
          <w:b w:val="0"/>
          <w:bCs w:val="0"/>
          <w:kern w:val="0"/>
          <w:position w:val="0"/>
          <w:sz w:val="32"/>
          <w:szCs w:val="32"/>
          <w:highlight w:val="none"/>
          <w:lang w:val="zh-CN" w:eastAsia="zh-CN" w:bidi="ar-SA"/>
        </w:rPr>
        <w:t>项目预算安排情况，项目资金分配原则及考虑因素，项目资金分配情况。</w:t>
      </w:r>
    </w:p>
    <w:p>
      <w:pPr>
        <w:keepNext w:val="0"/>
        <w:keepLines w:val="0"/>
        <w:pageBreakBefore w:val="0"/>
        <w:kinsoku/>
        <w:wordWrap/>
        <w:overflowPunct/>
        <w:topLinePunct w:val="0"/>
        <w:autoSpaceDE/>
        <w:autoSpaceDN/>
        <w:bidi w:val="0"/>
        <w:adjustRightInd w:val="0"/>
        <w:snapToGrid w:val="0"/>
        <w:spacing w:line="578" w:lineRule="exact"/>
        <w:ind w:left="0" w:leftChars="0" w:firstLine="643" w:firstLineChars="200"/>
        <w:textAlignment w:val="auto"/>
        <w:rPr>
          <w:rFonts w:hint="default" w:ascii="Times New Roman" w:hAnsi="Times New Roman" w:eastAsia="仿宋_GB2312" w:cs="仿宋_GB2312"/>
          <w:b w:val="0"/>
          <w:bCs w:val="0"/>
          <w:kern w:val="0"/>
          <w:position w:val="0"/>
          <w:sz w:val="32"/>
          <w:szCs w:val="32"/>
          <w:highlight w:val="none"/>
          <w:lang w:val="zh-CN" w:eastAsia="zh-CN" w:bidi="ar-SA"/>
        </w:rPr>
      </w:pPr>
      <w:r>
        <w:rPr>
          <w:rFonts w:hint="eastAsia" w:ascii="Times New Roman" w:hAnsi="Times New Roman" w:eastAsia="楷体_GB2312" w:cs="Times New Roman"/>
          <w:b/>
          <w:color w:val="auto"/>
          <w:sz w:val="32"/>
          <w:szCs w:val="32"/>
          <w:highlight w:val="none"/>
          <w:u w:val="none"/>
          <w:lang w:val="zh-CN" w:eastAsia="zh-CN"/>
        </w:rPr>
        <w:t>（四）项目绩效目标设置。</w:t>
      </w:r>
      <w:r>
        <w:rPr>
          <w:rFonts w:hint="eastAsia" w:ascii="Times New Roman" w:hAnsi="Times New Roman" w:eastAsia="仿宋_GB2312" w:cs="仿宋_GB2312"/>
          <w:b w:val="0"/>
          <w:bCs w:val="0"/>
          <w:kern w:val="0"/>
          <w:position w:val="0"/>
          <w:sz w:val="32"/>
          <w:szCs w:val="32"/>
          <w:highlight w:val="none"/>
          <w:lang w:val="zh-CN" w:eastAsia="zh-CN" w:bidi="ar-SA"/>
        </w:rPr>
        <w:t>项目整体、区域和具体绩效目标设置情况，项目自评工作开展情况。</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outlineLvl w:val="9"/>
        <w:rPr>
          <w:rFonts w:hint="eastAsia" w:ascii="Times New Roman" w:hAnsi="Times New Roman" w:eastAsia="黑体"/>
          <w:sz w:val="32"/>
          <w:szCs w:val="32"/>
          <w:highlight w:val="none"/>
          <w:lang w:eastAsia="zh-CN"/>
        </w:rPr>
      </w:pPr>
      <w:r>
        <w:rPr>
          <w:rFonts w:hint="eastAsia" w:ascii="Times New Roman" w:hAnsi="Times New Roman" w:eastAsia="黑体"/>
          <w:sz w:val="32"/>
          <w:szCs w:val="32"/>
          <w:highlight w:val="none"/>
        </w:rPr>
        <w:t>二、</w:t>
      </w:r>
      <w:r>
        <w:rPr>
          <w:rFonts w:hint="eastAsia" w:ascii="Times New Roman" w:hAnsi="Times New Roman" w:eastAsia="黑体"/>
          <w:sz w:val="32"/>
          <w:szCs w:val="32"/>
          <w:highlight w:val="none"/>
          <w:lang w:eastAsia="zh-CN"/>
        </w:rPr>
        <w:t>评价实施</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zh-CN" w:eastAsia="zh-CN" w:bidi="ar-SA"/>
        </w:rPr>
      </w:pPr>
      <w:r>
        <w:rPr>
          <w:rFonts w:hint="eastAsia" w:ascii="Times New Roman" w:hAnsi="Times New Roman" w:eastAsia="楷体_GB2312"/>
          <w:b/>
          <w:color w:val="auto"/>
          <w:sz w:val="32"/>
          <w:szCs w:val="32"/>
          <w:highlight w:val="none"/>
          <w:u w:val="none"/>
          <w:lang w:val="zh-CN"/>
        </w:rPr>
        <w:t>（一）评价目的。</w:t>
      </w:r>
      <w:r>
        <w:rPr>
          <w:rFonts w:hint="eastAsia" w:ascii="Times New Roman" w:hAnsi="Times New Roman" w:eastAsia="仿宋_GB2312" w:cs="仿宋_GB2312"/>
          <w:b w:val="0"/>
          <w:bCs w:val="0"/>
          <w:kern w:val="0"/>
          <w:position w:val="0"/>
          <w:sz w:val="32"/>
          <w:szCs w:val="32"/>
          <w:highlight w:val="none"/>
          <w:lang w:val="zh-CN" w:eastAsia="zh-CN" w:bidi="ar-SA"/>
        </w:rPr>
        <w:t>通过项目绩效自评要实现的目的。</w:t>
      </w:r>
    </w:p>
    <w:p>
      <w:pPr>
        <w:keepNext w:val="0"/>
        <w:keepLines w:val="0"/>
        <w:pageBreakBefore w:val="0"/>
        <w:widowControl w:val="0"/>
        <w:kinsoku/>
        <w:wordWrap/>
        <w:overflowPunct/>
        <w:topLinePunct w:val="0"/>
        <w:autoSpaceDE/>
        <w:autoSpaceDN/>
        <w:bidi w:val="0"/>
        <w:adjustRightInd w:val="0"/>
        <w:snapToGrid w:val="0"/>
        <w:spacing w:line="578" w:lineRule="exact"/>
        <w:ind w:left="0" w:leftChars="0" w:firstLine="643" w:firstLineChars="200"/>
        <w:textAlignment w:val="auto"/>
        <w:outlineLvl w:val="9"/>
        <w:rPr>
          <w:rFonts w:hint="eastAsia" w:ascii="Times New Roman" w:hAnsi="Times New Roman" w:eastAsia="仿宋_GB2312" w:cs="仿宋_GB2312"/>
          <w:b w:val="0"/>
          <w:bCs w:val="0"/>
          <w:kern w:val="0"/>
          <w:position w:val="0"/>
          <w:sz w:val="32"/>
          <w:szCs w:val="32"/>
          <w:highlight w:val="none"/>
          <w:lang w:val="zh-CN" w:eastAsia="zh-CN" w:bidi="ar-SA"/>
        </w:rPr>
      </w:pPr>
      <w:r>
        <w:rPr>
          <w:rFonts w:hint="eastAsia" w:ascii="Times New Roman" w:hAnsi="Times New Roman" w:eastAsia="楷体_GB2312"/>
          <w:b/>
          <w:color w:val="auto"/>
          <w:sz w:val="32"/>
          <w:szCs w:val="32"/>
          <w:highlight w:val="none"/>
          <w:u w:val="none"/>
          <w:lang w:val="zh-CN"/>
        </w:rPr>
        <w:t>（二）预设问题及评价重点。</w:t>
      </w:r>
      <w:r>
        <w:rPr>
          <w:rFonts w:hint="eastAsia" w:ascii="Times New Roman" w:hAnsi="Times New Roman" w:eastAsia="仿宋_GB2312" w:cs="仿宋_GB2312"/>
          <w:b w:val="0"/>
          <w:bCs w:val="0"/>
          <w:kern w:val="0"/>
          <w:position w:val="0"/>
          <w:sz w:val="32"/>
          <w:szCs w:val="32"/>
          <w:highlight w:val="none"/>
          <w:lang w:val="zh-CN" w:eastAsia="zh-CN" w:bidi="ar-SA"/>
        </w:rPr>
        <w:t>按照绩效评价指标体系，对资金支出使用全过程及其实施效果进行综合评价和判断。</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楷体_GB2312"/>
          <w:b/>
          <w:color w:val="auto"/>
          <w:sz w:val="32"/>
          <w:szCs w:val="32"/>
          <w:highlight w:val="none"/>
          <w:u w:val="none"/>
          <w:lang w:val="zh-CN"/>
        </w:rPr>
      </w:pPr>
      <w:r>
        <w:rPr>
          <w:rFonts w:hint="eastAsia" w:ascii="Times New Roman" w:hAnsi="Times New Roman" w:eastAsia="楷体_GB2312"/>
          <w:b/>
          <w:color w:val="auto"/>
          <w:sz w:val="32"/>
          <w:szCs w:val="32"/>
          <w:highlight w:val="none"/>
          <w:u w:val="none"/>
          <w:lang w:val="zh-CN"/>
        </w:rPr>
        <w:t>（三）评价选点。</w:t>
      </w:r>
      <w:r>
        <w:rPr>
          <w:rFonts w:hint="eastAsia" w:ascii="Times New Roman" w:hAnsi="Times New Roman" w:eastAsia="仿宋_GB2312" w:cs="仿宋_GB2312"/>
          <w:b w:val="0"/>
          <w:color w:val="auto"/>
          <w:kern w:val="0"/>
          <w:sz w:val="32"/>
          <w:szCs w:val="32"/>
          <w:highlight w:val="none"/>
          <w:u w:val="none"/>
          <w:lang w:val="zh-CN"/>
        </w:rPr>
        <w:t>项目绩效自评所抽样点位情况。每个专项预算项目应选取专项资金分配涉及市县总数的20%、总计不超过20个的市县点位进行实地踏勘，且点位清单应作为自评附表。</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zh-CN" w:eastAsia="zh-CN" w:bidi="ar-SA"/>
        </w:rPr>
      </w:pPr>
      <w:r>
        <w:rPr>
          <w:rFonts w:hint="eastAsia" w:ascii="Times New Roman" w:hAnsi="Times New Roman" w:eastAsia="楷体_GB2312"/>
          <w:b/>
          <w:color w:val="auto"/>
          <w:sz w:val="32"/>
          <w:szCs w:val="32"/>
          <w:highlight w:val="none"/>
          <w:u w:val="none"/>
          <w:lang w:val="zh-CN"/>
        </w:rPr>
        <w:t>（四）评价方法。</w:t>
      </w:r>
      <w:r>
        <w:rPr>
          <w:rFonts w:hint="eastAsia" w:ascii="Times New Roman" w:hAnsi="Times New Roman" w:eastAsia="仿宋_GB2312" w:cs="仿宋_GB2312"/>
          <w:b w:val="0"/>
          <w:bCs w:val="0"/>
          <w:kern w:val="0"/>
          <w:position w:val="0"/>
          <w:sz w:val="32"/>
          <w:szCs w:val="32"/>
          <w:highlight w:val="none"/>
          <w:lang w:val="zh-CN" w:eastAsia="zh-CN" w:bidi="ar-SA"/>
        </w:rPr>
        <w:t>根据项目情况和评价重点，用来收集相关材料和开展具体评价的方法。包括：采用成本效益分析法、标杆管理法、案卷研究法、单位自评法、实地勘察法、问卷调查法、座谈调研法等多种方法。</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Times New Roman"/>
          <w:bCs/>
          <w:lang w:eastAsia="zh-CN"/>
        </w:rPr>
      </w:pPr>
      <w:r>
        <w:rPr>
          <w:rFonts w:hint="eastAsia" w:ascii="Times New Roman" w:hAnsi="Times New Roman" w:eastAsia="楷体_GB2312"/>
          <w:b/>
          <w:color w:val="auto"/>
          <w:sz w:val="32"/>
          <w:szCs w:val="32"/>
          <w:highlight w:val="none"/>
          <w:u w:val="none"/>
          <w:lang w:val="zh-CN"/>
        </w:rPr>
        <w:t>（五）评价组织。</w:t>
      </w:r>
      <w:r>
        <w:rPr>
          <w:rFonts w:hint="eastAsia" w:ascii="Times New Roman" w:hAnsi="Times New Roman" w:eastAsia="仿宋_GB2312" w:cs="仿宋_GB2312"/>
          <w:b w:val="0"/>
          <w:bCs w:val="0"/>
          <w:kern w:val="0"/>
          <w:position w:val="0"/>
          <w:sz w:val="32"/>
          <w:szCs w:val="32"/>
          <w:highlight w:val="none"/>
          <w:lang w:val="zh-CN" w:eastAsia="zh-CN" w:bidi="ar-SA"/>
        </w:rPr>
        <w:t>评价组人员构成和职责分工。</w:t>
      </w:r>
    </w:p>
    <w:p>
      <w:pPr>
        <w:keepNext w:val="0"/>
        <w:keepLines w:val="0"/>
        <w:pageBreakBefore w:val="0"/>
        <w:kinsoku/>
        <w:wordWrap/>
        <w:overflowPunct/>
        <w:topLinePunct w:val="0"/>
        <w:autoSpaceDE/>
        <w:autoSpaceDN/>
        <w:bidi w:val="0"/>
        <w:adjustRightInd w:val="0"/>
        <w:snapToGrid w:val="0"/>
        <w:spacing w:line="578" w:lineRule="exact"/>
        <w:ind w:firstLine="640" w:firstLineChars="200"/>
        <w:textAlignment w:val="auto"/>
        <w:rPr>
          <w:rFonts w:ascii="Times New Roman" w:hAnsi="Times New Roman"/>
          <w:color w:val="auto"/>
          <w:sz w:val="32"/>
          <w:szCs w:val="32"/>
          <w:highlight w:val="none"/>
          <w:u w:val="none"/>
          <w:lang w:val="zh-CN"/>
        </w:rPr>
      </w:pPr>
      <w:r>
        <w:rPr>
          <w:rFonts w:hint="eastAsia" w:ascii="Times New Roman" w:hAnsi="Times New Roman" w:eastAsia="黑体"/>
          <w:color w:val="auto"/>
          <w:sz w:val="32"/>
          <w:szCs w:val="32"/>
          <w:highlight w:val="none"/>
          <w:u w:val="none"/>
        </w:rPr>
        <w:t>三、</w:t>
      </w:r>
      <w:r>
        <w:rPr>
          <w:rFonts w:hint="eastAsia" w:ascii="Times New Roman" w:hAnsi="Times New Roman" w:eastAsia="黑体"/>
          <w:color w:val="auto"/>
          <w:sz w:val="32"/>
          <w:szCs w:val="32"/>
          <w:highlight w:val="none"/>
          <w:u w:val="none"/>
          <w:lang w:eastAsia="zh-CN"/>
        </w:rPr>
        <w:t>绩效分析</w:t>
      </w:r>
      <w:r>
        <w:rPr>
          <w:rFonts w:hint="eastAsia" w:ascii="Times New Roman" w:hAnsi="Times New Roman"/>
          <w:color w:val="auto"/>
          <w:sz w:val="32"/>
          <w:szCs w:val="32"/>
          <w:highlight w:val="none"/>
          <w:u w:val="none"/>
          <w:lang w:val="zh-CN"/>
        </w:rPr>
        <w:tab/>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default" w:ascii="Times New Roman" w:hAnsi="Times New Roman" w:eastAsia="仿宋_GB2312" w:cs="仿宋_GB2312"/>
          <w:b w:val="0"/>
          <w:bCs w:val="0"/>
          <w:kern w:val="0"/>
          <w:position w:val="0"/>
          <w:sz w:val="32"/>
          <w:szCs w:val="32"/>
          <w:highlight w:val="none"/>
          <w:lang w:val="zh-CN" w:eastAsia="zh-CN" w:bidi="ar-SA"/>
        </w:rPr>
        <w:t>根据</w:t>
      </w:r>
      <w:r>
        <w:rPr>
          <w:rFonts w:hint="eastAsia" w:ascii="Times New Roman" w:hAnsi="Times New Roman" w:eastAsia="仿宋_GB2312" w:cs="仿宋_GB2312"/>
          <w:b w:val="0"/>
          <w:bCs w:val="0"/>
          <w:kern w:val="0"/>
          <w:position w:val="0"/>
          <w:sz w:val="32"/>
          <w:szCs w:val="32"/>
          <w:highlight w:val="none"/>
          <w:lang w:val="zh-CN" w:eastAsia="zh-CN" w:bidi="ar-SA"/>
        </w:rPr>
        <w:t>项目</w:t>
      </w:r>
      <w:r>
        <w:rPr>
          <w:rFonts w:hint="default" w:ascii="Times New Roman" w:hAnsi="Times New Roman" w:eastAsia="仿宋_GB2312" w:cs="仿宋_GB2312"/>
          <w:b w:val="0"/>
          <w:bCs w:val="0"/>
          <w:kern w:val="0"/>
          <w:position w:val="0"/>
          <w:sz w:val="32"/>
          <w:szCs w:val="32"/>
          <w:highlight w:val="none"/>
          <w:lang w:val="zh-CN" w:eastAsia="zh-CN" w:bidi="ar-SA"/>
        </w:rPr>
        <w:t>预算绩效评价指标体系</w:t>
      </w:r>
      <w:r>
        <w:rPr>
          <w:rFonts w:hint="eastAsia" w:ascii="Times New Roman" w:hAnsi="Times New Roman" w:eastAsia="仿宋_GB2312" w:cs="仿宋_GB2312"/>
          <w:b w:val="0"/>
          <w:bCs w:val="0"/>
          <w:kern w:val="0"/>
          <w:position w:val="0"/>
          <w:sz w:val="32"/>
          <w:szCs w:val="32"/>
          <w:highlight w:val="none"/>
          <w:lang w:val="zh-CN" w:eastAsia="zh-CN" w:bidi="ar-SA"/>
        </w:rPr>
        <w:t>通用指标、专用指标、个性指标</w:t>
      </w:r>
      <w:r>
        <w:rPr>
          <w:rFonts w:hint="default" w:ascii="Times New Roman" w:hAnsi="Times New Roman" w:eastAsia="仿宋_GB2312" w:cs="仿宋_GB2312"/>
          <w:b w:val="0"/>
          <w:bCs w:val="0"/>
          <w:kern w:val="0"/>
          <w:position w:val="0"/>
          <w:sz w:val="32"/>
          <w:szCs w:val="32"/>
          <w:highlight w:val="none"/>
          <w:lang w:val="zh-CN" w:eastAsia="zh-CN" w:bidi="ar-SA"/>
        </w:rPr>
        <w:t>涉及</w:t>
      </w:r>
      <w:r>
        <w:rPr>
          <w:rFonts w:hint="eastAsia" w:ascii="Times New Roman" w:hAnsi="Times New Roman" w:eastAsia="仿宋_GB2312" w:cs="仿宋_GB2312"/>
          <w:b w:val="0"/>
          <w:bCs w:val="0"/>
          <w:kern w:val="0"/>
          <w:position w:val="0"/>
          <w:sz w:val="32"/>
          <w:szCs w:val="32"/>
          <w:highlight w:val="none"/>
          <w:lang w:val="zh-CN" w:eastAsia="zh-CN" w:bidi="ar-SA"/>
        </w:rPr>
        <w:t>二、三级</w:t>
      </w:r>
      <w:r>
        <w:rPr>
          <w:rFonts w:hint="default" w:ascii="Times New Roman" w:hAnsi="Times New Roman" w:eastAsia="仿宋_GB2312" w:cs="仿宋_GB2312"/>
          <w:b w:val="0"/>
          <w:bCs w:val="0"/>
          <w:kern w:val="0"/>
          <w:position w:val="0"/>
          <w:sz w:val="32"/>
          <w:szCs w:val="32"/>
          <w:highlight w:val="none"/>
          <w:lang w:val="zh-CN" w:eastAsia="zh-CN" w:bidi="ar-SA"/>
        </w:rPr>
        <w:t>指标进行</w:t>
      </w:r>
      <w:r>
        <w:rPr>
          <w:rFonts w:hint="eastAsia" w:ascii="Times New Roman" w:hAnsi="Times New Roman" w:eastAsia="仿宋_GB2312" w:cs="仿宋_GB2312"/>
          <w:b w:val="0"/>
          <w:bCs w:val="0"/>
          <w:kern w:val="0"/>
          <w:position w:val="0"/>
          <w:sz w:val="32"/>
          <w:szCs w:val="32"/>
          <w:highlight w:val="none"/>
          <w:lang w:val="zh-CN" w:eastAsia="zh-CN" w:bidi="ar-SA"/>
        </w:rPr>
        <w:t>逐项</w:t>
      </w:r>
      <w:r>
        <w:rPr>
          <w:rFonts w:hint="default" w:ascii="Times New Roman" w:hAnsi="Times New Roman" w:eastAsia="仿宋_GB2312" w:cs="仿宋_GB2312"/>
          <w:b w:val="0"/>
          <w:bCs w:val="0"/>
          <w:kern w:val="0"/>
          <w:position w:val="0"/>
          <w:sz w:val="32"/>
          <w:szCs w:val="32"/>
          <w:highlight w:val="none"/>
          <w:lang w:val="zh-CN" w:eastAsia="zh-CN" w:bidi="ar-SA"/>
        </w:rPr>
        <w:t>绩效分析</w:t>
      </w:r>
      <w:r>
        <w:rPr>
          <w:rFonts w:hint="eastAsia" w:ascii="Times New Roman" w:hAnsi="Times New Roman" w:eastAsia="仿宋_GB2312" w:cs="仿宋_GB2312"/>
          <w:b w:val="0"/>
          <w:bCs w:val="0"/>
          <w:kern w:val="0"/>
          <w:position w:val="0"/>
          <w:sz w:val="32"/>
          <w:szCs w:val="32"/>
          <w:highlight w:val="none"/>
          <w:lang w:val="zh-CN" w:eastAsia="zh-CN" w:bidi="ar-SA"/>
        </w:rPr>
        <w:t>并评分</w:t>
      </w:r>
      <w:r>
        <w:rPr>
          <w:rFonts w:hint="eastAsia" w:ascii="Times New Roman" w:hAnsi="Times New Roman" w:eastAsia="仿宋_GB2312" w:cs="仿宋_GB2312"/>
          <w:b w:val="0"/>
          <w:bCs w:val="0"/>
          <w:kern w:val="0"/>
          <w:position w:val="0"/>
          <w:sz w:val="32"/>
          <w:szCs w:val="32"/>
          <w:highlight w:val="none"/>
          <w:lang w:val="en-US" w:eastAsia="zh-CN" w:bidi="ar-SA"/>
        </w:rPr>
        <w:t>。</w:t>
      </w:r>
    </w:p>
    <w:p>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eastAsia" w:ascii="Times New Roman" w:hAnsi="Times New Roman" w:eastAsia="楷体_GB2312" w:cs="Times New Roman"/>
          <w:b/>
          <w:color w:val="auto"/>
          <w:sz w:val="32"/>
          <w:szCs w:val="32"/>
          <w:highlight w:val="none"/>
          <w:u w:val="none"/>
          <w:lang w:val="en-US" w:eastAsia="zh-CN"/>
        </w:rPr>
      </w:pPr>
      <w:r>
        <w:rPr>
          <w:rFonts w:hint="eastAsia" w:ascii="Times New Roman" w:hAnsi="Times New Roman" w:eastAsia="楷体_GB2312" w:cs="Times New Roman"/>
          <w:b/>
          <w:color w:val="auto"/>
          <w:sz w:val="32"/>
          <w:szCs w:val="32"/>
          <w:highlight w:val="none"/>
          <w:u w:val="none"/>
          <w:lang w:val="zh-CN"/>
        </w:rPr>
        <w:t>（一）</w:t>
      </w:r>
      <w:r>
        <w:rPr>
          <w:rFonts w:hint="eastAsia" w:ascii="Times New Roman" w:hAnsi="Times New Roman" w:eastAsia="楷体_GB2312" w:cs="Times New Roman"/>
          <w:b/>
          <w:color w:val="auto"/>
          <w:sz w:val="32"/>
          <w:szCs w:val="32"/>
          <w:highlight w:val="none"/>
          <w:u w:val="none"/>
          <w:lang w:val="en-US" w:eastAsia="zh-CN"/>
        </w:rPr>
        <w:t>通用指标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zh-CN"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1.</w:t>
      </w:r>
      <w:r>
        <w:rPr>
          <w:rFonts w:hint="eastAsia" w:ascii="Times New Roman" w:hAnsi="Times New Roman" w:eastAsia="仿宋_GB2312" w:cs="仿宋_GB2312"/>
          <w:b w:val="0"/>
          <w:bCs w:val="0"/>
          <w:kern w:val="0"/>
          <w:position w:val="0"/>
          <w:sz w:val="32"/>
          <w:szCs w:val="32"/>
          <w:highlight w:val="none"/>
          <w:lang w:val="zh-CN" w:eastAsia="zh-CN" w:bidi="ar-SA"/>
        </w:rPr>
        <w:t>项目决策。围绕决策程序、规划论证、资金投向进行绩效分析。</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zh-CN"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2.</w:t>
      </w:r>
      <w:r>
        <w:rPr>
          <w:rFonts w:hint="eastAsia" w:ascii="Times New Roman" w:hAnsi="Times New Roman" w:eastAsia="仿宋_GB2312" w:cs="仿宋_GB2312"/>
          <w:b w:val="0"/>
          <w:bCs w:val="0"/>
          <w:kern w:val="0"/>
          <w:position w:val="0"/>
          <w:sz w:val="32"/>
          <w:szCs w:val="32"/>
          <w:highlight w:val="none"/>
          <w:lang w:val="zh-CN" w:eastAsia="zh-CN" w:bidi="ar-SA"/>
        </w:rPr>
        <w:t>项目管理。围绕制度办法、分配管理、绩效监管进行绩效分析。</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zh-CN"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3.项目实施。</w:t>
      </w:r>
      <w:r>
        <w:rPr>
          <w:rFonts w:hint="eastAsia" w:ascii="Times New Roman" w:hAnsi="Times New Roman" w:eastAsia="仿宋_GB2312" w:cs="仿宋_GB2312"/>
          <w:b w:val="0"/>
          <w:bCs w:val="0"/>
          <w:kern w:val="0"/>
          <w:position w:val="0"/>
          <w:sz w:val="32"/>
          <w:szCs w:val="32"/>
          <w:highlight w:val="none"/>
          <w:lang w:val="zh-CN" w:eastAsia="zh-CN" w:bidi="ar-SA"/>
        </w:rPr>
        <w:t>围绕预算执行、资金使用进行绩效分析。</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zh-CN"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4.项目结果。围绕</w:t>
      </w:r>
      <w:r>
        <w:rPr>
          <w:rFonts w:hint="eastAsia" w:ascii="Times New Roman" w:hAnsi="Times New Roman" w:eastAsia="仿宋_GB2312" w:cs="仿宋_GB2312"/>
          <w:b w:val="0"/>
          <w:bCs w:val="0"/>
          <w:kern w:val="0"/>
          <w:position w:val="0"/>
          <w:sz w:val="32"/>
          <w:szCs w:val="32"/>
          <w:highlight w:val="none"/>
          <w:lang w:val="zh-CN" w:eastAsia="zh-CN" w:bidi="ar-SA"/>
        </w:rPr>
        <w:t>目标完成、完成时效进行绩效分析。</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zh-CN" w:eastAsia="zh-CN" w:bidi="ar-SA"/>
        </w:rPr>
      </w:pPr>
      <w:r>
        <w:rPr>
          <w:rFonts w:hint="eastAsia" w:ascii="Times New Roman" w:hAnsi="Times New Roman" w:eastAsia="楷体_GB2312" w:cs="Times New Roman"/>
          <w:b/>
          <w:color w:val="auto"/>
          <w:sz w:val="32"/>
          <w:szCs w:val="32"/>
          <w:highlight w:val="none"/>
          <w:u w:val="none"/>
          <w:lang w:val="zh-CN"/>
        </w:rPr>
        <w:t>（二）</w:t>
      </w:r>
      <w:r>
        <w:rPr>
          <w:rFonts w:hint="eastAsia" w:ascii="Times New Roman" w:hAnsi="Times New Roman" w:eastAsia="楷体_GB2312" w:cs="Times New Roman"/>
          <w:b/>
          <w:color w:val="auto"/>
          <w:sz w:val="32"/>
          <w:szCs w:val="32"/>
          <w:highlight w:val="none"/>
          <w:u w:val="none"/>
          <w:lang w:val="en-US" w:eastAsia="zh-CN"/>
        </w:rPr>
        <w:t>专用指标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r>
        <w:rPr>
          <w:rFonts w:hint="eastAsia" w:ascii="Times New Roman" w:hAnsi="Times New Roman" w:eastAsia="仿宋_GB2312" w:cs="仿宋_GB2312"/>
          <w:b w:val="0"/>
          <w:bCs w:val="0"/>
          <w:kern w:val="0"/>
          <w:position w:val="0"/>
          <w:sz w:val="32"/>
          <w:szCs w:val="32"/>
          <w:highlight w:val="none"/>
          <w:lang w:val="zh-CN" w:eastAsia="zh-CN" w:bidi="ar-SA"/>
        </w:rPr>
        <w:t>根据</w:t>
      </w:r>
      <w:r>
        <w:rPr>
          <w:rFonts w:hint="eastAsia" w:ascii="Times New Roman" w:hAnsi="Times New Roman" w:eastAsia="仿宋_GB2312" w:cs="仿宋_GB2312"/>
          <w:b w:val="0"/>
          <w:bCs w:val="0"/>
          <w:kern w:val="0"/>
          <w:position w:val="0"/>
          <w:sz w:val="32"/>
          <w:szCs w:val="32"/>
          <w:highlight w:val="none"/>
          <w:lang w:val="en-US" w:eastAsia="zh-CN" w:bidi="ar-SA"/>
        </w:rPr>
        <w:t>专项预算项目资金支持对象选择所属指标进行绩效分析。支持对象</w:t>
      </w:r>
      <w:r>
        <w:rPr>
          <w:rFonts w:hint="eastAsia" w:ascii="Times New Roman" w:hAnsi="Times New Roman" w:eastAsia="仿宋_GB2312" w:cs="仿宋_GB2312"/>
          <w:b w:val="0"/>
          <w:bCs w:val="0"/>
          <w:kern w:val="0"/>
          <w:position w:val="0"/>
          <w:sz w:val="32"/>
          <w:szCs w:val="32"/>
          <w:highlight w:val="none"/>
          <w:lang w:val="zh-CN" w:eastAsia="zh-CN" w:bidi="ar-SA"/>
        </w:rPr>
        <w:t>包括产业发展、民生保障、基础设施、行政运转等方面。</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1.产业发展。围绕符合性、成长性、经济性进行绩效分析。</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2.</w:t>
      </w:r>
      <w:r>
        <w:rPr>
          <w:rFonts w:hint="eastAsia" w:ascii="Times New Roman" w:hAnsi="Times New Roman" w:eastAsia="仿宋_GB2312" w:cs="仿宋_GB2312"/>
          <w:b w:val="0"/>
          <w:bCs w:val="0"/>
          <w:kern w:val="0"/>
          <w:position w:val="0"/>
          <w:sz w:val="32"/>
          <w:szCs w:val="32"/>
          <w:highlight w:val="none"/>
          <w:lang w:val="zh-CN" w:eastAsia="zh-CN" w:bidi="ar-SA"/>
        </w:rPr>
        <w:t>民生保障。</w:t>
      </w:r>
      <w:r>
        <w:rPr>
          <w:rFonts w:hint="eastAsia" w:ascii="Times New Roman" w:hAnsi="Times New Roman" w:eastAsia="仿宋_GB2312" w:cs="仿宋_GB2312"/>
          <w:b w:val="0"/>
          <w:bCs w:val="0"/>
          <w:kern w:val="0"/>
          <w:position w:val="0"/>
          <w:sz w:val="32"/>
          <w:szCs w:val="32"/>
          <w:highlight w:val="none"/>
          <w:lang w:val="en-US" w:eastAsia="zh-CN" w:bidi="ar-SA"/>
        </w:rPr>
        <w:t>围绕区域均衡性、对象精准性、标准合理性、群众满意度进行绩效分析。</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3.基础设施。在建项目围绕工程进度和资金拨付进行绩效分析；建成项目围绕项目验收、功能实现、后续管护进行</w:t>
      </w:r>
      <w:r>
        <w:rPr>
          <w:rFonts w:hint="eastAsia" w:ascii="Times New Roman" w:hAnsi="Times New Roman" w:eastAsia="仿宋_GB2312" w:cs="仿宋_GB2312"/>
          <w:b w:val="0"/>
          <w:bCs w:val="0"/>
          <w:kern w:val="0"/>
          <w:position w:val="0"/>
          <w:sz w:val="32"/>
          <w:szCs w:val="32"/>
          <w:highlight w:val="none"/>
          <w:lang w:val="zh-CN" w:eastAsia="zh-CN" w:bidi="ar-SA"/>
        </w:rPr>
        <w:t>绩效分析。</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4.</w:t>
      </w:r>
      <w:r>
        <w:rPr>
          <w:rFonts w:hint="eastAsia" w:ascii="Times New Roman" w:hAnsi="Times New Roman" w:eastAsia="仿宋_GB2312" w:cs="仿宋_GB2312"/>
          <w:b w:val="0"/>
          <w:bCs w:val="0"/>
          <w:kern w:val="0"/>
          <w:position w:val="0"/>
          <w:sz w:val="32"/>
          <w:szCs w:val="32"/>
          <w:highlight w:val="none"/>
          <w:lang w:val="zh-CN" w:eastAsia="zh-CN" w:bidi="ar-SA"/>
        </w:rPr>
        <w:t>行政运转。围绕用途合规性、程序合规性、标准合规性进行绩效分析。</w:t>
      </w:r>
    </w:p>
    <w:p>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楷体_GB2312" w:cs="Times New Roman"/>
          <w:b/>
          <w:color w:val="auto"/>
          <w:sz w:val="32"/>
          <w:szCs w:val="32"/>
          <w:highlight w:val="none"/>
          <w:u w:val="none"/>
          <w:lang w:val="zh-CN"/>
        </w:rPr>
        <w:t>（三）</w:t>
      </w:r>
      <w:r>
        <w:rPr>
          <w:rFonts w:hint="eastAsia" w:ascii="Times New Roman" w:hAnsi="Times New Roman" w:eastAsia="楷体_GB2312" w:cs="Times New Roman"/>
          <w:b/>
          <w:color w:val="auto"/>
          <w:sz w:val="32"/>
          <w:szCs w:val="32"/>
          <w:highlight w:val="none"/>
          <w:u w:val="none"/>
          <w:lang w:val="en-US" w:eastAsia="zh-CN"/>
        </w:rPr>
        <w:t>个性指标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r>
        <w:rPr>
          <w:rFonts w:hint="eastAsia" w:ascii="Times New Roman" w:hAnsi="Times New Roman" w:eastAsia="仿宋_GB2312" w:cs="仿宋_GB2312"/>
          <w:b w:val="0"/>
          <w:bCs w:val="0"/>
          <w:kern w:val="0"/>
          <w:position w:val="0"/>
          <w:sz w:val="32"/>
          <w:szCs w:val="32"/>
          <w:highlight w:val="none"/>
          <w:lang w:val="zh-CN" w:eastAsia="zh-CN" w:bidi="ar-SA"/>
        </w:rPr>
        <w:t>根据项目个性自行设定部分指标，反映该项指标执行完成情况。</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黑体" w:hAnsi="黑体" w:eastAsia="黑体" w:cs="黑体"/>
          <w:b w:val="0"/>
          <w:bCs w:val="0"/>
          <w:kern w:val="0"/>
          <w:position w:val="0"/>
          <w:sz w:val="32"/>
          <w:szCs w:val="32"/>
          <w:highlight w:val="none"/>
          <w:lang w:val="en-US" w:eastAsia="zh-CN" w:bidi="ar-SA"/>
        </w:rPr>
      </w:pPr>
      <w:r>
        <w:rPr>
          <w:rFonts w:hint="eastAsia" w:ascii="黑体" w:hAnsi="黑体" w:eastAsia="黑体" w:cs="黑体"/>
          <w:b w:val="0"/>
          <w:bCs w:val="0"/>
          <w:kern w:val="0"/>
          <w:position w:val="0"/>
          <w:sz w:val="32"/>
          <w:szCs w:val="32"/>
          <w:highlight w:val="none"/>
          <w:lang w:val="en-US" w:eastAsia="zh-CN" w:bidi="ar-SA"/>
        </w:rPr>
        <w:t>四、评价结论</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简要阐述专项预算项目绩效自评总体结论，包含评价总分、</w:t>
      </w:r>
      <w:r>
        <w:rPr>
          <w:rFonts w:hint="eastAsia" w:ascii="Times New Roman" w:hAnsi="Times New Roman" w:eastAsia="仿宋_GB2312" w:cs="仿宋_GB2312"/>
          <w:b w:val="0"/>
          <w:bCs w:val="0"/>
          <w:kern w:val="0"/>
          <w:position w:val="0"/>
          <w:sz w:val="32"/>
          <w:szCs w:val="32"/>
          <w:highlight w:val="none"/>
          <w:lang w:val="zh-CN" w:eastAsia="zh-CN" w:bidi="ar-SA"/>
        </w:rPr>
        <w:t>项目实施情况。</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黑体" w:hAnsi="黑体" w:eastAsia="黑体" w:cs="黑体"/>
          <w:b w:val="0"/>
          <w:bCs w:val="0"/>
          <w:kern w:val="0"/>
          <w:position w:val="0"/>
          <w:sz w:val="32"/>
          <w:szCs w:val="32"/>
          <w:highlight w:val="none"/>
          <w:lang w:val="en-US" w:eastAsia="zh-CN" w:bidi="ar-SA"/>
        </w:rPr>
      </w:pPr>
      <w:r>
        <w:rPr>
          <w:rFonts w:hint="eastAsia" w:ascii="黑体" w:hAnsi="黑体" w:eastAsia="黑体" w:cs="黑体"/>
          <w:b w:val="0"/>
          <w:bCs w:val="0"/>
          <w:kern w:val="0"/>
          <w:position w:val="0"/>
          <w:sz w:val="32"/>
          <w:szCs w:val="32"/>
          <w:highlight w:val="none"/>
          <w:lang w:val="en-US" w:eastAsia="zh-CN" w:bidi="ar-SA"/>
        </w:rPr>
        <w:t>五、存在主要问题</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简要阐述专项预算项目绩效自评发现的主要问题。</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黑体" w:hAnsi="黑体" w:eastAsia="黑体" w:cs="黑体"/>
          <w:b w:val="0"/>
          <w:bCs w:val="0"/>
          <w:kern w:val="0"/>
          <w:position w:val="0"/>
          <w:sz w:val="32"/>
          <w:szCs w:val="32"/>
          <w:highlight w:val="none"/>
          <w:lang w:val="zh-CN" w:eastAsia="zh-CN" w:bidi="ar-SA"/>
        </w:rPr>
      </w:pPr>
      <w:r>
        <w:rPr>
          <w:rFonts w:hint="eastAsia" w:ascii="黑体" w:hAnsi="黑体" w:eastAsia="黑体" w:cs="黑体"/>
          <w:b w:val="0"/>
          <w:bCs w:val="0"/>
          <w:kern w:val="0"/>
          <w:position w:val="0"/>
          <w:sz w:val="32"/>
          <w:szCs w:val="32"/>
          <w:highlight w:val="none"/>
          <w:lang w:val="zh-CN" w:eastAsia="zh-CN" w:bidi="ar-SA"/>
        </w:rPr>
        <w:t>六、改进建议</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简要阐述专项预算项目在</w:t>
      </w:r>
      <w:r>
        <w:rPr>
          <w:rFonts w:hint="eastAsia" w:ascii="Times New Roman" w:hAnsi="Times New Roman" w:eastAsia="仿宋_GB2312" w:cs="仿宋_GB2312"/>
          <w:b w:val="0"/>
          <w:bCs w:val="0"/>
          <w:kern w:val="0"/>
          <w:position w:val="0"/>
          <w:sz w:val="32"/>
          <w:szCs w:val="32"/>
          <w:highlight w:val="none"/>
          <w:lang w:val="en" w:eastAsia="zh-CN" w:bidi="ar-SA"/>
        </w:rPr>
        <w:t>预算安排、完善政策、改进管理等方面的</w:t>
      </w:r>
      <w:r>
        <w:rPr>
          <w:rFonts w:hint="eastAsia" w:ascii="Times New Roman" w:hAnsi="Times New Roman" w:eastAsia="仿宋_GB2312" w:cs="仿宋_GB2312"/>
          <w:b w:val="0"/>
          <w:bCs w:val="0"/>
          <w:kern w:val="0"/>
          <w:position w:val="0"/>
          <w:sz w:val="32"/>
          <w:szCs w:val="32"/>
          <w:highlight w:val="none"/>
          <w:lang w:val="en-US" w:eastAsia="zh-CN" w:bidi="ar-SA"/>
        </w:rPr>
        <w:t>措施</w:t>
      </w:r>
      <w:r>
        <w:rPr>
          <w:rFonts w:hint="eastAsia" w:ascii="Times New Roman" w:hAnsi="Times New Roman" w:eastAsia="仿宋_GB2312" w:cs="仿宋_GB2312"/>
          <w:b w:val="0"/>
          <w:bCs w:val="0"/>
          <w:kern w:val="0"/>
          <w:position w:val="0"/>
          <w:sz w:val="32"/>
          <w:szCs w:val="32"/>
          <w:highlight w:val="none"/>
          <w:lang w:val="en" w:eastAsia="zh-CN" w:bidi="ar-SA"/>
        </w:rPr>
        <w:t>建议，其中</w:t>
      </w:r>
      <w:r>
        <w:rPr>
          <w:rFonts w:hint="eastAsia" w:ascii="Times New Roman" w:hAnsi="Times New Roman" w:eastAsia="仿宋_GB2312" w:cs="仿宋_GB2312"/>
          <w:b w:val="0"/>
          <w:bCs w:val="0"/>
          <w:kern w:val="0"/>
          <w:position w:val="0"/>
          <w:sz w:val="32"/>
          <w:szCs w:val="32"/>
          <w:highlight w:val="none"/>
          <w:lang w:val="en-US" w:eastAsia="zh-CN" w:bidi="ar-SA"/>
        </w:rPr>
        <w:t>必须对应评价发现的主要问题一一提出措施建议。</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w:t>
      </w:r>
      <w:r>
        <w:rPr>
          <w:rFonts w:hint="eastAsia" w:eastAsia="仿宋_GB2312" w:cs="仿宋_GB2312"/>
          <w:b w:val="0"/>
          <w:bCs w:val="0"/>
          <w:kern w:val="0"/>
          <w:position w:val="0"/>
          <w:sz w:val="32"/>
          <w:szCs w:val="32"/>
          <w:highlight w:val="none"/>
          <w:lang w:val="en-US" w:eastAsia="zh-CN" w:bidi="ar-SA"/>
        </w:rPr>
        <w:t>注：</w:t>
      </w:r>
      <w:r>
        <w:rPr>
          <w:rFonts w:hint="eastAsia" w:ascii="Times New Roman" w:hAnsi="Times New Roman" w:eastAsia="仿宋_GB2312" w:cs="仿宋_GB2312"/>
          <w:b w:val="0"/>
          <w:bCs w:val="0"/>
          <w:kern w:val="0"/>
          <w:position w:val="0"/>
          <w:sz w:val="32"/>
          <w:szCs w:val="32"/>
          <w:highlight w:val="none"/>
          <w:lang w:val="en-US" w:eastAsia="zh-CN" w:bidi="ar-SA"/>
        </w:rPr>
        <w:t>以上绩效自评报告，除涉密敏感内容外，原则上都应予以公开）</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bookmarkStart w:id="54" w:name="_Toc15396618"/>
      <w:r>
        <w:rPr>
          <w:rFonts w:hint="eastAsia" w:ascii="Times New Roman" w:hAnsi="Times New Roman" w:eastAsia="仿宋_GB2312" w:cs="仿宋_GB2312"/>
          <w:b w:val="0"/>
          <w:bCs w:val="0"/>
          <w:kern w:val="0"/>
          <w:position w:val="0"/>
          <w:sz w:val="32"/>
          <w:szCs w:val="32"/>
          <w:highlight w:val="none"/>
          <w:lang w:val="en-US" w:eastAsia="zh-CN" w:bidi="ar-SA"/>
        </w:rPr>
        <w:br w:type="page"/>
      </w:r>
    </w:p>
    <w:p>
      <w:pPr>
        <w:widowControl/>
        <w:jc w:val="center"/>
        <w:rPr>
          <w:rFonts w:hint="eastAsia" w:ascii="Times New Roman" w:hAnsi="Times New Roman" w:eastAsia="仿宋"/>
          <w:b w:val="0"/>
          <w:color w:val="auto"/>
          <w:highlight w:val="none"/>
        </w:rPr>
      </w:pPr>
      <w:r>
        <w:rPr>
          <w:rFonts w:hint="eastAsia" w:ascii="Times New Roman" w:hAnsi="Times New Roman" w:eastAsia="黑体"/>
          <w:color w:val="auto"/>
          <w:sz w:val="44"/>
          <w:szCs w:val="44"/>
          <w:highlight w:val="none"/>
        </w:rPr>
        <w:t>第</w:t>
      </w:r>
      <w:r>
        <w:rPr>
          <w:rStyle w:val="28"/>
          <w:rFonts w:hint="eastAsia" w:ascii="Times New Roman" w:hAnsi="Times New Roman" w:eastAsia="黑体"/>
          <w:b w:val="0"/>
          <w:color w:val="auto"/>
          <w:highlight w:val="none"/>
        </w:rPr>
        <w:t>五部分 附表</w:t>
      </w:r>
      <w:bookmarkEnd w:id="51"/>
      <w:bookmarkEnd w:id="54"/>
      <w:bookmarkStart w:id="55" w:name="_Toc15396619"/>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一、收入支出决算总表</w:t>
      </w:r>
      <w:bookmarkEnd w:id="55"/>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56" w:name="_Toc15396620"/>
      <w:r>
        <w:rPr>
          <w:rFonts w:hint="eastAsia" w:ascii="Times New Roman" w:hAnsi="Times New Roman" w:eastAsia="仿宋_GB2312" w:cs="仿宋_GB2312"/>
          <w:color w:val="auto"/>
          <w:sz w:val="32"/>
          <w:szCs w:val="32"/>
          <w:highlight w:val="none"/>
        </w:rPr>
        <w:t>二、收入决算表</w:t>
      </w:r>
      <w:bookmarkEnd w:id="56"/>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57" w:name="_Toc15396621"/>
      <w:r>
        <w:rPr>
          <w:rFonts w:hint="eastAsia" w:ascii="Times New Roman" w:hAnsi="Times New Roman" w:eastAsia="仿宋_GB2312" w:cs="仿宋_GB2312"/>
          <w:color w:val="auto"/>
          <w:sz w:val="32"/>
          <w:szCs w:val="32"/>
          <w:highlight w:val="none"/>
        </w:rPr>
        <w:t>三、支出决算表</w:t>
      </w:r>
      <w:bookmarkEnd w:id="57"/>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58" w:name="_Toc15396622"/>
      <w:r>
        <w:rPr>
          <w:rFonts w:hint="eastAsia" w:ascii="Times New Roman" w:hAnsi="Times New Roman" w:eastAsia="仿宋_GB2312" w:cs="仿宋_GB2312"/>
          <w:color w:val="auto"/>
          <w:sz w:val="32"/>
          <w:szCs w:val="32"/>
          <w:highlight w:val="none"/>
        </w:rPr>
        <w:t>四、财政拨款收入支出决算总表</w:t>
      </w:r>
      <w:bookmarkEnd w:id="58"/>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59" w:name="_Toc15396623"/>
      <w:r>
        <w:rPr>
          <w:rFonts w:hint="eastAsia" w:ascii="Times New Roman" w:hAnsi="Times New Roman" w:eastAsia="仿宋_GB2312" w:cs="仿宋_GB2312"/>
          <w:color w:val="auto"/>
          <w:sz w:val="32"/>
          <w:szCs w:val="32"/>
          <w:highlight w:val="none"/>
        </w:rPr>
        <w:t>五、财政拨款支出决算明细表</w:t>
      </w:r>
      <w:bookmarkEnd w:id="59"/>
      <w:bookmarkStart w:id="60" w:name="_Toc15396624"/>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六、一般公共预算财政拨款支出决算表</w:t>
      </w:r>
      <w:bookmarkEnd w:id="60"/>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61" w:name="_Toc15396625"/>
      <w:r>
        <w:rPr>
          <w:rFonts w:hint="eastAsia" w:ascii="Times New Roman" w:hAnsi="Times New Roman" w:eastAsia="仿宋_GB2312" w:cs="仿宋_GB2312"/>
          <w:color w:val="auto"/>
          <w:sz w:val="32"/>
          <w:szCs w:val="32"/>
          <w:highlight w:val="none"/>
        </w:rPr>
        <w:t>七、一般公共预算财政拨款支出决算明细表</w:t>
      </w:r>
      <w:bookmarkEnd w:id="61"/>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62" w:name="_Toc15396626"/>
      <w:r>
        <w:rPr>
          <w:rFonts w:hint="eastAsia" w:ascii="Times New Roman" w:hAnsi="Times New Roman" w:eastAsia="仿宋_GB2312" w:cs="仿宋_GB2312"/>
          <w:color w:val="auto"/>
          <w:sz w:val="32"/>
          <w:szCs w:val="32"/>
          <w:highlight w:val="none"/>
        </w:rPr>
        <w:t>八、一般公共预算财政拨款基本支出决算表</w:t>
      </w:r>
      <w:bookmarkEnd w:id="62"/>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63" w:name="_Toc15396627"/>
      <w:r>
        <w:rPr>
          <w:rFonts w:hint="eastAsia" w:ascii="Times New Roman" w:hAnsi="Times New Roman" w:eastAsia="仿宋_GB2312" w:cs="仿宋_GB2312"/>
          <w:color w:val="auto"/>
          <w:sz w:val="32"/>
          <w:szCs w:val="32"/>
          <w:highlight w:val="none"/>
        </w:rPr>
        <w:t>九、一般公共预算财政拨款项目支出决算表</w:t>
      </w:r>
      <w:bookmarkEnd w:id="63"/>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64" w:name="_Toc15396628"/>
      <w:r>
        <w:rPr>
          <w:rFonts w:hint="eastAsia" w:ascii="Times New Roman" w:hAnsi="Times New Roman" w:eastAsia="仿宋_GB2312" w:cs="仿宋_GB2312"/>
          <w:color w:val="auto"/>
          <w:sz w:val="32"/>
          <w:szCs w:val="32"/>
          <w:highlight w:val="none"/>
        </w:rPr>
        <w:t>十、</w:t>
      </w:r>
      <w:bookmarkEnd w:id="64"/>
      <w:r>
        <w:rPr>
          <w:rFonts w:hint="eastAsia" w:ascii="Times New Roman" w:hAnsi="Times New Roman" w:eastAsia="仿宋_GB2312" w:cs="仿宋_GB2312"/>
          <w:color w:val="auto"/>
          <w:sz w:val="32"/>
          <w:szCs w:val="32"/>
          <w:highlight w:val="none"/>
        </w:rPr>
        <w:t>政府性基金预算财政拨款收入支出决算表</w:t>
      </w:r>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65" w:name="_Toc15396629"/>
      <w:r>
        <w:rPr>
          <w:rFonts w:hint="eastAsia" w:ascii="Times New Roman" w:hAnsi="Times New Roman" w:eastAsia="仿宋_GB2312" w:cs="仿宋_GB2312"/>
          <w:color w:val="auto"/>
          <w:sz w:val="32"/>
          <w:szCs w:val="32"/>
          <w:highlight w:val="none"/>
        </w:rPr>
        <w:t>十一、</w:t>
      </w:r>
      <w:bookmarkEnd w:id="65"/>
      <w:r>
        <w:rPr>
          <w:rFonts w:hint="eastAsia" w:ascii="Times New Roman" w:hAnsi="Times New Roman" w:eastAsia="仿宋_GB2312" w:cs="仿宋_GB2312"/>
          <w:color w:val="auto"/>
          <w:sz w:val="32"/>
          <w:szCs w:val="32"/>
          <w:highlight w:val="none"/>
        </w:rPr>
        <w:t>国有资本经营预算</w:t>
      </w:r>
      <w:r>
        <w:rPr>
          <w:rFonts w:hint="eastAsia" w:ascii="Times New Roman" w:hAnsi="Times New Roman" w:eastAsia="仿宋_GB2312" w:cs="仿宋_GB2312"/>
          <w:color w:val="auto"/>
          <w:sz w:val="32"/>
          <w:szCs w:val="32"/>
          <w:highlight w:val="none"/>
          <w:lang w:eastAsia="zh-CN"/>
        </w:rPr>
        <w:t>财政拨款收入</w:t>
      </w:r>
      <w:r>
        <w:rPr>
          <w:rFonts w:hint="eastAsia" w:ascii="Times New Roman" w:hAnsi="Times New Roman" w:eastAsia="仿宋_GB2312" w:cs="仿宋_GB2312"/>
          <w:color w:val="auto"/>
          <w:sz w:val="32"/>
          <w:szCs w:val="32"/>
          <w:highlight w:val="none"/>
        </w:rPr>
        <w:t>支出决算表</w:t>
      </w:r>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66" w:name="_Toc15396630"/>
      <w:r>
        <w:rPr>
          <w:rFonts w:hint="eastAsia" w:ascii="Times New Roman" w:hAnsi="Times New Roman" w:eastAsia="仿宋_GB2312" w:cs="仿宋_GB2312"/>
          <w:color w:val="auto"/>
          <w:sz w:val="32"/>
          <w:szCs w:val="32"/>
          <w:highlight w:val="none"/>
        </w:rPr>
        <w:t>十二、</w:t>
      </w:r>
      <w:bookmarkEnd w:id="66"/>
      <w:r>
        <w:rPr>
          <w:rFonts w:hint="eastAsia" w:ascii="Times New Roman" w:hAnsi="Times New Roman" w:eastAsia="仿宋_GB2312" w:cs="仿宋_GB2312"/>
          <w:color w:val="auto"/>
          <w:sz w:val="32"/>
          <w:szCs w:val="32"/>
          <w:highlight w:val="none"/>
          <w:lang w:eastAsia="zh-CN"/>
        </w:rPr>
        <w:t>国有资本经营预算财政拨款支出决算表</w:t>
      </w:r>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lang w:eastAsia="zh-CN"/>
        </w:rPr>
      </w:pPr>
      <w:bookmarkStart w:id="67" w:name="_Toc15396631"/>
      <w:r>
        <w:rPr>
          <w:rFonts w:hint="eastAsia" w:ascii="Times New Roman" w:hAnsi="Times New Roman" w:eastAsia="仿宋_GB2312" w:cs="仿宋_GB2312"/>
          <w:color w:val="auto"/>
          <w:sz w:val="32"/>
          <w:szCs w:val="32"/>
          <w:highlight w:val="none"/>
        </w:rPr>
        <w:t>十三、</w:t>
      </w:r>
      <w:bookmarkEnd w:id="67"/>
      <w:r>
        <w:rPr>
          <w:rFonts w:hint="eastAsia" w:ascii="Times New Roman" w:hAnsi="Times New Roman" w:eastAsia="仿宋_GB2312" w:cs="仿宋_GB2312"/>
          <w:color w:val="auto"/>
          <w:sz w:val="32"/>
          <w:szCs w:val="32"/>
          <w:highlight w:val="none"/>
          <w:lang w:eastAsia="zh-CN"/>
        </w:rPr>
        <w:t>财政拨款“三公”经费支出决算表</w:t>
      </w:r>
    </w:p>
    <w:p>
      <w:pPr>
        <w:rPr>
          <w:rFonts w:hint="eastAsia" w:ascii="Times New Roman" w:hAnsi="Times New Roman"/>
          <w:lang w:eastAsia="zh-CN"/>
        </w:rPr>
      </w:pPr>
    </w:p>
    <w:sectPr>
      <w:footerReference r:id="rId6" w:type="first"/>
      <w:footerReference r:id="rId5" w:type="default"/>
      <w:pgSz w:w="11906" w:h="16838"/>
      <w:pgMar w:top="1440" w:right="1800" w:bottom="1440" w:left="1800" w:header="851" w:footer="992" w:gutter="0"/>
      <w:pgNumType w:fmt="numberInDash"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
    <w:altName w:val="Segoe Print"/>
    <w:panose1 w:val="00000000000000000000"/>
    <w:charset w:val="00"/>
    <w:family w:val="roman"/>
    <w:pitch w:val="default"/>
    <w:sig w:usb0="00000000" w:usb1="00000000" w:usb2="00000000" w:usb3="00000000" w:csb0="0000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 w:name="宋体-PUA">
    <w:altName w:val="宋体"/>
    <w:panose1 w:val="02010600030101010101"/>
    <w:charset w:val="86"/>
    <w:family w:val="auto"/>
    <w:pitch w:val="default"/>
    <w:sig w:usb0="00000000" w:usb1="00000000" w:usb2="00000000" w:usb3="00000000" w:csb0="00040000" w:csb1="00000000"/>
  </w:font>
  <w:font w:name="新宋体">
    <w:panose1 w:val="02010609030101010101"/>
    <w:charset w:val="86"/>
    <w:family w:val="modern"/>
    <w:pitch w:val="default"/>
    <w:sig w:usb0="00000003" w:usb1="288F0000" w:usb2="00000006" w:usb3="00000000" w:csb0="00040001" w:csb1="00000000"/>
  </w:font>
  <w:font w:name="Wingdings 2">
    <w:altName w:val="Wingdings"/>
    <w:panose1 w:val="050201020105070707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 w:name="华文宋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p>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p>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76985"/>
    <w:multiLevelType w:val="singleLevel"/>
    <w:tmpl w:val="02576985"/>
    <w:lvl w:ilvl="0" w:tentative="0">
      <w:start w:val="1"/>
      <w:numFmt w:val="chineseCounting"/>
      <w:suff w:val="nothing"/>
      <w:lvlText w:val="%1、"/>
      <w:lvlJc w:val="left"/>
      <w:rPr>
        <w:rFonts w:hint="eastAsia"/>
      </w:rPr>
    </w:lvl>
  </w:abstractNum>
  <w:abstractNum w:abstractNumId="1">
    <w:nsid w:val="0F4D10EC"/>
    <w:multiLevelType w:val="singleLevel"/>
    <w:tmpl w:val="0F4D10EC"/>
    <w:lvl w:ilvl="0" w:tentative="0">
      <w:start w:val="2"/>
      <w:numFmt w:val="decimal"/>
      <w:lvlText w:val="%1."/>
      <w:lvlJc w:val="left"/>
      <w:pPr>
        <w:tabs>
          <w:tab w:val="left" w:pos="312"/>
        </w:tabs>
      </w:pPr>
    </w:lvl>
  </w:abstractNum>
  <w:abstractNum w:abstractNumId="2">
    <w:nsid w:val="7EE55BF3"/>
    <w:multiLevelType w:val="multilevel"/>
    <w:tmpl w:val="7EE55BF3"/>
    <w:lvl w:ilvl="0" w:tentative="0">
      <w:start w:val="1"/>
      <w:numFmt w:val="chineseCountingThousand"/>
      <w:pStyle w:val="35"/>
      <w:suff w:val="nothing"/>
      <w:lvlText w:val="（%1）"/>
      <w:lvlJc w:val="left"/>
      <w:pPr>
        <w:ind w:left="0" w:firstLine="635"/>
      </w:pPr>
      <w:rPr>
        <w:rFonts w:hint="default"/>
        <w:u w:val="none" w:color="auto"/>
        <w:lang w:val="en-US"/>
      </w:rPr>
    </w:lvl>
    <w:lvl w:ilvl="1" w:tentative="0">
      <w:start w:val="1"/>
      <w:numFmt w:val="decimal"/>
      <w:lvlText w:val="%2."/>
      <w:lvlJc w:val="left"/>
      <w:pPr>
        <w:ind w:left="980" w:hanging="360"/>
      </w:pPr>
      <w:rPr>
        <w:rFonts w:hint="default"/>
        <w:u w:val="none" w:color="auto"/>
      </w:rPr>
    </w:lvl>
    <w:lvl w:ilvl="2" w:tentative="0">
      <w:start w:val="1"/>
      <w:numFmt w:val="lowerRoman"/>
      <w:lvlText w:val="%3."/>
      <w:lvlJc w:val="right"/>
      <w:pPr>
        <w:ind w:left="1460" w:hanging="420"/>
      </w:pPr>
      <w:rPr>
        <w:rFonts w:hint="default"/>
        <w:u w:val="none" w:color="auto"/>
      </w:rPr>
    </w:lvl>
    <w:lvl w:ilvl="3" w:tentative="0">
      <w:start w:val="1"/>
      <w:numFmt w:val="decimal"/>
      <w:lvlText w:val="%4."/>
      <w:lvlJc w:val="left"/>
      <w:pPr>
        <w:ind w:left="1880" w:hanging="420"/>
      </w:pPr>
      <w:rPr>
        <w:rFonts w:hint="default"/>
        <w:u w:val="none" w:color="auto"/>
      </w:rPr>
    </w:lvl>
    <w:lvl w:ilvl="4" w:tentative="0">
      <w:start w:val="1"/>
      <w:numFmt w:val="lowerLetter"/>
      <w:lvlText w:val="%5)"/>
      <w:lvlJc w:val="left"/>
      <w:pPr>
        <w:ind w:left="2300" w:hanging="420"/>
      </w:pPr>
      <w:rPr>
        <w:rFonts w:hint="default"/>
        <w:u w:val="none" w:color="auto"/>
      </w:rPr>
    </w:lvl>
    <w:lvl w:ilvl="5" w:tentative="0">
      <w:start w:val="1"/>
      <w:numFmt w:val="lowerRoman"/>
      <w:lvlText w:val="%6."/>
      <w:lvlJc w:val="right"/>
      <w:pPr>
        <w:ind w:left="2720" w:hanging="420"/>
      </w:pPr>
      <w:rPr>
        <w:rFonts w:hint="default"/>
        <w:u w:val="none" w:color="auto"/>
      </w:rPr>
    </w:lvl>
    <w:lvl w:ilvl="6" w:tentative="0">
      <w:start w:val="1"/>
      <w:numFmt w:val="decimal"/>
      <w:lvlText w:val="%7."/>
      <w:lvlJc w:val="left"/>
      <w:pPr>
        <w:ind w:left="3140" w:hanging="420"/>
      </w:pPr>
      <w:rPr>
        <w:rFonts w:hint="default"/>
        <w:u w:val="none" w:color="auto"/>
      </w:rPr>
    </w:lvl>
    <w:lvl w:ilvl="7" w:tentative="0">
      <w:start w:val="1"/>
      <w:numFmt w:val="lowerLetter"/>
      <w:lvlText w:val="%8)"/>
      <w:lvlJc w:val="left"/>
      <w:pPr>
        <w:ind w:left="3560" w:hanging="420"/>
      </w:pPr>
      <w:rPr>
        <w:rFonts w:hint="default"/>
        <w:u w:val="none" w:color="auto"/>
      </w:rPr>
    </w:lvl>
    <w:lvl w:ilvl="8" w:tentative="0">
      <w:start w:val="1"/>
      <w:numFmt w:val="lowerRoman"/>
      <w:lvlText w:val="%9."/>
      <w:lvlJc w:val="right"/>
      <w:pPr>
        <w:ind w:left="3980" w:hanging="420"/>
      </w:pPr>
      <w:rPr>
        <w:rFonts w:hint="default"/>
        <w:u w:val="none" w:color="auto"/>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4633"/>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2A5EC2"/>
    <w:rsid w:val="015975B8"/>
    <w:rsid w:val="02FEBE30"/>
    <w:rsid w:val="034A198A"/>
    <w:rsid w:val="03E73CD4"/>
    <w:rsid w:val="04916F1E"/>
    <w:rsid w:val="05A6582B"/>
    <w:rsid w:val="061E35DE"/>
    <w:rsid w:val="066E0107"/>
    <w:rsid w:val="06D04FF6"/>
    <w:rsid w:val="06E51B9F"/>
    <w:rsid w:val="07996F6E"/>
    <w:rsid w:val="07DFD8BA"/>
    <w:rsid w:val="08B16A7C"/>
    <w:rsid w:val="09867E8F"/>
    <w:rsid w:val="0A2032A3"/>
    <w:rsid w:val="0CA8290A"/>
    <w:rsid w:val="0D304CA0"/>
    <w:rsid w:val="0D35B1ED"/>
    <w:rsid w:val="0E254B6B"/>
    <w:rsid w:val="0F98263C"/>
    <w:rsid w:val="101860EC"/>
    <w:rsid w:val="101F47CC"/>
    <w:rsid w:val="10C055FF"/>
    <w:rsid w:val="11694EBD"/>
    <w:rsid w:val="11772AA4"/>
    <w:rsid w:val="118107EC"/>
    <w:rsid w:val="12E24EE2"/>
    <w:rsid w:val="1395704A"/>
    <w:rsid w:val="13D50BC4"/>
    <w:rsid w:val="14630920"/>
    <w:rsid w:val="14B17F78"/>
    <w:rsid w:val="15FE0A91"/>
    <w:rsid w:val="165E0673"/>
    <w:rsid w:val="16B831D5"/>
    <w:rsid w:val="16BB723D"/>
    <w:rsid w:val="17E50567"/>
    <w:rsid w:val="186504BB"/>
    <w:rsid w:val="19A445FC"/>
    <w:rsid w:val="1BE8440E"/>
    <w:rsid w:val="1C391904"/>
    <w:rsid w:val="1D155CEE"/>
    <w:rsid w:val="1D1638FE"/>
    <w:rsid w:val="1E312DEB"/>
    <w:rsid w:val="1E740ACF"/>
    <w:rsid w:val="1FF35744"/>
    <w:rsid w:val="1FF6BC77"/>
    <w:rsid w:val="20964170"/>
    <w:rsid w:val="2186353C"/>
    <w:rsid w:val="23860B96"/>
    <w:rsid w:val="240371BF"/>
    <w:rsid w:val="244F3473"/>
    <w:rsid w:val="24C97D99"/>
    <w:rsid w:val="25A718F0"/>
    <w:rsid w:val="25BB59F6"/>
    <w:rsid w:val="25C31736"/>
    <w:rsid w:val="260F557C"/>
    <w:rsid w:val="26970054"/>
    <w:rsid w:val="281408E2"/>
    <w:rsid w:val="28762157"/>
    <w:rsid w:val="29FD04D3"/>
    <w:rsid w:val="2BFF7BC6"/>
    <w:rsid w:val="2C8A61B5"/>
    <w:rsid w:val="2DF04E50"/>
    <w:rsid w:val="2E586DFA"/>
    <w:rsid w:val="2F040D46"/>
    <w:rsid w:val="2F320DE5"/>
    <w:rsid w:val="2F6B035B"/>
    <w:rsid w:val="2FAE5751"/>
    <w:rsid w:val="2FB1A395"/>
    <w:rsid w:val="2FD9A7D8"/>
    <w:rsid w:val="2FDBF714"/>
    <w:rsid w:val="30AB6865"/>
    <w:rsid w:val="310F0198"/>
    <w:rsid w:val="319F7F4E"/>
    <w:rsid w:val="32BD1EF1"/>
    <w:rsid w:val="3304709D"/>
    <w:rsid w:val="33852CE4"/>
    <w:rsid w:val="33A773CB"/>
    <w:rsid w:val="349D6851"/>
    <w:rsid w:val="36AA5135"/>
    <w:rsid w:val="36BE0DA7"/>
    <w:rsid w:val="371D674C"/>
    <w:rsid w:val="374F2250"/>
    <w:rsid w:val="376B6AA6"/>
    <w:rsid w:val="376D39B2"/>
    <w:rsid w:val="37E16F03"/>
    <w:rsid w:val="37F53A3B"/>
    <w:rsid w:val="389B6C89"/>
    <w:rsid w:val="38D469F0"/>
    <w:rsid w:val="39627CCD"/>
    <w:rsid w:val="397BAF1F"/>
    <w:rsid w:val="3AB79AF3"/>
    <w:rsid w:val="3AE834C0"/>
    <w:rsid w:val="3B7EF35A"/>
    <w:rsid w:val="3B9FDB6C"/>
    <w:rsid w:val="3BF5BC2F"/>
    <w:rsid w:val="3C7C10D0"/>
    <w:rsid w:val="3CEBA265"/>
    <w:rsid w:val="3D98207C"/>
    <w:rsid w:val="3DEE7CF3"/>
    <w:rsid w:val="3E740A63"/>
    <w:rsid w:val="3E78745D"/>
    <w:rsid w:val="3EE17838"/>
    <w:rsid w:val="3EF30743"/>
    <w:rsid w:val="3F55381A"/>
    <w:rsid w:val="3F7F7599"/>
    <w:rsid w:val="3FF4CAE0"/>
    <w:rsid w:val="3FF7B227"/>
    <w:rsid w:val="44CD1440"/>
    <w:rsid w:val="44E268DA"/>
    <w:rsid w:val="450D13D7"/>
    <w:rsid w:val="45506656"/>
    <w:rsid w:val="486A6C7A"/>
    <w:rsid w:val="4A627F82"/>
    <w:rsid w:val="4B0E749A"/>
    <w:rsid w:val="4B2477C4"/>
    <w:rsid w:val="4B4F25DA"/>
    <w:rsid w:val="4BE068DB"/>
    <w:rsid w:val="4CF96CD5"/>
    <w:rsid w:val="4D577224"/>
    <w:rsid w:val="4D954279"/>
    <w:rsid w:val="4DBF1CEB"/>
    <w:rsid w:val="4DF0007C"/>
    <w:rsid w:val="4EAB630A"/>
    <w:rsid w:val="4ECE2238"/>
    <w:rsid w:val="4F833267"/>
    <w:rsid w:val="4FE9BD67"/>
    <w:rsid w:val="4FFB052F"/>
    <w:rsid w:val="537E6D0A"/>
    <w:rsid w:val="53F74C96"/>
    <w:rsid w:val="55170BA8"/>
    <w:rsid w:val="553218C9"/>
    <w:rsid w:val="557D56BB"/>
    <w:rsid w:val="55D51617"/>
    <w:rsid w:val="567E1AA5"/>
    <w:rsid w:val="56E47B74"/>
    <w:rsid w:val="57175D52"/>
    <w:rsid w:val="57BD3DD4"/>
    <w:rsid w:val="59B84C7A"/>
    <w:rsid w:val="5AF92295"/>
    <w:rsid w:val="5B250254"/>
    <w:rsid w:val="5BDD79E6"/>
    <w:rsid w:val="5BF561CA"/>
    <w:rsid w:val="5BFF5DFC"/>
    <w:rsid w:val="5CD71FC4"/>
    <w:rsid w:val="5D1F11B5"/>
    <w:rsid w:val="5D695134"/>
    <w:rsid w:val="5DAE1B18"/>
    <w:rsid w:val="5DE7D9E5"/>
    <w:rsid w:val="5ECEC941"/>
    <w:rsid w:val="5FBF9FF3"/>
    <w:rsid w:val="5FCD4E2C"/>
    <w:rsid w:val="5FEF394A"/>
    <w:rsid w:val="5FF67715"/>
    <w:rsid w:val="62BF3928"/>
    <w:rsid w:val="63B3701E"/>
    <w:rsid w:val="647F5392"/>
    <w:rsid w:val="65E66580"/>
    <w:rsid w:val="664B1D71"/>
    <w:rsid w:val="664B4E8E"/>
    <w:rsid w:val="67277B67"/>
    <w:rsid w:val="67AA3209"/>
    <w:rsid w:val="698D0931"/>
    <w:rsid w:val="6A7FE5F3"/>
    <w:rsid w:val="6B053271"/>
    <w:rsid w:val="6BDD78B3"/>
    <w:rsid w:val="6C4A05C8"/>
    <w:rsid w:val="6C8742B8"/>
    <w:rsid w:val="6DBF5E93"/>
    <w:rsid w:val="6DFF077E"/>
    <w:rsid w:val="6E714EF0"/>
    <w:rsid w:val="6E7E3605"/>
    <w:rsid w:val="6E7FDCC7"/>
    <w:rsid w:val="6ED6A62E"/>
    <w:rsid w:val="6EE00B15"/>
    <w:rsid w:val="6F6FB3EB"/>
    <w:rsid w:val="6F8731EA"/>
    <w:rsid w:val="6FCE6052"/>
    <w:rsid w:val="6FD57C00"/>
    <w:rsid w:val="6FEFFFD8"/>
    <w:rsid w:val="6FF5CC65"/>
    <w:rsid w:val="6FFB47EC"/>
    <w:rsid w:val="6FFF034A"/>
    <w:rsid w:val="70484440"/>
    <w:rsid w:val="712A28F1"/>
    <w:rsid w:val="715C0E4B"/>
    <w:rsid w:val="71992E7C"/>
    <w:rsid w:val="72233669"/>
    <w:rsid w:val="72734D90"/>
    <w:rsid w:val="73160E6D"/>
    <w:rsid w:val="7332FE48"/>
    <w:rsid w:val="73AB61DA"/>
    <w:rsid w:val="73AD73D5"/>
    <w:rsid w:val="73B6EB34"/>
    <w:rsid w:val="73FA497D"/>
    <w:rsid w:val="744731E5"/>
    <w:rsid w:val="74BBD01D"/>
    <w:rsid w:val="74ED5379"/>
    <w:rsid w:val="75DEEEC2"/>
    <w:rsid w:val="75E32345"/>
    <w:rsid w:val="76E3355F"/>
    <w:rsid w:val="76FF5125"/>
    <w:rsid w:val="776F6FFA"/>
    <w:rsid w:val="778769C8"/>
    <w:rsid w:val="77A75DCA"/>
    <w:rsid w:val="77DC22F5"/>
    <w:rsid w:val="783E271A"/>
    <w:rsid w:val="78616DE9"/>
    <w:rsid w:val="78E875D7"/>
    <w:rsid w:val="79086DAD"/>
    <w:rsid w:val="79D7FD79"/>
    <w:rsid w:val="79EE5BA4"/>
    <w:rsid w:val="7A106C45"/>
    <w:rsid w:val="7A894339"/>
    <w:rsid w:val="7AD284E8"/>
    <w:rsid w:val="7AFF7572"/>
    <w:rsid w:val="7B6C7DFB"/>
    <w:rsid w:val="7BBFBED0"/>
    <w:rsid w:val="7BC3E394"/>
    <w:rsid w:val="7C1F3737"/>
    <w:rsid w:val="7CBFC87B"/>
    <w:rsid w:val="7CFE0F48"/>
    <w:rsid w:val="7D272ABC"/>
    <w:rsid w:val="7D7EC23E"/>
    <w:rsid w:val="7E8ADEBF"/>
    <w:rsid w:val="7EEF11D3"/>
    <w:rsid w:val="7EFE4840"/>
    <w:rsid w:val="7F0971A6"/>
    <w:rsid w:val="7F1D62E7"/>
    <w:rsid w:val="7F3F679B"/>
    <w:rsid w:val="7F4FC4EF"/>
    <w:rsid w:val="7F5E4D54"/>
    <w:rsid w:val="7F6E0135"/>
    <w:rsid w:val="7F79F205"/>
    <w:rsid w:val="7FA30C79"/>
    <w:rsid w:val="7FA79C44"/>
    <w:rsid w:val="7FAF8ABF"/>
    <w:rsid w:val="7FB7269E"/>
    <w:rsid w:val="7FC96657"/>
    <w:rsid w:val="7FDA9588"/>
    <w:rsid w:val="7FDF220F"/>
    <w:rsid w:val="7FEDC5F7"/>
    <w:rsid w:val="7FEDD9DE"/>
    <w:rsid w:val="7FF5890D"/>
    <w:rsid w:val="7FF93490"/>
    <w:rsid w:val="99FF2014"/>
    <w:rsid w:val="A6DD0D7F"/>
    <w:rsid w:val="ACFF4FBB"/>
    <w:rsid w:val="ADC6F725"/>
    <w:rsid w:val="B7CF06AB"/>
    <w:rsid w:val="B7CFA926"/>
    <w:rsid w:val="B7F8786B"/>
    <w:rsid w:val="BABB6AA1"/>
    <w:rsid w:val="BB2F4199"/>
    <w:rsid w:val="BCFFB442"/>
    <w:rsid w:val="BD079C78"/>
    <w:rsid w:val="BD733540"/>
    <w:rsid w:val="BF3735D5"/>
    <w:rsid w:val="BF7F09AC"/>
    <w:rsid w:val="BFD475C3"/>
    <w:rsid w:val="BFDE5EA6"/>
    <w:rsid w:val="CF6FC6F3"/>
    <w:rsid w:val="CFD3D3D7"/>
    <w:rsid w:val="CFDF1009"/>
    <w:rsid w:val="D7D7B16A"/>
    <w:rsid w:val="D8D6DB89"/>
    <w:rsid w:val="DB6F4CAB"/>
    <w:rsid w:val="DB777682"/>
    <w:rsid w:val="DD1FB521"/>
    <w:rsid w:val="DEFBFEAE"/>
    <w:rsid w:val="DF1F3B80"/>
    <w:rsid w:val="DF6F9789"/>
    <w:rsid w:val="DFE9BE81"/>
    <w:rsid w:val="DFFFA9E8"/>
    <w:rsid w:val="E5F4E9DC"/>
    <w:rsid w:val="E70FE695"/>
    <w:rsid w:val="EB2E368B"/>
    <w:rsid w:val="ECFED1BC"/>
    <w:rsid w:val="ED1D69BB"/>
    <w:rsid w:val="ED7FD312"/>
    <w:rsid w:val="EF2E1AC6"/>
    <w:rsid w:val="EF53993F"/>
    <w:rsid w:val="EF6FD633"/>
    <w:rsid w:val="EFBFB2F4"/>
    <w:rsid w:val="EFBFFA21"/>
    <w:rsid w:val="F2BEBCB8"/>
    <w:rsid w:val="F36FB518"/>
    <w:rsid w:val="F3DE1A04"/>
    <w:rsid w:val="F3F722E5"/>
    <w:rsid w:val="F4FBCD07"/>
    <w:rsid w:val="FA5F1E70"/>
    <w:rsid w:val="FA5FDB97"/>
    <w:rsid w:val="FB7F486A"/>
    <w:rsid w:val="FBFF5B2E"/>
    <w:rsid w:val="FD7FFE2B"/>
    <w:rsid w:val="FDEE196B"/>
    <w:rsid w:val="FDFE6575"/>
    <w:rsid w:val="FEDFDDC2"/>
    <w:rsid w:val="FEED32F6"/>
    <w:rsid w:val="FEF781DD"/>
    <w:rsid w:val="FF3F7E3F"/>
    <w:rsid w:val="FFBA12D7"/>
    <w:rsid w:val="FFCBD314"/>
    <w:rsid w:val="FFDFF91C"/>
    <w:rsid w:val="FFDFFAEE"/>
    <w:rsid w:val="FFEF6777"/>
    <w:rsid w:val="FFF9B57B"/>
    <w:rsid w:val="FFFD61D9"/>
    <w:rsid w:val="FFFD8F59"/>
    <w:rsid w:val="FFFF2BB1"/>
    <w:rsid w:val="FFFFB0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8"/>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9"/>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2"/>
    <w:unhideWhenUsed/>
    <w:qFormat/>
    <w:uiPriority w:val="9"/>
    <w:pPr>
      <w:keepNext/>
      <w:keepLines/>
      <w:spacing w:before="260" w:after="260" w:line="416" w:lineRule="auto"/>
      <w:outlineLvl w:val="2"/>
    </w:pPr>
    <w:rPr>
      <w:b/>
      <w:bCs/>
      <w:sz w:val="32"/>
      <w:szCs w:val="32"/>
    </w:rPr>
  </w:style>
  <w:style w:type="character" w:default="1" w:styleId="15">
    <w:name w:val="Default Paragraph Font"/>
    <w:unhideWhenUsed/>
    <w:qFormat/>
    <w:uiPriority w:val="1"/>
  </w:style>
  <w:style w:type="table" w:default="1" w:styleId="18">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link w:val="25"/>
    <w:qFormat/>
    <w:uiPriority w:val="99"/>
    <w:pPr>
      <w:spacing w:beforeLines="30"/>
    </w:pPr>
    <w:rPr>
      <w:rFonts w:ascii="仿宋_GB2312" w:eastAsia="仿宋_GB2312"/>
      <w:kern w:val="0"/>
      <w:sz w:val="30"/>
    </w:rPr>
  </w:style>
  <w:style w:type="paragraph" w:styleId="6">
    <w:name w:val="Body Text Indent"/>
    <w:basedOn w:val="1"/>
    <w:next w:val="7"/>
    <w:qFormat/>
    <w:uiPriority w:val="0"/>
    <w:pPr>
      <w:spacing w:after="120"/>
      <w:ind w:leftChars="200"/>
    </w:pPr>
    <w:rPr>
      <w:rFonts w:ascii="仿宋_GB2312"/>
      <w:szCs w:val="32"/>
    </w:rPr>
  </w:style>
  <w:style w:type="paragraph" w:styleId="7">
    <w:name w:val="Body Text First Indent 2"/>
    <w:basedOn w:val="6"/>
    <w:unhideWhenUsed/>
    <w:qFormat/>
    <w:uiPriority w:val="99"/>
    <w:pPr>
      <w:ind w:firstLine="420" w:firstLineChars="200"/>
    </w:pPr>
  </w:style>
  <w:style w:type="paragraph" w:styleId="8">
    <w:name w:val="toc 3"/>
    <w:basedOn w:val="1"/>
    <w:next w:val="1"/>
    <w:unhideWhenUsed/>
    <w:qFormat/>
    <w:uiPriority w:val="39"/>
    <w:pPr>
      <w:tabs>
        <w:tab w:val="right" w:leader="dot" w:pos="8296"/>
      </w:tabs>
      <w:ind w:left="840" w:leftChars="400"/>
    </w:pPr>
  </w:style>
  <w:style w:type="paragraph" w:styleId="9">
    <w:name w:val="Balloon Text"/>
    <w:basedOn w:val="1"/>
    <w:link w:val="31"/>
    <w:semiHidden/>
    <w:unhideWhenUsed/>
    <w:qFormat/>
    <w:uiPriority w:val="99"/>
    <w:rPr>
      <w:sz w:val="18"/>
      <w:szCs w:val="18"/>
    </w:rPr>
  </w:style>
  <w:style w:type="paragraph" w:styleId="10">
    <w:name w:val="footer"/>
    <w:basedOn w:val="1"/>
    <w:link w:val="23"/>
    <w:qFormat/>
    <w:uiPriority w:val="99"/>
    <w:pPr>
      <w:tabs>
        <w:tab w:val="center" w:pos="4153"/>
        <w:tab w:val="right" w:pos="8306"/>
      </w:tabs>
      <w:snapToGrid w:val="0"/>
      <w:jc w:val="left"/>
    </w:pPr>
    <w:rPr>
      <w:rFonts w:ascii="Calibri" w:hAnsi="Calibri"/>
      <w:kern w:val="0"/>
      <w:sz w:val="18"/>
      <w:szCs w:val="18"/>
    </w:rPr>
  </w:style>
  <w:style w:type="paragraph" w:styleId="11">
    <w:name w:val="header"/>
    <w:basedOn w:val="1"/>
    <w:link w:val="21"/>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3">
    <w:name w:val="footnote text"/>
    <w:basedOn w:val="1"/>
    <w:next w:val="7"/>
    <w:semiHidden/>
    <w:qFormat/>
    <w:uiPriority w:val="0"/>
    <w:pPr>
      <w:snapToGrid w:val="0"/>
      <w:jc w:val="left"/>
    </w:pPr>
    <w:rPr>
      <w:sz w:val="18"/>
      <w:szCs w:val="18"/>
    </w:rPr>
  </w:style>
  <w:style w:type="paragraph" w:styleId="14">
    <w:name w:val="toc 2"/>
    <w:basedOn w:val="1"/>
    <w:next w:val="1"/>
    <w:unhideWhenUsed/>
    <w:qFormat/>
    <w:uiPriority w:val="39"/>
    <w:pPr>
      <w:tabs>
        <w:tab w:val="right" w:leader="dot" w:pos="8296"/>
      </w:tabs>
      <w:ind w:left="420" w:leftChars="200"/>
    </w:pPr>
  </w:style>
  <w:style w:type="character" w:styleId="16">
    <w:name w:val="Strong"/>
    <w:basedOn w:val="15"/>
    <w:qFormat/>
    <w:uiPriority w:val="99"/>
    <w:rPr>
      <w:b/>
    </w:rPr>
  </w:style>
  <w:style w:type="character" w:styleId="17">
    <w:name w:val="Hyperlink"/>
    <w:basedOn w:val="15"/>
    <w:unhideWhenUsed/>
    <w:qFormat/>
    <w:uiPriority w:val="99"/>
    <w:rPr>
      <w:color w:val="0000FF" w:themeColor="hyperlink"/>
      <w:u w:val="single"/>
      <w14:textFill>
        <w14:solidFill>
          <w14:schemeClr w14:val="hlink"/>
        </w14:solidFill>
      </w14:textFill>
    </w:rPr>
  </w:style>
  <w:style w:type="paragraph" w:customStyle="1" w:styleId="19">
    <w:name w:val="标题 5（有编号）（绿盟科技）"/>
    <w:next w:val="1"/>
    <w:qFormat/>
    <w:uiPriority w:val="99"/>
    <w:pPr>
      <w:keepNext/>
      <w:keepLines/>
      <w:widowControl w:val="0"/>
      <w:spacing w:before="280" w:after="156" w:line="377" w:lineRule="auto"/>
      <w:jc w:val="left"/>
      <w:outlineLvl w:val="4"/>
    </w:pPr>
    <w:rPr>
      <w:rFonts w:ascii="Arial" w:hAnsi="Arial" w:eastAsia="黑体" w:cs="Times New Roman"/>
      <w:b/>
      <w:kern w:val="2"/>
      <w:sz w:val="24"/>
      <w:szCs w:val="28"/>
      <w:lang w:val="en-US" w:eastAsia="zh-CN" w:bidi="ar-SA"/>
    </w:rPr>
  </w:style>
  <w:style w:type="character" w:customStyle="1" w:styleId="20">
    <w:name w:val="Header Char"/>
    <w:basedOn w:val="15"/>
    <w:semiHidden/>
    <w:qFormat/>
    <w:uiPriority w:val="99"/>
    <w:rPr>
      <w:rFonts w:ascii="Times New Roman" w:hAnsi="Times New Roman"/>
      <w:sz w:val="18"/>
      <w:szCs w:val="18"/>
    </w:rPr>
  </w:style>
  <w:style w:type="character" w:customStyle="1" w:styleId="21">
    <w:name w:val="页眉 Char"/>
    <w:link w:val="11"/>
    <w:semiHidden/>
    <w:qFormat/>
    <w:locked/>
    <w:uiPriority w:val="99"/>
    <w:rPr>
      <w:sz w:val="18"/>
    </w:rPr>
  </w:style>
  <w:style w:type="character" w:customStyle="1" w:styleId="22">
    <w:name w:val="Footer Char"/>
    <w:basedOn w:val="15"/>
    <w:semiHidden/>
    <w:qFormat/>
    <w:uiPriority w:val="99"/>
    <w:rPr>
      <w:rFonts w:ascii="Times New Roman" w:hAnsi="Times New Roman"/>
      <w:sz w:val="18"/>
      <w:szCs w:val="18"/>
    </w:rPr>
  </w:style>
  <w:style w:type="character" w:customStyle="1" w:styleId="23">
    <w:name w:val="页脚 Char"/>
    <w:link w:val="10"/>
    <w:qFormat/>
    <w:locked/>
    <w:uiPriority w:val="99"/>
    <w:rPr>
      <w:sz w:val="18"/>
    </w:rPr>
  </w:style>
  <w:style w:type="character" w:customStyle="1" w:styleId="24">
    <w:name w:val="Body Text Char"/>
    <w:basedOn w:val="15"/>
    <w:semiHidden/>
    <w:qFormat/>
    <w:uiPriority w:val="99"/>
    <w:rPr>
      <w:rFonts w:ascii="Times New Roman" w:hAnsi="Times New Roman"/>
      <w:szCs w:val="24"/>
    </w:rPr>
  </w:style>
  <w:style w:type="character" w:customStyle="1" w:styleId="25">
    <w:name w:val="正文文本 Char"/>
    <w:link w:val="2"/>
    <w:qFormat/>
    <w:locked/>
    <w:uiPriority w:val="99"/>
    <w:rPr>
      <w:rFonts w:ascii="仿宋_GB2312" w:hAnsi="Times New Roman" w:eastAsia="仿宋_GB2312"/>
      <w:sz w:val="24"/>
    </w:rPr>
  </w:style>
  <w:style w:type="paragraph" w:customStyle="1" w:styleId="26">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7">
    <w:name w:val="List Paragraph"/>
    <w:basedOn w:val="1"/>
    <w:qFormat/>
    <w:uiPriority w:val="34"/>
    <w:pPr>
      <w:ind w:firstLine="420" w:firstLineChars="200"/>
    </w:pPr>
  </w:style>
  <w:style w:type="character" w:customStyle="1" w:styleId="28">
    <w:name w:val="标题 1 Char"/>
    <w:basedOn w:val="15"/>
    <w:link w:val="3"/>
    <w:qFormat/>
    <w:uiPriority w:val="9"/>
    <w:rPr>
      <w:rFonts w:ascii="Times New Roman" w:hAnsi="Times New Roman"/>
      <w:b/>
      <w:bCs/>
      <w:kern w:val="44"/>
      <w:sz w:val="44"/>
      <w:szCs w:val="44"/>
    </w:rPr>
  </w:style>
  <w:style w:type="character" w:customStyle="1" w:styleId="29">
    <w:name w:val="标题 2 Char"/>
    <w:basedOn w:val="15"/>
    <w:link w:val="4"/>
    <w:qFormat/>
    <w:uiPriority w:val="9"/>
    <w:rPr>
      <w:rFonts w:asciiTheme="majorHAnsi" w:hAnsiTheme="majorHAnsi" w:eastAsiaTheme="majorEastAsia" w:cstheme="majorBidi"/>
      <w:b/>
      <w:bCs/>
      <w:kern w:val="2"/>
      <w:sz w:val="32"/>
      <w:szCs w:val="32"/>
    </w:rPr>
  </w:style>
  <w:style w:type="paragraph" w:customStyle="1" w:styleId="30">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1">
    <w:name w:val="批注框文本 Char"/>
    <w:basedOn w:val="15"/>
    <w:link w:val="9"/>
    <w:semiHidden/>
    <w:qFormat/>
    <w:uiPriority w:val="99"/>
    <w:rPr>
      <w:rFonts w:ascii="Times New Roman" w:hAnsi="Times New Roman"/>
      <w:kern w:val="2"/>
      <w:sz w:val="18"/>
      <w:szCs w:val="18"/>
    </w:rPr>
  </w:style>
  <w:style w:type="character" w:customStyle="1" w:styleId="32">
    <w:name w:val="标题 3 Char"/>
    <w:basedOn w:val="15"/>
    <w:link w:val="5"/>
    <w:qFormat/>
    <w:uiPriority w:val="9"/>
    <w:rPr>
      <w:rFonts w:ascii="Times New Roman" w:hAnsi="Times New Roman"/>
      <w:b/>
      <w:bCs/>
      <w:kern w:val="2"/>
      <w:sz w:val="32"/>
      <w:szCs w:val="32"/>
    </w:rPr>
  </w:style>
  <w:style w:type="paragraph" w:customStyle="1" w:styleId="33">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4">
    <w:name w:val="四号正文"/>
    <w:basedOn w:val="1"/>
    <w:qFormat/>
    <w:uiPriority w:val="0"/>
    <w:pPr>
      <w:spacing w:line="360" w:lineRule="auto"/>
    </w:pPr>
    <w:rPr>
      <w:rFonts w:ascii="??" w:hAnsi="??" w:eastAsia="宋体"/>
      <w:color w:val="000000"/>
      <w:kern w:val="0"/>
      <w:sz w:val="28"/>
      <w:szCs w:val="21"/>
      <w:lang w:val="zh-CN" w:eastAsia="zh-CN"/>
    </w:rPr>
  </w:style>
  <w:style w:type="paragraph" w:customStyle="1" w:styleId="35">
    <w:name w:val="〖B02〗二级标题"/>
    <w:next w:val="1"/>
    <w:unhideWhenUsed/>
    <w:qFormat/>
    <w:uiPriority w:val="0"/>
    <w:pPr>
      <w:widowControl w:val="0"/>
      <w:numPr>
        <w:ilvl w:val="0"/>
        <w:numId w:val="1"/>
      </w:numPr>
      <w:spacing w:line="600" w:lineRule="exact"/>
      <w:ind w:firstLine="635"/>
      <w:outlineLvl w:val="1"/>
    </w:pPr>
    <w:rPr>
      <w:rFonts w:hint="eastAsia" w:ascii="楷体_GB2312" w:hAnsi="Calibri" w:eastAsia="楷体_GB2312" w:cs="Times New Roman"/>
      <w:kern w:val="2"/>
      <w:sz w:val="32"/>
      <w:lang w:val="zh-CN" w:eastAsia="zh-CN"/>
    </w:rPr>
  </w:style>
</w:styles>
</file>

<file path=word/_rels/document.xml.rels><?xml version="1.0" encoding="UTF-8" standalone="yes"?>
<Relationships xmlns="http://schemas.openxmlformats.org/package/2006/relationships"><Relationship Id="rId9" Type="http://schemas.openxmlformats.org/officeDocument/2006/relationships/chart" Target="charts/chart2.xml"/><Relationship Id="rId8" Type="http://schemas.openxmlformats.org/officeDocument/2006/relationships/chart" Target="charts/chart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chart" Target="charts/chart7.xml"/><Relationship Id="rId13" Type="http://schemas.openxmlformats.org/officeDocument/2006/relationships/chart" Target="charts/chart6.xml"/><Relationship Id="rId12" Type="http://schemas.openxmlformats.org/officeDocument/2006/relationships/chart" Target="charts/chart5.xml"/><Relationship Id="rId11" Type="http://schemas.openxmlformats.org/officeDocument/2006/relationships/chart" Target="charts/chart4.xml"/><Relationship Id="rId10" Type="http://schemas.openxmlformats.org/officeDocument/2006/relationships/chart" Target="charts/chart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2.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3.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6.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7.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cap="all" spc="50" baseline="0">
                <a:solidFill>
                  <a:schemeClr val="tx1">
                    <a:lumMod val="65000"/>
                    <a:lumOff val="35000"/>
                  </a:schemeClr>
                </a:solidFill>
                <a:latin typeface="+mn-lt"/>
                <a:ea typeface="+mn-ea"/>
                <a:cs typeface="+mn-cs"/>
              </a:defRPr>
            </a:pPr>
            <a:r>
              <a:t>2024年收入、支出决算总计变动情况图</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收入</c:v>
                </c:pt>
              </c:strCache>
            </c:strRef>
          </c:tx>
          <c:spPr>
            <a:gradFill flip="none" rotWithShape="1">
              <a:gsLst>
                <a:gs pos="0">
                  <a:schemeClr val="accent1"/>
                </a:gs>
                <a:gs pos="75000">
                  <a:schemeClr val="accent1">
                    <a:lumMod val="60000"/>
                    <a:lumOff val="40000"/>
                  </a:schemeClr>
                </a:gs>
                <a:gs pos="51000">
                  <a:schemeClr val="accent1">
                    <a:alpha val="75000"/>
                  </a:schemeClr>
                </a:gs>
                <a:gs pos="100000">
                  <a:schemeClr val="accent1">
                    <a:lumMod val="20000"/>
                    <a:lumOff val="80000"/>
                    <a:alpha val="15000"/>
                  </a:schemeClr>
                </a:gs>
              </a:gsLst>
              <a:lin ang="5400000" scaled="0"/>
            </a:gra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Sheet1!$A$2:$A$5</c:f>
              <c:strCache>
                <c:ptCount val="4"/>
                <c:pt idx="0">
                  <c:v>2023年收入</c:v>
                </c:pt>
                <c:pt idx="1">
                  <c:v>2023年支出</c:v>
                </c:pt>
                <c:pt idx="2">
                  <c:v>2024年收入</c:v>
                </c:pt>
                <c:pt idx="3">
                  <c:v>2024年支出</c:v>
                </c:pt>
              </c:strCache>
            </c:strRef>
          </c:cat>
          <c:val>
            <c:numRef>
              <c:f>Sheet1!$B$2:$B$5</c:f>
              <c:numCache>
                <c:formatCode>General</c:formatCode>
                <c:ptCount val="4"/>
                <c:pt idx="0">
                  <c:v>333.02</c:v>
                </c:pt>
                <c:pt idx="2">
                  <c:v>266.18</c:v>
                </c:pt>
              </c:numCache>
            </c:numRef>
          </c:val>
        </c:ser>
        <c:ser>
          <c:idx val="1"/>
          <c:order val="1"/>
          <c:tx>
            <c:strRef>
              <c:f>Sheet1!$C$1</c:f>
              <c:strCache>
                <c:ptCount val="1"/>
                <c:pt idx="0">
                  <c:v>支出</c:v>
                </c:pt>
              </c:strCache>
            </c:strRef>
          </c:tx>
          <c:spPr>
            <a:gradFill flip="none" rotWithShape="1">
              <a:gsLst>
                <a:gs pos="0">
                  <a:schemeClr val="accent2"/>
                </a:gs>
                <a:gs pos="75000">
                  <a:schemeClr val="accent2">
                    <a:lumMod val="60000"/>
                    <a:lumOff val="40000"/>
                  </a:schemeClr>
                </a:gs>
                <a:gs pos="51000">
                  <a:schemeClr val="accent2">
                    <a:alpha val="75000"/>
                  </a:schemeClr>
                </a:gs>
                <a:gs pos="100000">
                  <a:schemeClr val="accent2">
                    <a:lumMod val="20000"/>
                    <a:lumOff val="80000"/>
                    <a:alpha val="15000"/>
                  </a:schemeClr>
                </a:gs>
              </a:gsLst>
              <a:lin ang="5400000" scaled="0"/>
            </a:gra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Sheet1!$A$2:$A$5</c:f>
              <c:strCache>
                <c:ptCount val="4"/>
                <c:pt idx="0">
                  <c:v>2023年收入</c:v>
                </c:pt>
                <c:pt idx="1">
                  <c:v>2023年支出</c:v>
                </c:pt>
                <c:pt idx="2">
                  <c:v>2024年收入</c:v>
                </c:pt>
                <c:pt idx="3">
                  <c:v>2024年支出</c:v>
                </c:pt>
              </c:strCache>
            </c:strRef>
          </c:cat>
          <c:val>
            <c:numRef>
              <c:f>Sheet1!$C$2:$C$5</c:f>
              <c:numCache>
                <c:formatCode>General</c:formatCode>
                <c:ptCount val="4"/>
                <c:pt idx="1">
                  <c:v>333.02</c:v>
                </c:pt>
                <c:pt idx="3">
                  <c:v>266.18</c:v>
                </c:pt>
              </c:numCache>
            </c:numRef>
          </c:val>
        </c:ser>
        <c:ser>
          <c:idx val="2"/>
          <c:order val="2"/>
          <c:tx>
            <c:strRef>
              <c:f>Sheet1!$D$1</c:f>
              <c:strCache>
                <c:ptCount val="1"/>
                <c:pt idx="0">
                  <c:v>（单位万元）</c:v>
                </c:pt>
              </c:strCache>
            </c:strRef>
          </c:tx>
          <c:spPr>
            <a:solidFill>
              <a:schemeClr val="bg1"/>
            </a:solidFill>
            <a:ln>
              <a:noFill/>
            </a:ln>
            <a:effectLst/>
          </c:spPr>
          <c:invertIfNegative val="0"/>
          <c:dLbls>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Sheet1!$A$2:$A$5</c:f>
              <c:strCache>
                <c:ptCount val="4"/>
                <c:pt idx="0">
                  <c:v>2023年收入</c:v>
                </c:pt>
                <c:pt idx="1">
                  <c:v>2023年支出</c:v>
                </c:pt>
                <c:pt idx="2">
                  <c:v>2024年收入</c:v>
                </c:pt>
                <c:pt idx="3">
                  <c:v>2024年支出</c:v>
                </c:pt>
              </c:strCache>
            </c:strRef>
          </c:cat>
          <c:val>
            <c:numRef>
              <c:f>Sheet1!$D$2:$D$5</c:f>
              <c:numCache>
                <c:formatCode>General</c:formatCode>
                <c:ptCount val="4"/>
              </c:numCache>
            </c:numRef>
          </c:val>
        </c:ser>
        <c:dLbls>
          <c:showLegendKey val="0"/>
          <c:showVal val="1"/>
          <c:showCatName val="0"/>
          <c:showSerName val="0"/>
          <c:showPercent val="0"/>
          <c:showBubbleSize val="0"/>
        </c:dLbls>
        <c:gapWidth val="355"/>
        <c:overlap val="-70"/>
        <c:axId val="798427051"/>
        <c:axId val="692941879"/>
      </c:barChart>
      <c:catAx>
        <c:axId val="798427051"/>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92941879"/>
        <c:crosses val="autoZero"/>
        <c:auto val="1"/>
        <c:lblAlgn val="ctr"/>
        <c:lblOffset val="100"/>
        <c:noMultiLvlLbl val="0"/>
      </c:catAx>
      <c:valAx>
        <c:axId val="692941879"/>
        <c:scaling>
          <c:orientation val="minMax"/>
        </c:scaling>
        <c:delete val="0"/>
        <c:axPos val="l"/>
        <c:majorGridlines>
          <c:spPr>
            <a:ln w="9525" cap="flat" cmpd="sng" algn="ctr">
              <a:gradFill>
                <a:gsLst>
                  <a:gs pos="100000">
                    <a:schemeClr val="tx1">
                      <a:lumMod val="5000"/>
                      <a:lumOff val="95000"/>
                    </a:schemeClr>
                  </a:gs>
                  <a:gs pos="0">
                    <a:schemeClr val="tx1">
                      <a:lumMod val="25000"/>
                      <a:lumOff val="75000"/>
                    </a:schemeClr>
                  </a:gs>
                </a:gsLst>
                <a:lin ang="5400000" scaled="0"/>
              </a:gra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98427051"/>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65000"/>
                    <a:lumOff val="35000"/>
                  </a:schemeClr>
                </a:solidFill>
                <a:latin typeface="+mn-lt"/>
                <a:ea typeface="+mn-ea"/>
                <a:cs typeface="+mn-cs"/>
              </a:defRPr>
            </a:pPr>
            <a:r>
              <a:t>2024年收入决算结构图</a:t>
            </a:r>
          </a:p>
        </c:rich>
      </c:tx>
      <c:layout/>
      <c:overlay val="0"/>
      <c:spPr>
        <a:noFill/>
        <a:ln>
          <a:noFill/>
        </a:ln>
        <a:effectLst/>
      </c:spPr>
    </c:title>
    <c:autoTitleDeleted val="0"/>
    <c:plotArea>
      <c:layout/>
      <c:pieChart>
        <c:varyColors val="1"/>
        <c:ser>
          <c:idx val="0"/>
          <c:order val="0"/>
          <c:tx>
            <c:strRef>
              <c:f>Sheet1!$B$1</c:f>
              <c:strCache>
                <c:ptCount val="1"/>
                <c:pt idx="0">
                  <c:v>收入</c:v>
                </c:pt>
              </c:strCache>
            </c:strRef>
          </c:tx>
          <c:spPr/>
          <c:explosion val="0"/>
          <c:dPt>
            <c:idx val="0"/>
            <c:bubble3D val="0"/>
            <c:spPr>
              <a:solidFill>
                <a:schemeClr val="accent1"/>
              </a:solidFill>
              <a:ln>
                <a:noFill/>
              </a:ln>
              <a:effectLst>
                <a:outerShdw blurRad="317500" algn="ctr" rotWithShape="0">
                  <a:prstClr val="black">
                    <a:alpha val="25000"/>
                  </a:prstClr>
                </a:outerShdw>
              </a:effectLst>
            </c:spPr>
          </c:dPt>
          <c:dPt>
            <c:idx val="1"/>
            <c:bubble3D val="0"/>
            <c:spPr>
              <a:solidFill>
                <a:schemeClr val="accent2"/>
              </a:solidFill>
              <a:ln>
                <a:noFill/>
              </a:ln>
              <a:effectLst>
                <a:outerShdw blurRad="317500" algn="ctr" rotWithShape="0">
                  <a:prstClr val="black">
                    <a:alpha val="25000"/>
                  </a:prstClr>
                </a:outerShdw>
              </a:effectLst>
            </c:spPr>
          </c:dPt>
          <c:dPt>
            <c:idx val="2"/>
            <c:bubble3D val="0"/>
            <c:spPr>
              <a:solidFill>
                <a:schemeClr val="accent3"/>
              </a:solidFill>
              <a:ln>
                <a:noFill/>
              </a:ln>
              <a:effectLst>
                <a:outerShdw blurRad="317500" algn="ctr" rotWithShape="0">
                  <a:prstClr val="black">
                    <a:alpha val="25000"/>
                  </a:prstClr>
                </a:outerShdw>
              </a:effectLst>
            </c:spPr>
          </c:dPt>
          <c:dPt>
            <c:idx val="3"/>
            <c:bubble3D val="0"/>
            <c:spPr>
              <a:solidFill>
                <a:schemeClr val="accent4"/>
              </a:solidFill>
              <a:ln>
                <a:noFill/>
              </a:ln>
              <a:effectLst>
                <a:outerShdw blurRad="317500" algn="ctr" rotWithShape="0">
                  <a:prstClr val="black">
                    <a:alpha val="25000"/>
                  </a:prstClr>
                </a:outerShdw>
              </a:effectLst>
            </c:spPr>
          </c:dPt>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0"/>
            <c:showCatName val="1"/>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Sheet1!$A$2:$A$5</c:f>
              <c:strCache>
                <c:ptCount val="4"/>
                <c:pt idx="0">
                  <c:v>一般公共预算财政拨款收入</c:v>
                </c:pt>
                <c:pt idx="1">
                  <c:v>政府性基金预算财政拨款收入</c:v>
                </c:pt>
              </c:strCache>
            </c:strRef>
          </c:cat>
          <c:val>
            <c:numRef>
              <c:f>Sheet1!$B$2:$B$5</c:f>
              <c:numCache>
                <c:formatCode>General</c:formatCode>
                <c:ptCount val="4"/>
                <c:pt idx="0">
                  <c:v>258.87</c:v>
                </c:pt>
                <c:pt idx="1">
                  <c:v>7.28</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egendEntry>
        <c:idx val="2"/>
        <c:delete val="1"/>
      </c:legendEntry>
      <c:legendEntry>
        <c:idx val="3"/>
        <c:delete val="1"/>
      </c:legendEntry>
      <c:layout/>
      <c:overlay val="0"/>
      <c:spPr>
        <a:solidFill>
          <a:schemeClr val="lt1">
            <a:alpha val="78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65000"/>
                    <a:lumOff val="35000"/>
                  </a:schemeClr>
                </a:solidFill>
                <a:latin typeface="+mn-lt"/>
                <a:ea typeface="+mn-ea"/>
                <a:cs typeface="+mn-cs"/>
              </a:defRPr>
            </a:pPr>
            <a:r>
              <a:t>2024年支出决算结构图</a:t>
            </a:r>
          </a:p>
        </c:rich>
      </c:tx>
      <c:layout/>
      <c:overlay val="0"/>
      <c:spPr>
        <a:noFill/>
        <a:ln>
          <a:noFill/>
        </a:ln>
        <a:effectLst/>
      </c:spPr>
    </c:title>
    <c:autoTitleDeleted val="0"/>
    <c:plotArea>
      <c:layout/>
      <c:pieChart>
        <c:varyColors val="1"/>
        <c:ser>
          <c:idx val="0"/>
          <c:order val="0"/>
          <c:tx>
            <c:strRef>
              <c:f>Sheet1!$B$1</c:f>
              <c:strCache>
                <c:ptCount val="1"/>
                <c:pt idx="0">
                  <c:v>支出</c:v>
                </c:pt>
              </c:strCache>
            </c:strRef>
          </c:tx>
          <c:spPr/>
          <c:explosion val="0"/>
          <c:dPt>
            <c:idx val="0"/>
            <c:bubble3D val="0"/>
            <c:spPr>
              <a:solidFill>
                <a:schemeClr val="accent1"/>
              </a:solidFill>
              <a:ln>
                <a:noFill/>
              </a:ln>
              <a:effectLst>
                <a:outerShdw blurRad="317500" algn="ctr" rotWithShape="0">
                  <a:prstClr val="black">
                    <a:alpha val="25000"/>
                  </a:prstClr>
                </a:outerShdw>
              </a:effectLst>
            </c:spPr>
          </c:dPt>
          <c:dPt>
            <c:idx val="1"/>
            <c:bubble3D val="0"/>
            <c:spPr>
              <a:solidFill>
                <a:schemeClr val="accent2"/>
              </a:solidFill>
              <a:ln>
                <a:noFill/>
              </a:ln>
              <a:effectLst>
                <a:outerShdw blurRad="317500" algn="ctr" rotWithShape="0">
                  <a:prstClr val="black">
                    <a:alpha val="25000"/>
                  </a:prstClr>
                </a:outerShdw>
              </a:effectLst>
            </c:spPr>
          </c:dPt>
          <c:dPt>
            <c:idx val="2"/>
            <c:bubble3D val="0"/>
            <c:spPr>
              <a:solidFill>
                <a:schemeClr val="accent3"/>
              </a:solidFill>
              <a:ln>
                <a:noFill/>
              </a:ln>
              <a:effectLst>
                <a:outerShdw blurRad="317500" algn="ctr" rotWithShape="0">
                  <a:prstClr val="black">
                    <a:alpha val="25000"/>
                  </a:prstClr>
                </a:outerShdw>
              </a:effectLst>
            </c:spPr>
          </c:dPt>
          <c:dPt>
            <c:idx val="3"/>
            <c:bubble3D val="0"/>
            <c:spPr>
              <a:solidFill>
                <a:schemeClr val="accent4"/>
              </a:solidFill>
              <a:ln>
                <a:noFill/>
              </a:ln>
              <a:effectLst>
                <a:outerShdw blurRad="317500" algn="ctr" rotWithShape="0">
                  <a:prstClr val="black">
                    <a:alpha val="25000"/>
                  </a:prstClr>
                </a:outerShdw>
              </a:effectLst>
            </c:spPr>
          </c:dPt>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0"/>
            <c:showCatName val="1"/>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Sheet1!$A$2:$A$5</c:f>
              <c:strCache>
                <c:ptCount val="4"/>
                <c:pt idx="0">
                  <c:v>基本支出</c:v>
                </c:pt>
                <c:pt idx="1">
                  <c:v>项目支出</c:v>
                </c:pt>
              </c:strCache>
            </c:strRef>
          </c:cat>
          <c:val>
            <c:numRef>
              <c:f>Sheet1!$B$2:$B$5</c:f>
              <c:numCache>
                <c:formatCode>General</c:formatCode>
                <c:ptCount val="4"/>
                <c:pt idx="0">
                  <c:v>211.43</c:v>
                </c:pt>
                <c:pt idx="1">
                  <c:v>54.75</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egendEntry>
        <c:idx val="2"/>
        <c:delete val="1"/>
      </c:legendEntry>
      <c:legendEntry>
        <c:idx val="3"/>
        <c:delete val="1"/>
      </c:legendEntry>
      <c:layout/>
      <c:overlay val="0"/>
      <c:spPr>
        <a:solidFill>
          <a:schemeClr val="lt1">
            <a:alpha val="78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cap="all" spc="50" baseline="0">
                <a:solidFill>
                  <a:schemeClr val="tx1">
                    <a:lumMod val="65000"/>
                    <a:lumOff val="35000"/>
                  </a:schemeClr>
                </a:solidFill>
                <a:latin typeface="+mn-lt"/>
                <a:ea typeface="+mn-ea"/>
                <a:cs typeface="+mn-cs"/>
              </a:defRPr>
            </a:pPr>
            <a:r>
              <a:t>2024年财政拨款收、支决算总计变动情况</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收入</c:v>
                </c:pt>
              </c:strCache>
            </c:strRef>
          </c:tx>
          <c:spPr>
            <a:gradFill flip="none" rotWithShape="1">
              <a:gsLst>
                <a:gs pos="0">
                  <a:schemeClr val="accent1"/>
                </a:gs>
                <a:gs pos="75000">
                  <a:schemeClr val="accent1">
                    <a:lumMod val="60000"/>
                    <a:lumOff val="40000"/>
                  </a:schemeClr>
                </a:gs>
                <a:gs pos="51000">
                  <a:schemeClr val="accent1">
                    <a:alpha val="75000"/>
                  </a:schemeClr>
                </a:gs>
                <a:gs pos="100000">
                  <a:schemeClr val="accent1">
                    <a:lumMod val="20000"/>
                    <a:lumOff val="80000"/>
                    <a:alpha val="15000"/>
                  </a:schemeClr>
                </a:gs>
              </a:gsLst>
              <a:lin ang="5400000" scaled="0"/>
            </a:gra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Sheet1!$A$2:$A$5</c:f>
              <c:strCache>
                <c:ptCount val="4"/>
                <c:pt idx="0">
                  <c:v>2023年收入</c:v>
                </c:pt>
                <c:pt idx="1">
                  <c:v>2023年支出</c:v>
                </c:pt>
                <c:pt idx="2">
                  <c:v>2024年收入</c:v>
                </c:pt>
                <c:pt idx="3">
                  <c:v>2024年支出</c:v>
                </c:pt>
              </c:strCache>
            </c:strRef>
          </c:cat>
          <c:val>
            <c:numRef>
              <c:f>Sheet1!$B$2:$B$5</c:f>
              <c:numCache>
                <c:formatCode>General</c:formatCode>
                <c:ptCount val="4"/>
                <c:pt idx="0">
                  <c:v>333.02</c:v>
                </c:pt>
                <c:pt idx="2">
                  <c:v>266.18</c:v>
                </c:pt>
              </c:numCache>
            </c:numRef>
          </c:val>
        </c:ser>
        <c:ser>
          <c:idx val="1"/>
          <c:order val="1"/>
          <c:tx>
            <c:strRef>
              <c:f>Sheet1!$C$1</c:f>
              <c:strCache>
                <c:ptCount val="1"/>
                <c:pt idx="0">
                  <c:v>支出</c:v>
                </c:pt>
              </c:strCache>
            </c:strRef>
          </c:tx>
          <c:spPr>
            <a:gradFill flip="none" rotWithShape="1">
              <a:gsLst>
                <a:gs pos="0">
                  <a:schemeClr val="accent2"/>
                </a:gs>
                <a:gs pos="75000">
                  <a:schemeClr val="accent2">
                    <a:lumMod val="60000"/>
                    <a:lumOff val="40000"/>
                  </a:schemeClr>
                </a:gs>
                <a:gs pos="51000">
                  <a:schemeClr val="accent2">
                    <a:alpha val="75000"/>
                  </a:schemeClr>
                </a:gs>
                <a:gs pos="100000">
                  <a:schemeClr val="accent2">
                    <a:lumMod val="20000"/>
                    <a:lumOff val="80000"/>
                    <a:alpha val="15000"/>
                  </a:schemeClr>
                </a:gs>
              </a:gsLst>
              <a:lin ang="5400000" scaled="0"/>
            </a:gra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Sheet1!$A$2:$A$5</c:f>
              <c:strCache>
                <c:ptCount val="4"/>
                <c:pt idx="0">
                  <c:v>2023年收入</c:v>
                </c:pt>
                <c:pt idx="1">
                  <c:v>2023年支出</c:v>
                </c:pt>
                <c:pt idx="2">
                  <c:v>2024年收入</c:v>
                </c:pt>
                <c:pt idx="3">
                  <c:v>2024年支出</c:v>
                </c:pt>
              </c:strCache>
            </c:strRef>
          </c:cat>
          <c:val>
            <c:numRef>
              <c:f>Sheet1!$C$2:$C$5</c:f>
              <c:numCache>
                <c:formatCode>General</c:formatCode>
                <c:ptCount val="4"/>
                <c:pt idx="1">
                  <c:v>333.02</c:v>
                </c:pt>
                <c:pt idx="3">
                  <c:v>266.18</c:v>
                </c:pt>
              </c:numCache>
            </c:numRef>
          </c:val>
        </c:ser>
        <c:ser>
          <c:idx val="2"/>
          <c:order val="2"/>
          <c:tx>
            <c:strRef>
              <c:f>Sheet1!$D$1</c:f>
              <c:strCache>
                <c:ptCount val="1"/>
                <c:pt idx="0">
                  <c:v>（单位万元）</c:v>
                </c:pt>
              </c:strCache>
            </c:strRef>
          </c:tx>
          <c:spPr>
            <a:solidFill>
              <a:schemeClr val="bg1"/>
            </a:solidFill>
            <a:ln>
              <a:noFill/>
            </a:ln>
            <a:effectLst/>
          </c:spPr>
          <c:invertIfNegative val="0"/>
          <c:dLbls>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Sheet1!$A$2:$A$5</c:f>
              <c:strCache>
                <c:ptCount val="4"/>
                <c:pt idx="0">
                  <c:v>2023年收入</c:v>
                </c:pt>
                <c:pt idx="1">
                  <c:v>2023年支出</c:v>
                </c:pt>
                <c:pt idx="2">
                  <c:v>2024年收入</c:v>
                </c:pt>
                <c:pt idx="3">
                  <c:v>2024年支出</c:v>
                </c:pt>
              </c:strCache>
            </c:strRef>
          </c:cat>
          <c:val>
            <c:numRef>
              <c:f>Sheet1!$D$2:$D$5</c:f>
              <c:numCache>
                <c:formatCode>General</c:formatCode>
                <c:ptCount val="4"/>
              </c:numCache>
            </c:numRef>
          </c:val>
        </c:ser>
        <c:dLbls>
          <c:showLegendKey val="0"/>
          <c:showVal val="1"/>
          <c:showCatName val="0"/>
          <c:showSerName val="0"/>
          <c:showPercent val="0"/>
          <c:showBubbleSize val="0"/>
        </c:dLbls>
        <c:gapWidth val="355"/>
        <c:overlap val="-70"/>
        <c:axId val="798427051"/>
        <c:axId val="692941879"/>
      </c:barChart>
      <c:catAx>
        <c:axId val="798427051"/>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92941879"/>
        <c:crosses val="autoZero"/>
        <c:auto val="1"/>
        <c:lblAlgn val="ctr"/>
        <c:lblOffset val="100"/>
        <c:noMultiLvlLbl val="0"/>
      </c:catAx>
      <c:valAx>
        <c:axId val="692941879"/>
        <c:scaling>
          <c:orientation val="minMax"/>
        </c:scaling>
        <c:delete val="0"/>
        <c:axPos val="l"/>
        <c:majorGridlines>
          <c:spPr>
            <a:ln w="9525" cap="flat" cmpd="sng" algn="ctr">
              <a:gradFill>
                <a:gsLst>
                  <a:gs pos="100000">
                    <a:schemeClr val="tx1">
                      <a:lumMod val="5000"/>
                      <a:lumOff val="95000"/>
                    </a:schemeClr>
                  </a:gs>
                  <a:gs pos="0">
                    <a:schemeClr val="tx1">
                      <a:lumMod val="25000"/>
                      <a:lumOff val="75000"/>
                    </a:schemeClr>
                  </a:gs>
                </a:gsLst>
                <a:lin ang="5400000" scaled="0"/>
              </a:gra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98427051"/>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cap="all" spc="50" baseline="0">
                <a:solidFill>
                  <a:schemeClr val="tx1">
                    <a:lumMod val="65000"/>
                    <a:lumOff val="35000"/>
                  </a:schemeClr>
                </a:solidFill>
                <a:latin typeface="+mn-lt"/>
                <a:ea typeface="+mn-ea"/>
                <a:cs typeface="+mn-cs"/>
              </a:defRPr>
            </a:pPr>
            <a:r>
              <a:t>2024年一般公共预算财政拨款支出决算变动情况</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2023年</c:v>
                </c:pt>
              </c:strCache>
            </c:strRef>
          </c:tx>
          <c:spPr>
            <a:gradFill flip="none" rotWithShape="1">
              <a:gsLst>
                <a:gs pos="0">
                  <a:schemeClr val="accent1"/>
                </a:gs>
                <a:gs pos="75000">
                  <a:schemeClr val="accent1">
                    <a:lumMod val="60000"/>
                    <a:lumOff val="40000"/>
                  </a:schemeClr>
                </a:gs>
                <a:gs pos="51000">
                  <a:schemeClr val="accent1">
                    <a:alpha val="75000"/>
                  </a:schemeClr>
                </a:gs>
                <a:gs pos="100000">
                  <a:schemeClr val="accent1">
                    <a:lumMod val="20000"/>
                    <a:lumOff val="80000"/>
                    <a:alpha val="15000"/>
                  </a:schemeClr>
                </a:gs>
              </a:gsLst>
              <a:lin ang="5400000" scaled="0"/>
            </a:gra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Sheet1!$A$2:$A$5</c:f>
              <c:strCache>
                <c:ptCount val="4"/>
                <c:pt idx="1">
                  <c:v>2023年支出</c:v>
                </c:pt>
                <c:pt idx="2">
                  <c:v>2024年支出</c:v>
                </c:pt>
              </c:strCache>
            </c:strRef>
          </c:cat>
          <c:val>
            <c:numRef>
              <c:f>Sheet1!$B$2:$B$5</c:f>
              <c:numCache>
                <c:formatCode>General</c:formatCode>
                <c:ptCount val="4"/>
                <c:pt idx="1">
                  <c:v>333</c:v>
                </c:pt>
              </c:numCache>
            </c:numRef>
          </c:val>
        </c:ser>
        <c:ser>
          <c:idx val="1"/>
          <c:order val="1"/>
          <c:tx>
            <c:strRef>
              <c:f>Sheet1!$C$1</c:f>
              <c:strCache>
                <c:ptCount val="1"/>
                <c:pt idx="0">
                  <c:v>2024年</c:v>
                </c:pt>
              </c:strCache>
            </c:strRef>
          </c:tx>
          <c:spPr>
            <a:gradFill flip="none" rotWithShape="1">
              <a:gsLst>
                <a:gs pos="0">
                  <a:schemeClr val="accent2"/>
                </a:gs>
                <a:gs pos="75000">
                  <a:schemeClr val="accent2">
                    <a:lumMod val="60000"/>
                    <a:lumOff val="40000"/>
                  </a:schemeClr>
                </a:gs>
                <a:gs pos="51000">
                  <a:schemeClr val="accent2">
                    <a:alpha val="75000"/>
                  </a:schemeClr>
                </a:gs>
                <a:gs pos="100000">
                  <a:schemeClr val="accent2">
                    <a:lumMod val="20000"/>
                    <a:lumOff val="80000"/>
                    <a:alpha val="15000"/>
                  </a:schemeClr>
                </a:gs>
              </a:gsLst>
              <a:lin ang="5400000" scaled="0"/>
            </a:gra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Sheet1!$A$2:$A$5</c:f>
              <c:strCache>
                <c:ptCount val="4"/>
                <c:pt idx="1">
                  <c:v>2023年支出</c:v>
                </c:pt>
                <c:pt idx="2">
                  <c:v>2024年支出</c:v>
                </c:pt>
              </c:strCache>
            </c:strRef>
          </c:cat>
          <c:val>
            <c:numRef>
              <c:f>Sheet1!$C$2:$C$5</c:f>
              <c:numCache>
                <c:formatCode>General</c:formatCode>
                <c:ptCount val="4"/>
                <c:pt idx="2">
                  <c:v>258.87</c:v>
                </c:pt>
              </c:numCache>
            </c:numRef>
          </c:val>
        </c:ser>
        <c:ser>
          <c:idx val="2"/>
          <c:order val="2"/>
          <c:tx>
            <c:strRef>
              <c:f>Sheet1!$D$1</c:f>
              <c:strCache>
                <c:ptCount val="1"/>
                <c:pt idx="0">
                  <c:v>（单位万元）</c:v>
                </c:pt>
              </c:strCache>
            </c:strRef>
          </c:tx>
          <c:spPr>
            <a:solidFill>
              <a:schemeClr val="bg1"/>
            </a:solidFill>
            <a:ln>
              <a:noFill/>
            </a:ln>
            <a:effectLst/>
          </c:spPr>
          <c:invertIfNegative val="0"/>
          <c:dLbls>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Sheet1!$A$2:$A$5</c:f>
              <c:strCache>
                <c:ptCount val="4"/>
                <c:pt idx="1">
                  <c:v>2023年支出</c:v>
                </c:pt>
                <c:pt idx="2">
                  <c:v>2024年支出</c:v>
                </c:pt>
              </c:strCache>
            </c:strRef>
          </c:cat>
          <c:val>
            <c:numRef>
              <c:f>Sheet1!$D$2:$D$5</c:f>
              <c:numCache>
                <c:formatCode>General</c:formatCode>
                <c:ptCount val="4"/>
              </c:numCache>
            </c:numRef>
          </c:val>
        </c:ser>
        <c:dLbls>
          <c:showLegendKey val="0"/>
          <c:showVal val="1"/>
          <c:showCatName val="0"/>
          <c:showSerName val="0"/>
          <c:showPercent val="0"/>
          <c:showBubbleSize val="0"/>
        </c:dLbls>
        <c:gapWidth val="355"/>
        <c:overlap val="-70"/>
        <c:axId val="798427051"/>
        <c:axId val="692941879"/>
      </c:barChart>
      <c:catAx>
        <c:axId val="798427051"/>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92941879"/>
        <c:crosses val="autoZero"/>
        <c:auto val="1"/>
        <c:lblAlgn val="ctr"/>
        <c:lblOffset val="100"/>
        <c:noMultiLvlLbl val="0"/>
      </c:catAx>
      <c:valAx>
        <c:axId val="692941879"/>
        <c:scaling>
          <c:orientation val="minMax"/>
        </c:scaling>
        <c:delete val="0"/>
        <c:axPos val="l"/>
        <c:majorGridlines>
          <c:spPr>
            <a:ln w="9525" cap="flat" cmpd="sng" algn="ctr">
              <a:gradFill>
                <a:gsLst>
                  <a:gs pos="100000">
                    <a:schemeClr val="tx1">
                      <a:lumMod val="5000"/>
                      <a:lumOff val="95000"/>
                    </a:schemeClr>
                  </a:gs>
                  <a:gs pos="0">
                    <a:schemeClr val="tx1">
                      <a:lumMod val="25000"/>
                      <a:lumOff val="75000"/>
                    </a:schemeClr>
                  </a:gs>
                </a:gsLst>
                <a:lin ang="5400000" scaled="0"/>
              </a:gra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98427051"/>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65000"/>
                    <a:lumOff val="35000"/>
                  </a:schemeClr>
                </a:solidFill>
                <a:latin typeface="+mn-lt"/>
                <a:ea typeface="+mn-ea"/>
                <a:cs typeface="+mn-cs"/>
              </a:defRPr>
            </a:pPr>
            <a:r>
              <a:t>2024年一般公共预算财政拨款支出决算结构</a:t>
            </a:r>
          </a:p>
        </c:rich>
      </c:tx>
      <c:layout/>
      <c:overlay val="0"/>
      <c:spPr>
        <a:noFill/>
        <a:ln>
          <a:noFill/>
        </a:ln>
        <a:effectLst/>
      </c:spPr>
    </c:title>
    <c:autoTitleDeleted val="0"/>
    <c:plotArea>
      <c:layout/>
      <c:pieChart>
        <c:varyColors val="1"/>
        <c:ser>
          <c:idx val="0"/>
          <c:order val="0"/>
          <c:tx>
            <c:strRef>
              <c:f>Sheet1!$B$1</c:f>
              <c:strCache>
                <c:ptCount val="1"/>
                <c:pt idx="0">
                  <c:v>销售额</c:v>
                </c:pt>
              </c:strCache>
            </c:strRef>
          </c:tx>
          <c:spPr/>
          <c:explosion val="0"/>
          <c:dPt>
            <c:idx val="0"/>
            <c:bubble3D val="0"/>
            <c:spPr>
              <a:solidFill>
                <a:schemeClr val="accent1"/>
              </a:solidFill>
              <a:ln>
                <a:noFill/>
              </a:ln>
              <a:effectLst>
                <a:outerShdw blurRad="317500" algn="ctr" rotWithShape="0">
                  <a:prstClr val="black">
                    <a:alpha val="25000"/>
                  </a:prstClr>
                </a:outerShdw>
              </a:effectLst>
            </c:spPr>
          </c:dPt>
          <c:dPt>
            <c:idx val="1"/>
            <c:bubble3D val="0"/>
            <c:spPr>
              <a:solidFill>
                <a:schemeClr val="accent2"/>
              </a:solidFill>
              <a:ln>
                <a:noFill/>
              </a:ln>
              <a:effectLst>
                <a:outerShdw blurRad="317500" algn="ctr" rotWithShape="0">
                  <a:prstClr val="black">
                    <a:alpha val="25000"/>
                  </a:prstClr>
                </a:outerShdw>
              </a:effectLst>
            </c:spPr>
          </c:dPt>
          <c:dPt>
            <c:idx val="2"/>
            <c:bubble3D val="0"/>
            <c:spPr>
              <a:solidFill>
                <a:schemeClr val="accent3"/>
              </a:solidFill>
              <a:ln>
                <a:noFill/>
              </a:ln>
              <a:effectLst>
                <a:outerShdw blurRad="317500" algn="ctr" rotWithShape="0">
                  <a:prstClr val="black">
                    <a:alpha val="25000"/>
                  </a:prstClr>
                </a:outerShdw>
              </a:effectLst>
            </c:spPr>
          </c:dPt>
          <c:dPt>
            <c:idx val="3"/>
            <c:bubble3D val="0"/>
            <c:spPr>
              <a:solidFill>
                <a:schemeClr val="accent4"/>
              </a:solidFill>
              <a:ln>
                <a:noFill/>
              </a:ln>
              <a:effectLst>
                <a:outerShdw blurRad="317500" algn="ctr" rotWithShape="0">
                  <a:prstClr val="black">
                    <a:alpha val="25000"/>
                  </a:prstClr>
                </a:outerShdw>
              </a:effectLst>
            </c:spPr>
          </c:dPt>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Sheet1!$A$2:$A$5</c:f>
              <c:strCache>
                <c:ptCount val="4"/>
                <c:pt idx="0">
                  <c:v>社会保障和就业支出</c:v>
                </c:pt>
                <c:pt idx="1">
                  <c:v>卫生健康支出</c:v>
                </c:pt>
                <c:pt idx="2">
                  <c:v>住房保障支出</c:v>
                </c:pt>
                <c:pt idx="3">
                  <c:v>城乡社区支出</c:v>
                </c:pt>
              </c:strCache>
            </c:strRef>
          </c:cat>
          <c:val>
            <c:numRef>
              <c:f>Sheet1!$B$2:$B$5</c:f>
              <c:numCache>
                <c:formatCode>General</c:formatCode>
                <c:ptCount val="4"/>
                <c:pt idx="0">
                  <c:v>59.41</c:v>
                </c:pt>
                <c:pt idx="1">
                  <c:v>7.22</c:v>
                </c:pt>
                <c:pt idx="2">
                  <c:v>8.87</c:v>
                </c:pt>
                <c:pt idx="3">
                  <c:v>183.4</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ayout/>
      <c:overlay val="0"/>
      <c:spPr>
        <a:solidFill>
          <a:schemeClr val="lt1">
            <a:alpha val="78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65000"/>
                    <a:lumOff val="35000"/>
                  </a:schemeClr>
                </a:solidFill>
                <a:latin typeface="+mn-lt"/>
                <a:ea typeface="+mn-ea"/>
                <a:cs typeface="+mn-cs"/>
              </a:defRPr>
            </a:pPr>
            <a:r>
              <a:rPr lang="en-US" altLang="zh-CN"/>
              <a:t>2024</a:t>
            </a:r>
            <a:r>
              <a:rPr altLang="en-US"/>
              <a:t>年三公”经费财政拨款支出结构</a:t>
            </a:r>
            <a:endParaRPr altLang="en-US"/>
          </a:p>
        </c:rich>
      </c:tx>
      <c:layout/>
      <c:overlay val="0"/>
      <c:spPr>
        <a:noFill/>
        <a:ln>
          <a:noFill/>
        </a:ln>
        <a:effectLst/>
      </c:spPr>
    </c:title>
    <c:autoTitleDeleted val="0"/>
    <c:plotArea>
      <c:layout/>
      <c:pieChart>
        <c:varyColors val="1"/>
        <c:ser>
          <c:idx val="0"/>
          <c:order val="0"/>
          <c:tx>
            <c:strRef>
              <c:f>Sheet1!$B$1</c:f>
              <c:strCache>
                <c:ptCount val="1"/>
                <c:pt idx="0">
                  <c:v>销售额</c:v>
                </c:pt>
              </c:strCache>
            </c:strRef>
          </c:tx>
          <c:spPr/>
          <c:explosion val="0"/>
          <c:dPt>
            <c:idx val="0"/>
            <c:bubble3D val="0"/>
            <c:spPr>
              <a:solidFill>
                <a:schemeClr val="accent1"/>
              </a:solidFill>
              <a:ln>
                <a:noFill/>
              </a:ln>
              <a:effectLst>
                <a:outerShdw blurRad="317500" algn="ctr" rotWithShape="0">
                  <a:prstClr val="black">
                    <a:alpha val="25000"/>
                  </a:prstClr>
                </a:outerShdw>
              </a:effectLst>
            </c:spPr>
          </c:dPt>
          <c:dPt>
            <c:idx val="1"/>
            <c:bubble3D val="0"/>
            <c:spPr>
              <a:solidFill>
                <a:schemeClr val="accent2"/>
              </a:solidFill>
              <a:ln>
                <a:noFill/>
              </a:ln>
              <a:effectLst>
                <a:outerShdw blurRad="317500" algn="ctr" rotWithShape="0">
                  <a:prstClr val="black">
                    <a:alpha val="25000"/>
                  </a:prstClr>
                </a:outerShdw>
              </a:effectLst>
            </c:spPr>
          </c:dPt>
          <c:dPt>
            <c:idx val="2"/>
            <c:bubble3D val="0"/>
            <c:spPr>
              <a:solidFill>
                <a:schemeClr val="accent3"/>
              </a:solidFill>
              <a:ln>
                <a:noFill/>
              </a:ln>
              <a:effectLst>
                <a:outerShdw blurRad="317500" algn="ctr" rotWithShape="0">
                  <a:prstClr val="black">
                    <a:alpha val="25000"/>
                  </a:prstClr>
                </a:outerShdw>
              </a:effectLst>
            </c:spPr>
          </c:dPt>
          <c:dPt>
            <c:idx val="3"/>
            <c:bubble3D val="0"/>
            <c:spPr>
              <a:solidFill>
                <a:schemeClr val="accent4"/>
              </a:solidFill>
              <a:ln>
                <a:noFill/>
              </a:ln>
              <a:effectLst>
                <a:outerShdw blurRad="317500" algn="ctr" rotWithShape="0">
                  <a:prstClr val="black">
                    <a:alpha val="25000"/>
                  </a:prstClr>
                </a:outerShdw>
              </a:effectLst>
            </c:spPr>
          </c:dPt>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Sheet1!$A$2:$A$5</c:f>
              <c:strCache>
                <c:ptCount val="4"/>
                <c:pt idx="0">
                  <c:v>公务用车购置及运行维护费支出决算</c:v>
                </c:pt>
              </c:strCache>
            </c:strRef>
          </c:cat>
          <c:val>
            <c:numRef>
              <c:f>Sheet1!$B$2:$B$5</c:f>
              <c:numCache>
                <c:formatCode>General</c:formatCode>
                <c:ptCount val="4"/>
                <c:pt idx="0">
                  <c:v>0.32</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egendEntry>
        <c:idx val="1"/>
        <c:delete val="1"/>
      </c:legendEntry>
      <c:legendEntry>
        <c:idx val="2"/>
        <c:delete val="1"/>
      </c:legendEntry>
      <c:legendEntry>
        <c:idx val="3"/>
        <c:delete val="1"/>
      </c:legendEntry>
      <c:layout/>
      <c:overlay val="0"/>
      <c:spPr>
        <a:solidFill>
          <a:schemeClr val="lt1">
            <a:alpha val="78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10">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cs:spPr>
  </cs:dataPoint>
  <cs:dataPoint3D>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styleClr val="auto"/>
    </cs:lnRef>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a:ln w="9525" cap="flat" cmpd="sng" algn="ctr">
        <a:solidFill>
          <a:schemeClr val="phClr">
            <a:shade val="95000"/>
          </a:scheme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tx1">
                <a:lumMod val="5000"/>
                <a:lumOff val="95000"/>
              </a:schemeClr>
            </a:gs>
            <a:gs pos="0">
              <a:schemeClr val="tx1">
                <a:lumMod val="25000"/>
                <a:lumOff val="75000"/>
              </a:schemeClr>
            </a:gs>
          </a:gsLst>
          <a:lin ang="5400000" scaled="0"/>
        </a:gradFill>
        <a:round/>
      </a:ln>
    </cs:spPr>
  </cs:gridlineMajor>
  <cs:gridlineMinor>
    <cs:lnRef idx="0"/>
    <cs:fillRef idx="0"/>
    <cs:effectRef idx="0"/>
    <cs:fontRef idx="minor">
      <a:schemeClr val="dk1"/>
    </cs:fontRef>
    <cs:spPr>
      <a:ln w="9525" cap="flat" cmpd="sng" algn="ctr">
        <a:gradFill>
          <a:gsLst>
            <a:gs pos="100000">
              <a:schemeClr val="tx1">
                <a:lumMod val="5000"/>
                <a:lumOff val="95000"/>
              </a:schemeClr>
            </a:gs>
            <a:gs pos="0">
              <a:schemeClr val="tx1">
                <a:lumMod val="25000"/>
                <a:lumOff val="75000"/>
              </a:schemeClr>
            </a:gs>
          </a:gsLst>
          <a:lin ang="5400000" scaled="0"/>
        </a:gradFill>
        <a:round/>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headEnd type="none" w="sm" len="sm"/>
        <a:tailEnd type="none" w="sm" len="sm"/>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spc="5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4.xml><?xml version="1.0" encoding="utf-8"?>
<cs:chartStyle xmlns:cs="http://schemas.microsoft.com/office/drawing/2012/chartStyle" xmlns:a="http://schemas.openxmlformats.org/drawingml/2006/main" id="210">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cs:spPr>
  </cs:dataPoint>
  <cs:dataPoint3D>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styleClr val="auto"/>
    </cs:lnRef>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a:ln w="9525" cap="flat" cmpd="sng" algn="ctr">
        <a:solidFill>
          <a:schemeClr val="phClr">
            <a:shade val="95000"/>
          </a:scheme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tx1">
                <a:lumMod val="5000"/>
                <a:lumOff val="95000"/>
              </a:schemeClr>
            </a:gs>
            <a:gs pos="0">
              <a:schemeClr val="tx1">
                <a:lumMod val="25000"/>
                <a:lumOff val="75000"/>
              </a:schemeClr>
            </a:gs>
          </a:gsLst>
          <a:lin ang="5400000" scaled="0"/>
        </a:gradFill>
        <a:round/>
      </a:ln>
    </cs:spPr>
  </cs:gridlineMajor>
  <cs:gridlineMinor>
    <cs:lnRef idx="0"/>
    <cs:fillRef idx="0"/>
    <cs:effectRef idx="0"/>
    <cs:fontRef idx="minor">
      <a:schemeClr val="dk1"/>
    </cs:fontRef>
    <cs:spPr>
      <a:ln w="9525" cap="flat" cmpd="sng" algn="ctr">
        <a:gradFill>
          <a:gsLst>
            <a:gs pos="100000">
              <a:schemeClr val="tx1">
                <a:lumMod val="5000"/>
                <a:lumOff val="95000"/>
              </a:schemeClr>
            </a:gs>
            <a:gs pos="0">
              <a:schemeClr val="tx1">
                <a:lumMod val="25000"/>
                <a:lumOff val="75000"/>
              </a:schemeClr>
            </a:gs>
          </a:gsLst>
          <a:lin ang="5400000" scaled="0"/>
        </a:gradFill>
        <a:round/>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headEnd type="none" w="sm" len="sm"/>
        <a:tailEnd type="none" w="sm" len="sm"/>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spc="5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5.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6.xml><?xml version="1.0" encoding="utf-8"?>
<cs:chartStyle xmlns:cs="http://schemas.microsoft.com/office/drawing/2012/chartStyle" xmlns:a="http://schemas.openxmlformats.org/drawingml/2006/main" id="210">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cs:spPr>
  </cs:dataPoint>
  <cs:dataPoint3D>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styleClr val="auto"/>
    </cs:lnRef>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a:ln w="9525" cap="flat" cmpd="sng" algn="ctr">
        <a:solidFill>
          <a:schemeClr val="phClr">
            <a:shade val="95000"/>
          </a:scheme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tx1">
                <a:lumMod val="5000"/>
                <a:lumOff val="95000"/>
              </a:schemeClr>
            </a:gs>
            <a:gs pos="0">
              <a:schemeClr val="tx1">
                <a:lumMod val="25000"/>
                <a:lumOff val="75000"/>
              </a:schemeClr>
            </a:gs>
          </a:gsLst>
          <a:lin ang="5400000" scaled="0"/>
        </a:gradFill>
        <a:round/>
      </a:ln>
    </cs:spPr>
  </cs:gridlineMajor>
  <cs:gridlineMinor>
    <cs:lnRef idx="0"/>
    <cs:fillRef idx="0"/>
    <cs:effectRef idx="0"/>
    <cs:fontRef idx="minor">
      <a:schemeClr val="dk1"/>
    </cs:fontRef>
    <cs:spPr>
      <a:ln w="9525" cap="flat" cmpd="sng" algn="ctr">
        <a:gradFill>
          <a:gsLst>
            <a:gs pos="100000">
              <a:schemeClr val="tx1">
                <a:lumMod val="5000"/>
                <a:lumOff val="95000"/>
              </a:schemeClr>
            </a:gs>
            <a:gs pos="0">
              <a:schemeClr val="tx1">
                <a:lumMod val="25000"/>
                <a:lumOff val="75000"/>
              </a:schemeClr>
            </a:gs>
          </a:gsLst>
          <a:lin ang="5400000" scaled="0"/>
        </a:gradFill>
        <a:round/>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headEnd type="none" w="sm" len="sm"/>
        <a:tailEnd type="none" w="sm" len="sm"/>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spc="5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7.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23</Pages>
  <Words>1299</Words>
  <Characters>7410</Characters>
  <Lines>61</Lines>
  <Paragraphs>17</Paragraphs>
  <TotalTime>5</TotalTime>
  <ScaleCrop>false</ScaleCrop>
  <LinksUpToDate>false</LinksUpToDate>
  <CharactersWithSpaces>8692</CharactersWithSpaces>
  <Application>WPS Office_10.1.0.7566_F1E327BC-269C-435d-A152-05C5408002CA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2020-08-09T09:49:00Z</dcterms:created>
  <dc:creator>曹颖</dc:creator>
  <cp:lastModifiedBy>Administrator</cp:lastModifiedBy>
  <cp:lastPrinted>2025-08-06T17:34:00Z</cp:lastPrinted>
  <dcterms:modified xsi:type="dcterms:W3CDTF">2025-10-28T02:54:19Z</dcterms:modified>
  <dc:title>四川省***</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2052-10.1.0.7566</vt:lpwstr>
  </property>
  <property fmtid="{D5CDD505-2E9C-101B-9397-08002B2CF9AE}" pid="3" name="ICV">
    <vt:lpwstr>04787F2533EB45DC91BCDE4AB213247F</vt:lpwstr>
  </property>
</Properties>
</file>