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360" w:lineRule="auto"/>
        <w:ind w:firstLine="883" w:firstLineChars="200"/>
        <w:contextualSpacing/>
        <w:jc w:val="center"/>
        <w:rPr>
          <w:rFonts w:ascii="宋体"/>
          <w:b/>
          <w:sz w:val="44"/>
          <w:szCs w:val="44"/>
          <w:shd w:val="clear" w:color="auto" w:fill="FFFFFF"/>
        </w:rPr>
      </w:pPr>
    </w:p>
    <w:p>
      <w:pPr>
        <w:widowControl/>
        <w:spacing w:line="360" w:lineRule="auto"/>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区</w:t>
      </w:r>
      <w:r>
        <w:rPr>
          <w:rFonts w:hint="eastAsia" w:ascii="方正小标宋简体" w:hAnsi="宋体" w:eastAsia="方正小标宋简体"/>
          <w:sz w:val="44"/>
          <w:szCs w:val="44"/>
          <w:shd w:val="clear" w:color="auto" w:fill="FFFFFF"/>
        </w:rPr>
        <w:t>级部门整体绩效自评报告范本</w:t>
      </w:r>
    </w:p>
    <w:p>
      <w:pPr>
        <w:widowControl/>
        <w:spacing w:line="360" w:lineRule="auto"/>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360" w:lineRule="auto"/>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360" w:lineRule="auto"/>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tabs>
          <w:tab w:val="left" w:pos="0"/>
        </w:tabs>
        <w:spacing w:line="360" w:lineRule="auto"/>
        <w:ind w:left="141" w:leftChars="44" w:firstLine="560" w:firstLineChars="200"/>
        <w:jc w:val="left"/>
        <w:rPr>
          <w:rFonts w:hint="eastAsia" w:ascii="楷体_GB2312" w:hAnsi="宋体" w:eastAsia="楷体_GB2312" w:cs="宋体"/>
          <w:color w:val="000000"/>
          <w:kern w:val="0"/>
          <w:sz w:val="28"/>
          <w:szCs w:val="28"/>
          <w:shd w:val="clear" w:color="auto" w:fill="FFFFFF"/>
          <w:lang w:val="zh-CN"/>
        </w:rPr>
      </w:pPr>
      <w:r>
        <w:rPr>
          <w:rFonts w:hint="eastAsia" w:ascii="新宋体" w:hAnsi="新宋体" w:eastAsia="新宋体" w:cs="Arial Unicode MS"/>
          <w:sz w:val="28"/>
          <w:szCs w:val="28"/>
        </w:rPr>
        <w:t>房管所于1985年成立，隶属区住建局，为自收自支事业单位。根据发展需要我所分别于1994年创办房产交易市场</w:t>
      </w:r>
      <w:r>
        <w:rPr>
          <w:rFonts w:hint="eastAsia" w:ascii="新宋体" w:hAnsi="新宋体" w:eastAsia="新宋体" w:cs="Arial Unicode MS"/>
          <w:i/>
          <w:iCs/>
          <w:sz w:val="28"/>
          <w:szCs w:val="28"/>
        </w:rPr>
        <w:t>。</w:t>
      </w:r>
      <w:r>
        <w:rPr>
          <w:rFonts w:hint="eastAsia" w:ascii="新宋体" w:hAnsi="新宋体" w:eastAsia="新宋体" w:cs="Arial Unicode MS"/>
          <w:sz w:val="28"/>
          <w:szCs w:val="28"/>
        </w:rPr>
        <w:t>房管所于</w:t>
      </w:r>
      <w:r>
        <w:rPr>
          <w:rFonts w:hint="eastAsia" w:ascii="新宋体" w:hAnsi="新宋体" w:eastAsia="新宋体" w:cs="Arial Unicode MS"/>
          <w:sz w:val="28"/>
          <w:szCs w:val="28"/>
          <w:lang w:val="en-US" w:eastAsia="zh-CN"/>
        </w:rPr>
        <w:t>2025年3月更名为乐山市五通桥区住房保障和房地产事务中心，</w:t>
      </w:r>
      <w:r>
        <w:rPr>
          <w:rFonts w:hint="eastAsia" w:ascii="新宋体" w:hAnsi="新宋体" w:eastAsia="新宋体" w:cs="Arial Unicode MS"/>
          <w:i w:val="0"/>
          <w:iCs w:val="0"/>
          <w:sz w:val="28"/>
          <w:szCs w:val="28"/>
        </w:rPr>
        <w:t>以上均为一套班子人员合署办公。</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pStyle w:val="17"/>
        <w:numPr>
          <w:ilvl w:val="0"/>
          <w:numId w:val="0"/>
        </w:numPr>
        <w:spacing w:line="360" w:lineRule="auto"/>
        <w:ind w:left="179" w:leftChars="56" w:firstLine="420" w:firstLineChars="150"/>
        <w:rPr>
          <w:rFonts w:hint="eastAsia" w:ascii="新宋体" w:hAnsi="新宋体" w:eastAsia="新宋体" w:cs="Arial Unicode MS"/>
          <w:sz w:val="28"/>
          <w:szCs w:val="28"/>
          <w:lang w:val="en-US" w:eastAsia="zh-CN"/>
        </w:rPr>
      </w:pPr>
      <w:r>
        <w:rPr>
          <w:rFonts w:hint="eastAsia" w:ascii="新宋体" w:hAnsi="新宋体" w:eastAsia="新宋体" w:cs="Arial Unicode MS"/>
          <w:sz w:val="28"/>
          <w:szCs w:val="28"/>
          <w:lang w:val="en-US" w:eastAsia="zh-CN"/>
        </w:rPr>
        <w:t>机构职能</w:t>
      </w:r>
    </w:p>
    <w:p>
      <w:pPr>
        <w:pStyle w:val="17"/>
        <w:numPr>
          <w:ilvl w:val="0"/>
          <w:numId w:val="0"/>
        </w:numPr>
        <w:spacing w:line="360" w:lineRule="auto"/>
        <w:ind w:left="179" w:leftChars="56" w:firstLine="420" w:firstLineChars="150"/>
        <w:rPr>
          <w:rFonts w:hint="eastAsia" w:ascii="新宋体" w:hAnsi="新宋体" w:eastAsia="新宋体" w:cs="Arial Unicode MS"/>
          <w:sz w:val="28"/>
          <w:szCs w:val="28"/>
        </w:rPr>
      </w:pPr>
      <w:r>
        <w:rPr>
          <w:rFonts w:hint="eastAsia" w:ascii="新宋体" w:hAnsi="新宋体" w:eastAsia="新宋体" w:cs="Arial Unicode MS"/>
          <w:sz w:val="28"/>
          <w:szCs w:val="28"/>
        </w:rPr>
        <w:t>1.贯彻执行国家有关房地产管理和住房制度改革的法律、法规和政策并组织实施。</w:t>
      </w:r>
    </w:p>
    <w:p>
      <w:pPr>
        <w:pStyle w:val="17"/>
        <w:numPr>
          <w:ilvl w:val="0"/>
          <w:numId w:val="0"/>
        </w:numPr>
        <w:spacing w:line="360" w:lineRule="auto"/>
        <w:ind w:left="320" w:leftChars="100" w:firstLine="280" w:firstLineChars="100"/>
        <w:rPr>
          <w:rFonts w:hint="eastAsia" w:ascii="新宋体" w:hAnsi="新宋体" w:eastAsia="新宋体" w:cs="Arial Unicode MS"/>
          <w:sz w:val="28"/>
          <w:szCs w:val="28"/>
        </w:rPr>
      </w:pPr>
      <w:r>
        <w:rPr>
          <w:rFonts w:hint="eastAsia" w:ascii="新宋体" w:hAnsi="新宋体" w:eastAsia="新宋体" w:cs="Arial Unicode MS"/>
          <w:sz w:val="28"/>
          <w:szCs w:val="28"/>
        </w:rPr>
        <w:t>2.承担规范和管理房地产市场的责任；负责房屋交易管理。包括房屋交易、商品房预售许可，房屋买卖合同网签备案，个人住房信息系统建设等工作。</w:t>
      </w:r>
    </w:p>
    <w:p>
      <w:pPr>
        <w:pStyle w:val="17"/>
        <w:numPr>
          <w:ilvl w:val="0"/>
          <w:numId w:val="0"/>
        </w:numPr>
        <w:spacing w:line="360" w:lineRule="auto"/>
        <w:ind w:left="320" w:leftChars="100" w:firstLine="280" w:firstLineChars="100"/>
        <w:rPr>
          <w:rFonts w:hint="eastAsia" w:ascii="新宋体" w:hAnsi="新宋体" w:eastAsia="新宋体" w:cs="Arial Unicode MS"/>
          <w:sz w:val="28"/>
          <w:szCs w:val="28"/>
        </w:rPr>
      </w:pPr>
      <w:r>
        <w:rPr>
          <w:rFonts w:hint="eastAsia" w:ascii="新宋体" w:hAnsi="新宋体" w:eastAsia="新宋体" w:cs="Arial Unicode MS"/>
          <w:sz w:val="28"/>
          <w:szCs w:val="28"/>
        </w:rPr>
        <w:t>3.负责本区住房保障工作，包括住房租赁补贴发放、直管公房、公租房管理维护等工作。</w:t>
      </w:r>
    </w:p>
    <w:p>
      <w:pPr>
        <w:pStyle w:val="17"/>
        <w:numPr>
          <w:ilvl w:val="0"/>
          <w:numId w:val="0"/>
        </w:numPr>
        <w:spacing w:line="360" w:lineRule="auto"/>
        <w:ind w:left="179" w:leftChars="56" w:firstLine="420" w:firstLineChars="150"/>
        <w:rPr>
          <w:rFonts w:hint="eastAsia" w:ascii="新宋体" w:hAnsi="新宋体" w:eastAsia="新宋体" w:cs="Arial Unicode MS"/>
          <w:sz w:val="28"/>
          <w:szCs w:val="28"/>
        </w:rPr>
      </w:pPr>
      <w:r>
        <w:rPr>
          <w:rFonts w:hint="eastAsia" w:ascii="新宋体" w:hAnsi="新宋体" w:eastAsia="新宋体" w:cs="Arial Unicode MS"/>
          <w:sz w:val="28"/>
          <w:szCs w:val="28"/>
        </w:rPr>
        <w:t>4.负责本区房屋档案管理、信息查询、综合统计等工作；</w:t>
      </w:r>
    </w:p>
    <w:p>
      <w:pPr>
        <w:pStyle w:val="17"/>
        <w:numPr>
          <w:ilvl w:val="0"/>
          <w:numId w:val="0"/>
        </w:numPr>
        <w:spacing w:line="360" w:lineRule="auto"/>
        <w:ind w:left="179" w:leftChars="56" w:firstLine="420" w:firstLineChars="150"/>
        <w:rPr>
          <w:rFonts w:hint="eastAsia" w:ascii="新宋体" w:hAnsi="新宋体" w:eastAsia="新宋体" w:cs="Arial Unicode MS"/>
          <w:sz w:val="28"/>
          <w:szCs w:val="28"/>
        </w:rPr>
      </w:pPr>
      <w:r>
        <w:rPr>
          <w:rFonts w:hint="eastAsia" w:ascii="新宋体" w:hAnsi="新宋体" w:eastAsia="新宋体" w:cs="Arial Unicode MS"/>
          <w:sz w:val="28"/>
          <w:szCs w:val="28"/>
        </w:rPr>
        <w:t>5.负责全区物业管理政策规范并监督实施；监督管理全区物业管理活动，监督新建住宅物业专项维修资金的归集、管理和使用工作。   </w:t>
      </w:r>
      <w:r>
        <w:rPr>
          <w:rFonts w:hint="eastAsia" w:ascii="新宋体" w:hAnsi="新宋体" w:eastAsia="新宋体" w:cs="Arial Unicode MS"/>
          <w:sz w:val="28"/>
          <w:szCs w:val="28"/>
        </w:rPr>
        <w:br w:type="textWrapping"/>
      </w:r>
      <w:r>
        <w:rPr>
          <w:rFonts w:hint="eastAsia" w:ascii="新宋体" w:hAnsi="新宋体" w:eastAsia="新宋体" w:cs="Arial Unicode MS"/>
          <w:sz w:val="28"/>
          <w:szCs w:val="28"/>
          <w:lang w:val="en-US" w:eastAsia="zh-CN"/>
        </w:rPr>
        <w:t xml:space="preserve">  </w:t>
      </w:r>
      <w:r>
        <w:rPr>
          <w:rFonts w:hint="eastAsia" w:ascii="新宋体" w:hAnsi="新宋体" w:eastAsia="新宋体" w:cs="Arial Unicode MS"/>
          <w:sz w:val="28"/>
          <w:szCs w:val="28"/>
        </w:rPr>
        <w:t xml:space="preserve"> 6.负责全区房产管理的其他工作。</w:t>
      </w:r>
    </w:p>
    <w:p>
      <w:pPr>
        <w:pStyle w:val="17"/>
        <w:numPr>
          <w:ilvl w:val="0"/>
          <w:numId w:val="0"/>
        </w:numPr>
        <w:spacing w:line="360" w:lineRule="auto"/>
        <w:ind w:left="179" w:leftChars="56" w:firstLine="560" w:firstLineChars="200"/>
        <w:rPr>
          <w:rFonts w:hint="eastAsia" w:ascii="新宋体" w:hAnsi="新宋体" w:eastAsia="新宋体" w:cs="Arial Unicode MS"/>
          <w:sz w:val="28"/>
          <w:szCs w:val="28"/>
          <w:lang w:val="en-US" w:eastAsia="zh-CN"/>
        </w:rPr>
      </w:pPr>
      <w:r>
        <w:rPr>
          <w:rFonts w:hint="eastAsia" w:ascii="新宋体" w:hAnsi="新宋体" w:eastAsia="新宋体" w:cs="Arial Unicode MS"/>
          <w:sz w:val="28"/>
          <w:szCs w:val="28"/>
          <w:lang w:val="en-US"/>
        </w:rPr>
        <w:t>人员</w:t>
      </w:r>
      <w:r>
        <w:rPr>
          <w:rFonts w:hint="eastAsia" w:ascii="新宋体" w:hAnsi="新宋体" w:eastAsia="新宋体" w:cs="Arial Unicode MS"/>
          <w:sz w:val="28"/>
          <w:szCs w:val="28"/>
          <w:lang w:val="en-US" w:eastAsia="zh-CN"/>
        </w:rPr>
        <w:t>概况</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b w:val="0"/>
          <w:sz w:val="28"/>
          <w:szCs w:val="28"/>
        </w:rPr>
        <w:t>截止202</w:t>
      </w:r>
      <w:r>
        <w:rPr>
          <w:rFonts w:hint="eastAsia" w:ascii="新宋体" w:hAnsi="新宋体" w:eastAsia="新宋体" w:cs="新宋体"/>
          <w:b w:val="0"/>
          <w:sz w:val="28"/>
          <w:szCs w:val="28"/>
          <w:lang w:val="en-US" w:eastAsia="zh-CN"/>
        </w:rPr>
        <w:t>4</w:t>
      </w:r>
      <w:r>
        <w:rPr>
          <w:rFonts w:hint="eastAsia" w:ascii="新宋体" w:hAnsi="新宋体" w:eastAsia="新宋体" w:cs="新宋体"/>
          <w:b w:val="0"/>
          <w:sz w:val="28"/>
          <w:szCs w:val="28"/>
        </w:rPr>
        <w:t>年底，我所供养人员</w:t>
      </w:r>
      <w:r>
        <w:rPr>
          <w:rFonts w:hint="eastAsia" w:ascii="新宋体" w:hAnsi="新宋体" w:eastAsia="新宋体" w:cs="新宋体"/>
          <w:b w:val="0"/>
          <w:sz w:val="28"/>
          <w:szCs w:val="28"/>
          <w:lang w:eastAsia="zh-CN"/>
        </w:rPr>
        <w:t>共</w:t>
      </w:r>
      <w:r>
        <w:rPr>
          <w:rFonts w:hint="eastAsia" w:ascii="新宋体" w:hAnsi="新宋体" w:eastAsia="新宋体" w:cs="新宋体"/>
          <w:b w:val="0"/>
          <w:sz w:val="28"/>
          <w:szCs w:val="28"/>
          <w:lang w:val="en-US" w:eastAsia="zh-CN"/>
        </w:rPr>
        <w:t>10</w:t>
      </w:r>
      <w:r>
        <w:rPr>
          <w:rFonts w:hint="eastAsia" w:ascii="新宋体" w:hAnsi="新宋体" w:eastAsia="新宋体" w:cs="新宋体"/>
          <w:b w:val="0"/>
          <w:sz w:val="28"/>
          <w:szCs w:val="28"/>
        </w:rPr>
        <w:t>人</w:t>
      </w:r>
      <w:r>
        <w:rPr>
          <w:rFonts w:hint="eastAsia" w:ascii="新宋体" w:hAnsi="新宋体" w:eastAsia="新宋体" w:cs="新宋体"/>
          <w:b w:val="0"/>
          <w:sz w:val="28"/>
          <w:szCs w:val="28"/>
          <w:lang w:eastAsia="zh-CN"/>
        </w:rPr>
        <w:t>，</w:t>
      </w:r>
      <w:r>
        <w:rPr>
          <w:rFonts w:hint="eastAsia" w:ascii="新宋体" w:hAnsi="新宋体" w:eastAsia="新宋体" w:cs="新宋体"/>
          <w:b w:val="0"/>
          <w:sz w:val="28"/>
          <w:szCs w:val="28"/>
        </w:rPr>
        <w:t>在编人员</w:t>
      </w:r>
      <w:r>
        <w:rPr>
          <w:rFonts w:hint="eastAsia" w:ascii="新宋体" w:hAnsi="新宋体" w:eastAsia="新宋体" w:cs="新宋体"/>
          <w:b w:val="0"/>
          <w:sz w:val="28"/>
          <w:szCs w:val="28"/>
          <w:lang w:val="en-US" w:eastAsia="zh-CN"/>
        </w:rPr>
        <w:t>6</w:t>
      </w:r>
      <w:r>
        <w:rPr>
          <w:rFonts w:hint="eastAsia" w:ascii="新宋体" w:hAnsi="新宋体" w:eastAsia="新宋体" w:cs="新宋体"/>
          <w:b w:val="0"/>
          <w:sz w:val="28"/>
          <w:szCs w:val="28"/>
        </w:rPr>
        <w:t>人（其中外借人员2人），较上年人员变动情况退休减少</w:t>
      </w:r>
      <w:r>
        <w:rPr>
          <w:rFonts w:hint="eastAsia" w:ascii="新宋体" w:hAnsi="新宋体" w:eastAsia="新宋体" w:cs="新宋体"/>
          <w:b w:val="0"/>
          <w:sz w:val="28"/>
          <w:szCs w:val="28"/>
          <w:lang w:val="en-US" w:eastAsia="zh-CN"/>
        </w:rPr>
        <w:t>1</w:t>
      </w:r>
      <w:r>
        <w:rPr>
          <w:rFonts w:hint="eastAsia" w:ascii="新宋体" w:hAnsi="新宋体" w:eastAsia="新宋体" w:cs="新宋体"/>
          <w:b w:val="0"/>
          <w:sz w:val="28"/>
          <w:szCs w:val="28"/>
        </w:rPr>
        <w:t>人</w:t>
      </w:r>
      <w:r>
        <w:rPr>
          <w:rFonts w:hint="eastAsia" w:ascii="新宋体" w:hAnsi="新宋体" w:eastAsia="新宋体" w:cs="新宋体"/>
          <w:b w:val="0"/>
          <w:sz w:val="28"/>
          <w:szCs w:val="28"/>
          <w:lang w:eastAsia="zh-CN"/>
        </w:rPr>
        <w:t>（退休</w:t>
      </w:r>
      <w:r>
        <w:rPr>
          <w:rFonts w:hint="eastAsia" w:ascii="新宋体" w:hAnsi="新宋体" w:eastAsia="新宋体" w:cs="新宋体"/>
          <w:b w:val="0"/>
          <w:sz w:val="28"/>
          <w:szCs w:val="28"/>
          <w:lang w:val="en-US" w:eastAsia="zh-CN"/>
        </w:rPr>
        <w:t>1人</w:t>
      </w:r>
      <w:r>
        <w:rPr>
          <w:rFonts w:hint="eastAsia" w:ascii="新宋体" w:hAnsi="新宋体" w:eastAsia="新宋体" w:cs="新宋体"/>
          <w:b w:val="0"/>
          <w:sz w:val="28"/>
          <w:szCs w:val="28"/>
          <w:lang w:eastAsia="zh-CN"/>
        </w:rPr>
        <w:t>）</w:t>
      </w:r>
      <w:r>
        <w:rPr>
          <w:rFonts w:hint="eastAsia" w:ascii="新宋体" w:hAnsi="新宋体" w:eastAsia="新宋体" w:cs="新宋体"/>
          <w:b w:val="0"/>
          <w:sz w:val="28"/>
          <w:szCs w:val="28"/>
        </w:rPr>
        <w:t>。其他人员</w:t>
      </w:r>
      <w:r>
        <w:rPr>
          <w:rFonts w:hint="eastAsia" w:ascii="新宋体" w:hAnsi="新宋体" w:eastAsia="新宋体" w:cs="新宋体"/>
          <w:b w:val="0"/>
          <w:sz w:val="28"/>
          <w:szCs w:val="28"/>
          <w:lang w:val="en-US" w:eastAsia="zh-CN"/>
        </w:rPr>
        <w:t>3</w:t>
      </w:r>
      <w:r>
        <w:rPr>
          <w:rFonts w:hint="eastAsia" w:ascii="新宋体" w:hAnsi="新宋体" w:eastAsia="新宋体" w:cs="新宋体"/>
          <w:b w:val="0"/>
          <w:sz w:val="28"/>
          <w:szCs w:val="28"/>
        </w:rPr>
        <w:t>人（其中外借人员1人）。</w:t>
      </w:r>
      <w:r>
        <w:rPr>
          <w:rFonts w:hint="eastAsia" w:ascii="新宋体" w:hAnsi="新宋体" w:eastAsia="新宋体" w:cs="新宋体"/>
          <w:b w:val="0"/>
          <w:sz w:val="28"/>
          <w:szCs w:val="28"/>
          <w:lang w:eastAsia="zh-CN"/>
        </w:rPr>
        <w:t>编外长聘人员</w:t>
      </w:r>
      <w:r>
        <w:rPr>
          <w:rFonts w:hint="eastAsia" w:ascii="新宋体" w:hAnsi="新宋体" w:eastAsia="新宋体" w:cs="新宋体"/>
          <w:b w:val="0"/>
          <w:sz w:val="28"/>
          <w:szCs w:val="28"/>
          <w:lang w:val="en-US" w:eastAsia="zh-CN"/>
        </w:rPr>
        <w:t>7人（新纪元）</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公房及公共租赁住房管理：</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1.完成公房日常巡查，及时发现并处理房屋安全隐患，确保公房居住安全。</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2.做好公共租赁住房申请、审核、分配及后续管理工作，保障公平分配和规范使用。</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3.对部分老旧公房和公共租赁住房进行维修维护，改善居住环境。</w:t>
      </w:r>
    </w:p>
    <w:p>
      <w:pPr>
        <w:spacing w:line="360" w:lineRule="auto"/>
        <w:rPr>
          <w:rFonts w:hint="eastAsia" w:ascii="新宋体" w:hAnsi="新宋体" w:eastAsia="新宋体" w:cs="新宋体"/>
          <w:sz w:val="28"/>
          <w:szCs w:val="28"/>
          <w:lang w:val="en-US" w:eastAsia="zh-CN"/>
        </w:rPr>
      </w:pP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房地产交易与产权管理：</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1.优化房地产交易流程，提高交易效率，确保交易信息安全准确。</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2.加强产权登记管理，严格审核产权登记申请，保障产权人合法权益。</w:t>
      </w:r>
    </w:p>
    <w:p>
      <w:pPr>
        <w:spacing w:line="360" w:lineRule="auto"/>
        <w:ind w:firstLine="560" w:firstLineChars="200"/>
        <w:rPr>
          <w:rFonts w:hint="eastAsia" w:ascii="新宋体" w:hAnsi="新宋体" w:eastAsia="新宋体" w:cs="新宋体"/>
          <w:sz w:val="28"/>
          <w:szCs w:val="28"/>
        </w:rPr>
      </w:pPr>
      <w:r>
        <w:rPr>
          <w:rFonts w:hint="eastAsia" w:ascii="新宋体" w:hAnsi="新宋体" w:eastAsia="新宋体" w:cs="新宋体"/>
          <w:color w:val="000000"/>
          <w:kern w:val="0"/>
          <w:sz w:val="28"/>
          <w:szCs w:val="28"/>
          <w:shd w:val="clear" w:color="auto" w:fill="FFFFFF"/>
          <w:lang w:val="en-US" w:eastAsia="zh-CN"/>
        </w:rPr>
        <w:t>3.全区房屋交易管理、</w:t>
      </w:r>
      <w:r>
        <w:rPr>
          <w:rFonts w:hint="eastAsia" w:ascii="新宋体" w:hAnsi="新宋体" w:eastAsia="新宋体" w:cs="新宋体"/>
          <w:sz w:val="28"/>
          <w:szCs w:val="28"/>
        </w:rPr>
        <w:t>商品房预售许可</w:t>
      </w:r>
      <w:r>
        <w:rPr>
          <w:rFonts w:hint="eastAsia" w:ascii="新宋体" w:hAnsi="新宋体" w:eastAsia="新宋体" w:cs="新宋体"/>
          <w:sz w:val="28"/>
          <w:szCs w:val="28"/>
          <w:lang w:eastAsia="zh-CN"/>
        </w:rPr>
        <w:t>、</w:t>
      </w:r>
      <w:r>
        <w:rPr>
          <w:rFonts w:hint="eastAsia" w:ascii="新宋体" w:hAnsi="新宋体" w:eastAsia="新宋体" w:cs="新宋体"/>
          <w:sz w:val="28"/>
          <w:szCs w:val="28"/>
        </w:rPr>
        <w:t>房屋买卖合同网签备案</w:t>
      </w:r>
      <w:r>
        <w:rPr>
          <w:rFonts w:hint="eastAsia" w:ascii="新宋体" w:hAnsi="新宋体" w:eastAsia="新宋体" w:cs="新宋体"/>
          <w:sz w:val="28"/>
          <w:szCs w:val="28"/>
          <w:lang w:eastAsia="zh-CN"/>
        </w:rPr>
        <w:t>、</w:t>
      </w:r>
      <w:r>
        <w:rPr>
          <w:rFonts w:hint="eastAsia" w:ascii="新宋体" w:hAnsi="新宋体" w:eastAsia="新宋体" w:cs="新宋体"/>
          <w:sz w:val="28"/>
          <w:szCs w:val="28"/>
        </w:rPr>
        <w:t>个人住房信息系统建设等工作。</w:t>
      </w:r>
    </w:p>
    <w:p>
      <w:pPr>
        <w:spacing w:line="360" w:lineRule="auto"/>
        <w:ind w:firstLine="560" w:firstLineChars="200"/>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sz w:val="28"/>
          <w:szCs w:val="28"/>
          <w:lang w:val="en-US" w:eastAsia="zh-CN"/>
        </w:rPr>
        <w:t>4.</w:t>
      </w:r>
      <w:r>
        <w:rPr>
          <w:rFonts w:hint="eastAsia" w:ascii="新宋体" w:hAnsi="新宋体" w:eastAsia="新宋体" w:cs="新宋体"/>
          <w:color w:val="000000"/>
          <w:kern w:val="0"/>
          <w:sz w:val="28"/>
          <w:szCs w:val="28"/>
          <w:shd w:val="clear" w:color="auto" w:fill="FFFFFF"/>
          <w:lang w:val="en-US" w:eastAsia="zh-CN"/>
        </w:rPr>
        <w:t>房屋档案日常维护管理工作。</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5.定期开展房地产市场监测分析，为政府决策提供数据支持。</w:t>
      </w:r>
    </w:p>
    <w:p>
      <w:pPr>
        <w:spacing w:line="360" w:lineRule="auto"/>
        <w:rPr>
          <w:rFonts w:hint="eastAsia" w:ascii="新宋体" w:hAnsi="新宋体" w:eastAsia="新宋体" w:cs="新宋体"/>
          <w:sz w:val="28"/>
          <w:szCs w:val="28"/>
          <w:lang w:val="en-US" w:eastAsia="zh-CN"/>
        </w:rPr>
      </w:pPr>
    </w:p>
    <w:p>
      <w:pPr>
        <w:spacing w:line="360" w:lineRule="auto"/>
        <w:ind w:firstLine="560" w:firstLineChars="200"/>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物业管理工作：</w:t>
      </w:r>
    </w:p>
    <w:p>
      <w:pPr>
        <w:spacing w:line="360" w:lineRule="auto"/>
        <w:ind w:firstLine="560" w:firstLineChars="200"/>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全区物业管理正常规范监督实施，监督管理全区物业管理活动，监督新建住宅专项维修资金的归集、管理工作。</w:t>
      </w:r>
    </w:p>
    <w:p>
      <w:pPr>
        <w:spacing w:line="360" w:lineRule="auto"/>
        <w:rPr>
          <w:rFonts w:hint="eastAsia" w:ascii="新宋体" w:hAnsi="新宋体" w:eastAsia="新宋体" w:cs="新宋体"/>
          <w:color w:val="000000"/>
          <w:kern w:val="0"/>
          <w:sz w:val="28"/>
          <w:szCs w:val="28"/>
          <w:shd w:val="clear" w:color="auto" w:fill="FFFFFF"/>
          <w:lang w:val="en-US" w:eastAsia="zh-CN"/>
        </w:rPr>
      </w:pP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部门自身建设：</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1.组织工作人员参加业务培训，提升专业素养和服务能力。</w:t>
      </w:r>
    </w:p>
    <w:p>
      <w:pPr>
        <w:spacing w:line="360" w:lineRule="auto"/>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2.完善内部管理制度，加强财务管理和监督，确保资金使用安全合理。</w:t>
      </w:r>
    </w:p>
    <w:p>
      <w:pPr>
        <w:spacing w:line="360" w:lineRule="auto"/>
        <w:rPr>
          <w:rFonts w:hint="eastAsia" w:ascii="新宋体" w:hAnsi="新宋体" w:eastAsia="新宋体" w:cs="新宋体"/>
          <w:sz w:val="28"/>
          <w:szCs w:val="28"/>
        </w:rPr>
      </w:pP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2024年</w:t>
      </w:r>
      <w:r>
        <w:rPr>
          <w:rFonts w:hint="eastAsia" w:ascii="新宋体" w:hAnsi="新宋体" w:eastAsia="新宋体" w:cs="新宋体"/>
          <w:sz w:val="28"/>
          <w:szCs w:val="28"/>
          <w:lang w:val="en-US" w:eastAsia="zh-CN"/>
        </w:rPr>
        <w:t>乐山市五通桥区住房保障和房地产事务中心整体</w:t>
      </w:r>
      <w:r>
        <w:rPr>
          <w:rFonts w:hint="eastAsia" w:ascii="新宋体" w:hAnsi="新宋体" w:eastAsia="新宋体" w:cs="新宋体"/>
          <w:color w:val="000000"/>
          <w:kern w:val="0"/>
          <w:sz w:val="28"/>
          <w:szCs w:val="28"/>
          <w:shd w:val="clear" w:color="auto" w:fill="FFFFFF"/>
          <w:lang w:val="zh-CN"/>
        </w:rPr>
        <w:t>支出绩效目标</w:t>
      </w:r>
      <w:r>
        <w:rPr>
          <w:rFonts w:hint="eastAsia" w:ascii="新宋体" w:hAnsi="新宋体" w:eastAsia="新宋体" w:cs="新宋体"/>
          <w:sz w:val="28"/>
          <w:szCs w:val="28"/>
        </w:rPr>
        <w:t>一般公共预算财政拨款</w:t>
      </w:r>
      <w:r>
        <w:rPr>
          <w:rFonts w:hint="eastAsia" w:ascii="新宋体" w:hAnsi="新宋体" w:eastAsia="新宋体" w:cs="新宋体"/>
          <w:sz w:val="28"/>
          <w:szCs w:val="28"/>
          <w:lang w:eastAsia="zh-CN"/>
        </w:rPr>
        <w:t>支出</w:t>
      </w:r>
      <w:r>
        <w:rPr>
          <w:rFonts w:hint="eastAsia" w:ascii="新宋体" w:hAnsi="新宋体" w:eastAsia="新宋体" w:cs="新宋体"/>
          <w:color w:val="000000"/>
          <w:kern w:val="0"/>
          <w:sz w:val="28"/>
          <w:szCs w:val="28"/>
          <w:shd w:val="clear" w:color="auto" w:fill="FFFFFF"/>
          <w:lang w:val="zh-CN"/>
        </w:rPr>
        <w:t>预算数为全年</w:t>
      </w:r>
      <w:r>
        <w:rPr>
          <w:rFonts w:hint="eastAsia" w:ascii="新宋体" w:hAnsi="新宋体" w:eastAsia="新宋体" w:cs="新宋体"/>
          <w:color w:val="000000"/>
          <w:kern w:val="0"/>
          <w:sz w:val="28"/>
          <w:szCs w:val="28"/>
          <w:shd w:val="clear" w:color="auto" w:fill="FFFFFF"/>
          <w:lang w:val="en-US" w:eastAsia="zh-CN"/>
        </w:rPr>
        <w:t>259.5万元。</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实际支出：</w:t>
      </w:r>
    </w:p>
    <w:p>
      <w:pPr>
        <w:widowControl/>
        <w:adjustRightInd w:val="0"/>
        <w:snapToGrid w:val="0"/>
        <w:spacing w:line="360" w:lineRule="auto"/>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sz w:val="28"/>
          <w:szCs w:val="28"/>
        </w:rPr>
        <w:t>一般公共预算财政拨款</w:t>
      </w:r>
      <w:r>
        <w:rPr>
          <w:rFonts w:hint="eastAsia" w:ascii="新宋体" w:hAnsi="新宋体" w:eastAsia="新宋体" w:cs="新宋体"/>
          <w:sz w:val="28"/>
          <w:szCs w:val="28"/>
          <w:lang w:eastAsia="zh-CN"/>
        </w:rPr>
        <w:t>支出：</w:t>
      </w:r>
      <w:r>
        <w:rPr>
          <w:rFonts w:hint="eastAsia" w:ascii="新宋体" w:hAnsi="新宋体" w:eastAsia="新宋体" w:cs="新宋体"/>
          <w:color w:val="000000"/>
          <w:kern w:val="0"/>
          <w:sz w:val="28"/>
          <w:szCs w:val="28"/>
          <w:shd w:val="clear" w:color="auto" w:fill="FFFFFF"/>
          <w:lang w:val="en-US" w:eastAsia="zh-CN"/>
        </w:rPr>
        <w:t>258.88万元（控制在预算数内）</w:t>
      </w:r>
    </w:p>
    <w:p>
      <w:pPr>
        <w:widowControl/>
        <w:adjustRightInd w:val="0"/>
        <w:snapToGrid w:val="0"/>
        <w:spacing w:line="360" w:lineRule="auto"/>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sz w:val="28"/>
          <w:szCs w:val="28"/>
        </w:rPr>
        <w:t>政府性基金预算财政拨款</w:t>
      </w:r>
      <w:r>
        <w:rPr>
          <w:rFonts w:hint="eastAsia" w:ascii="新宋体" w:hAnsi="新宋体" w:eastAsia="新宋体" w:cs="新宋体"/>
          <w:sz w:val="28"/>
          <w:szCs w:val="28"/>
          <w:lang w:eastAsia="zh-CN"/>
        </w:rPr>
        <w:t>支出：</w:t>
      </w:r>
      <w:r>
        <w:rPr>
          <w:rFonts w:hint="eastAsia" w:ascii="新宋体" w:hAnsi="新宋体" w:eastAsia="新宋体" w:cs="新宋体"/>
          <w:sz w:val="28"/>
          <w:szCs w:val="28"/>
          <w:lang w:val="en-US" w:eastAsia="zh-CN"/>
        </w:rPr>
        <w:t>7.28万元（回迁房专项维修资金）</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p>
    <w:p>
      <w:pPr>
        <w:widowControl/>
        <w:adjustRightInd w:val="0"/>
        <w:snapToGrid w:val="0"/>
        <w:spacing w:line="360" w:lineRule="auto"/>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2024年</w:t>
      </w:r>
      <w:r>
        <w:rPr>
          <w:rFonts w:hint="eastAsia" w:ascii="新宋体" w:hAnsi="新宋体" w:eastAsia="新宋体" w:cs="新宋体"/>
          <w:sz w:val="28"/>
          <w:szCs w:val="28"/>
        </w:rPr>
        <w:t>财政资金拨款收入</w:t>
      </w:r>
      <w:r>
        <w:rPr>
          <w:rFonts w:hint="eastAsia" w:ascii="新宋体" w:hAnsi="新宋体" w:eastAsia="新宋体" w:cs="新宋体"/>
          <w:sz w:val="28"/>
          <w:szCs w:val="28"/>
          <w:lang w:val="en-US" w:eastAsia="zh-CN"/>
        </w:rPr>
        <w:t>266.16万元，</w:t>
      </w:r>
      <w:r>
        <w:rPr>
          <w:rFonts w:hint="eastAsia" w:ascii="新宋体" w:hAnsi="新宋体" w:eastAsia="新宋体" w:cs="新宋体"/>
          <w:sz w:val="28"/>
          <w:szCs w:val="28"/>
        </w:rPr>
        <w:t>其中基本支出拨款收入</w:t>
      </w:r>
      <w:r>
        <w:rPr>
          <w:rFonts w:hint="eastAsia" w:ascii="新宋体" w:hAnsi="新宋体" w:eastAsia="新宋体" w:cs="新宋体"/>
          <w:sz w:val="28"/>
          <w:szCs w:val="28"/>
          <w:lang w:val="en-US" w:eastAsia="zh-CN"/>
        </w:rPr>
        <w:t>211.41万</w:t>
      </w:r>
      <w:r>
        <w:rPr>
          <w:rFonts w:hint="eastAsia" w:ascii="新宋体" w:hAnsi="新宋体" w:eastAsia="新宋体" w:cs="新宋体"/>
          <w:sz w:val="28"/>
          <w:szCs w:val="28"/>
          <w:lang w:eastAsia="zh-CN"/>
        </w:rPr>
        <w:t>元，</w:t>
      </w:r>
      <w:r>
        <w:rPr>
          <w:rFonts w:hint="eastAsia" w:ascii="新宋体" w:hAnsi="新宋体" w:eastAsia="新宋体" w:cs="新宋体"/>
          <w:sz w:val="28"/>
          <w:szCs w:val="28"/>
        </w:rPr>
        <w:t>一般项目拨款收入</w:t>
      </w:r>
      <w:r>
        <w:rPr>
          <w:rFonts w:hint="eastAsia" w:ascii="新宋体" w:hAnsi="新宋体" w:eastAsia="新宋体" w:cs="新宋体"/>
          <w:sz w:val="28"/>
          <w:szCs w:val="28"/>
          <w:lang w:val="en-US" w:eastAsia="zh-CN"/>
        </w:rPr>
        <w:t>54.75万</w:t>
      </w:r>
      <w:r>
        <w:rPr>
          <w:rFonts w:hint="eastAsia" w:ascii="新宋体" w:hAnsi="新宋体" w:eastAsia="新宋体" w:cs="新宋体"/>
          <w:sz w:val="28"/>
          <w:szCs w:val="28"/>
          <w:lang w:eastAsia="zh-CN"/>
        </w:rPr>
        <w:t>元</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（二）部门财政资金支出情况。</w:t>
      </w:r>
    </w:p>
    <w:p>
      <w:pPr>
        <w:widowControl/>
        <w:adjustRightInd w:val="0"/>
        <w:snapToGrid w:val="0"/>
        <w:spacing w:line="360" w:lineRule="auto"/>
        <w:ind w:firstLine="56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新宋体" w:hAnsi="新宋体" w:eastAsia="新宋体" w:cs="新宋体"/>
          <w:color w:val="000000"/>
          <w:kern w:val="0"/>
          <w:sz w:val="28"/>
          <w:szCs w:val="28"/>
          <w:shd w:val="clear" w:color="auto" w:fill="FFFFFF"/>
          <w:lang w:val="en-US" w:eastAsia="zh-CN"/>
        </w:rPr>
        <w:t>2024年</w:t>
      </w:r>
      <w:r>
        <w:rPr>
          <w:rFonts w:hint="eastAsia" w:ascii="新宋体" w:hAnsi="新宋体" w:eastAsia="新宋体" w:cs="新宋体"/>
          <w:sz w:val="28"/>
          <w:szCs w:val="28"/>
        </w:rPr>
        <w:t>财政资金拨款</w:t>
      </w:r>
      <w:r>
        <w:rPr>
          <w:rFonts w:hint="eastAsia" w:ascii="新宋体" w:hAnsi="新宋体" w:eastAsia="新宋体" w:cs="新宋体"/>
          <w:sz w:val="28"/>
          <w:szCs w:val="28"/>
          <w:lang w:eastAsia="zh-CN"/>
        </w:rPr>
        <w:t>支出</w:t>
      </w:r>
      <w:r>
        <w:rPr>
          <w:rFonts w:hint="eastAsia" w:ascii="新宋体" w:hAnsi="新宋体" w:eastAsia="新宋体" w:cs="新宋体"/>
          <w:sz w:val="28"/>
          <w:szCs w:val="28"/>
          <w:lang w:val="en-US" w:eastAsia="zh-CN"/>
        </w:rPr>
        <w:t>266.16万元，</w:t>
      </w:r>
      <w:r>
        <w:rPr>
          <w:rFonts w:hint="eastAsia" w:ascii="新宋体" w:hAnsi="新宋体" w:eastAsia="新宋体" w:cs="新宋体"/>
          <w:sz w:val="28"/>
          <w:szCs w:val="28"/>
        </w:rPr>
        <w:t>其中基本支出拨款</w:t>
      </w:r>
      <w:r>
        <w:rPr>
          <w:rFonts w:hint="eastAsia" w:ascii="新宋体" w:hAnsi="新宋体" w:eastAsia="新宋体" w:cs="新宋体"/>
          <w:sz w:val="28"/>
          <w:szCs w:val="28"/>
          <w:lang w:eastAsia="zh-CN"/>
        </w:rPr>
        <w:t>支出</w:t>
      </w:r>
      <w:r>
        <w:rPr>
          <w:rFonts w:hint="eastAsia" w:ascii="新宋体" w:hAnsi="新宋体" w:eastAsia="新宋体" w:cs="新宋体"/>
          <w:sz w:val="28"/>
          <w:szCs w:val="28"/>
          <w:lang w:val="en-US" w:eastAsia="zh-CN"/>
        </w:rPr>
        <w:t>211.41万</w:t>
      </w:r>
      <w:r>
        <w:rPr>
          <w:rFonts w:hint="eastAsia" w:ascii="新宋体" w:hAnsi="新宋体" w:eastAsia="新宋体" w:cs="新宋体"/>
          <w:sz w:val="28"/>
          <w:szCs w:val="28"/>
          <w:lang w:eastAsia="zh-CN"/>
        </w:rPr>
        <w:t>元，</w:t>
      </w:r>
      <w:r>
        <w:rPr>
          <w:rFonts w:hint="eastAsia" w:ascii="新宋体" w:hAnsi="新宋体" w:eastAsia="新宋体" w:cs="新宋体"/>
          <w:sz w:val="28"/>
          <w:szCs w:val="28"/>
        </w:rPr>
        <w:t>一般项目拨款</w:t>
      </w:r>
      <w:r>
        <w:rPr>
          <w:rFonts w:hint="eastAsia" w:ascii="新宋体" w:hAnsi="新宋体" w:eastAsia="新宋体" w:cs="新宋体"/>
          <w:sz w:val="28"/>
          <w:szCs w:val="28"/>
          <w:lang w:eastAsia="zh-CN"/>
        </w:rPr>
        <w:t>支出</w:t>
      </w:r>
      <w:r>
        <w:rPr>
          <w:rFonts w:hint="eastAsia" w:ascii="新宋体" w:hAnsi="新宋体" w:eastAsia="新宋体" w:cs="新宋体"/>
          <w:sz w:val="28"/>
          <w:szCs w:val="28"/>
          <w:lang w:val="en-US" w:eastAsia="zh-CN"/>
        </w:rPr>
        <w:t>54.75万</w:t>
      </w:r>
      <w:r>
        <w:rPr>
          <w:rFonts w:hint="eastAsia" w:ascii="新宋体" w:hAnsi="新宋体" w:eastAsia="新宋体" w:cs="新宋体"/>
          <w:sz w:val="28"/>
          <w:szCs w:val="28"/>
          <w:lang w:eastAsia="zh-CN"/>
        </w:rPr>
        <w:t>元</w:t>
      </w:r>
    </w:p>
    <w:p>
      <w:pPr>
        <w:widowControl/>
        <w:numPr>
          <w:ilvl w:val="0"/>
          <w:numId w:val="3"/>
        </w:numPr>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numId w:val="0"/>
        </w:numPr>
        <w:adjustRightInd w:val="0"/>
        <w:snapToGrid w:val="0"/>
        <w:spacing w:line="360" w:lineRule="auto"/>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 xml:space="preserve">   无</w:t>
      </w:r>
    </w:p>
    <w:p>
      <w:pPr>
        <w:widowControl/>
        <w:numPr>
          <w:numId w:val="0"/>
        </w:numPr>
        <w:adjustRightInd w:val="0"/>
        <w:snapToGrid w:val="0"/>
        <w:spacing w:line="360" w:lineRule="auto"/>
        <w:contextualSpacing/>
        <w:jc w:val="left"/>
        <w:rPr>
          <w:rFonts w:hint="eastAsia" w:ascii="楷体_GB2312" w:hAnsi="宋体" w:eastAsia="楷体_GB2312" w:cs="宋体"/>
          <w:color w:val="000000"/>
          <w:kern w:val="0"/>
          <w:szCs w:val="32"/>
          <w:shd w:val="clear" w:color="auto" w:fill="FFFFFF"/>
          <w:lang w:val="en-US" w:eastAsia="zh-CN"/>
        </w:rPr>
      </w:pPr>
    </w:p>
    <w:p>
      <w:pPr>
        <w:widowControl/>
        <w:adjustRightInd w:val="0"/>
        <w:snapToGrid w:val="0"/>
        <w:spacing w:line="360" w:lineRule="auto"/>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360" w:lineRule="auto"/>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40" w:lineRule="exact"/>
        <w:ind w:left="3" w:leftChars="1" w:firstLine="700" w:firstLineChars="250"/>
        <w:rPr>
          <w:rFonts w:hint="eastAsia" w:ascii="新宋体" w:hAnsi="新宋体" w:eastAsia="新宋体" w:cs="Arial Unicode MS"/>
          <w:sz w:val="28"/>
          <w:szCs w:val="28"/>
          <w:lang w:val="en-US" w:eastAsia="zh-CN"/>
        </w:rPr>
      </w:pPr>
      <w:r>
        <w:rPr>
          <w:rFonts w:hint="eastAsia" w:ascii="新宋体" w:hAnsi="新宋体" w:eastAsia="新宋体" w:cs="Arial Unicode MS"/>
          <w:sz w:val="28"/>
          <w:szCs w:val="28"/>
        </w:rPr>
        <w:t>20</w:t>
      </w:r>
      <w:r>
        <w:rPr>
          <w:rFonts w:hint="eastAsia" w:ascii="新宋体" w:hAnsi="新宋体" w:eastAsia="新宋体" w:cs="Arial Unicode MS"/>
          <w:sz w:val="28"/>
          <w:szCs w:val="28"/>
          <w:lang w:val="en-US" w:eastAsia="zh-CN"/>
        </w:rPr>
        <w:t>24</w:t>
      </w:r>
      <w:r>
        <w:rPr>
          <w:rFonts w:hint="eastAsia" w:ascii="新宋体" w:hAnsi="新宋体" w:eastAsia="新宋体" w:cs="Arial Unicode MS"/>
          <w:sz w:val="28"/>
          <w:szCs w:val="28"/>
        </w:rPr>
        <w:t>年预算数</w:t>
      </w:r>
      <w:r>
        <w:rPr>
          <w:rFonts w:hint="eastAsia" w:ascii="新宋体" w:hAnsi="新宋体" w:eastAsia="新宋体" w:cs="新宋体"/>
          <w:sz w:val="28"/>
          <w:szCs w:val="28"/>
          <w:lang w:val="en-US" w:eastAsia="zh-CN"/>
        </w:rPr>
        <w:t>266.18万元</w:t>
      </w:r>
      <w:r>
        <w:rPr>
          <w:rFonts w:hint="eastAsia" w:ascii="新宋体" w:hAnsi="新宋体" w:eastAsia="新宋体" w:cs="Arial Unicode MS"/>
          <w:sz w:val="28"/>
          <w:szCs w:val="28"/>
        </w:rPr>
        <w:t>，其中</w:t>
      </w:r>
      <w:r>
        <w:rPr>
          <w:rFonts w:hint="eastAsia" w:ascii="新宋体" w:hAnsi="新宋体" w:eastAsia="新宋体" w:cs="新宋体"/>
          <w:sz w:val="28"/>
          <w:szCs w:val="28"/>
        </w:rPr>
        <w:t>基本支出</w:t>
      </w:r>
      <w:r>
        <w:rPr>
          <w:rFonts w:hint="eastAsia" w:ascii="新宋体" w:hAnsi="新宋体" w:eastAsia="新宋体" w:cs="新宋体"/>
          <w:sz w:val="28"/>
          <w:szCs w:val="28"/>
          <w:lang w:val="en-US" w:eastAsia="zh-CN"/>
        </w:rPr>
        <w:t>211.41万</w:t>
      </w:r>
      <w:r>
        <w:rPr>
          <w:rFonts w:hint="eastAsia" w:ascii="新宋体" w:hAnsi="新宋体" w:eastAsia="新宋体" w:cs="新宋体"/>
          <w:sz w:val="28"/>
          <w:szCs w:val="28"/>
          <w:lang w:eastAsia="zh-CN"/>
        </w:rPr>
        <w:t>元，</w:t>
      </w:r>
      <w:r>
        <w:rPr>
          <w:rFonts w:hint="eastAsia" w:ascii="新宋体" w:hAnsi="新宋体" w:eastAsia="新宋体" w:cs="Arial Unicode MS"/>
          <w:sz w:val="28"/>
          <w:szCs w:val="28"/>
        </w:rPr>
        <w:t>占申报数的</w:t>
      </w:r>
      <w:r>
        <w:rPr>
          <w:rFonts w:hint="eastAsia" w:ascii="新宋体" w:hAnsi="新宋体" w:eastAsia="新宋体" w:cs="Arial Unicode MS"/>
          <w:sz w:val="28"/>
          <w:szCs w:val="28"/>
          <w:lang w:val="en-US" w:eastAsia="zh-CN"/>
        </w:rPr>
        <w:t>79.43</w:t>
      </w:r>
      <w:r>
        <w:rPr>
          <w:rFonts w:hint="eastAsia" w:ascii="新宋体" w:hAnsi="新宋体" w:eastAsia="新宋体" w:cs="Arial Unicode MS"/>
          <w:sz w:val="28"/>
          <w:szCs w:val="28"/>
        </w:rPr>
        <w:t>%，</w:t>
      </w:r>
      <w:r>
        <w:rPr>
          <w:rFonts w:hint="eastAsia" w:ascii="新宋体" w:hAnsi="新宋体" w:eastAsia="新宋体" w:cs="Arial Unicode MS"/>
          <w:sz w:val="28"/>
          <w:szCs w:val="28"/>
          <w:lang w:eastAsia="zh-CN"/>
        </w:rPr>
        <w:t>人员类支出</w:t>
      </w:r>
      <w:r>
        <w:rPr>
          <w:rFonts w:hint="eastAsia" w:ascii="新宋体" w:hAnsi="新宋体" w:eastAsia="新宋体" w:cs="Arial Unicode MS"/>
          <w:sz w:val="28"/>
          <w:szCs w:val="28"/>
          <w:lang w:val="en-US" w:eastAsia="zh-CN"/>
        </w:rPr>
        <w:t>200.54万元，公用经费</w:t>
      </w:r>
      <w:r>
        <w:rPr>
          <w:rFonts w:hint="eastAsia" w:ascii="新宋体" w:hAnsi="新宋体" w:eastAsia="新宋体" w:cs="Arial Unicode MS"/>
          <w:sz w:val="28"/>
          <w:szCs w:val="28"/>
          <w:lang w:eastAsia="zh-CN"/>
        </w:rPr>
        <w:t>支出</w:t>
      </w:r>
      <w:r>
        <w:rPr>
          <w:rFonts w:hint="eastAsia" w:ascii="新宋体" w:hAnsi="新宋体" w:eastAsia="新宋体" w:cs="Arial Unicode MS"/>
          <w:sz w:val="28"/>
          <w:szCs w:val="28"/>
          <w:lang w:val="en-US" w:eastAsia="zh-CN"/>
        </w:rPr>
        <w:t>10.89万元。项目类</w:t>
      </w:r>
      <w:r>
        <w:rPr>
          <w:rFonts w:hint="eastAsia" w:ascii="新宋体" w:hAnsi="新宋体" w:eastAsia="新宋体" w:cs="Arial Unicode MS"/>
          <w:sz w:val="28"/>
          <w:szCs w:val="28"/>
          <w:lang w:eastAsia="zh-CN"/>
        </w:rPr>
        <w:t>支出</w:t>
      </w:r>
      <w:r>
        <w:rPr>
          <w:rFonts w:hint="eastAsia" w:ascii="新宋体" w:hAnsi="新宋体" w:eastAsia="新宋体" w:cs="Arial Unicode MS"/>
          <w:sz w:val="28"/>
          <w:szCs w:val="28"/>
          <w:lang w:val="en-US" w:eastAsia="zh-CN"/>
        </w:rPr>
        <w:t>54.75万元。2024年全年预算</w:t>
      </w:r>
      <w:r>
        <w:rPr>
          <w:rFonts w:hint="eastAsia" w:ascii="新宋体" w:hAnsi="新宋体" w:eastAsia="新宋体" w:cs="Arial Unicode MS"/>
          <w:sz w:val="28"/>
          <w:szCs w:val="28"/>
          <w:lang w:eastAsia="zh-CN"/>
        </w:rPr>
        <w:t>支出</w:t>
      </w:r>
      <w:r>
        <w:rPr>
          <w:rFonts w:hint="eastAsia" w:ascii="新宋体" w:hAnsi="新宋体" w:eastAsia="新宋体" w:cs="Arial Unicode MS"/>
          <w:sz w:val="28"/>
          <w:szCs w:val="28"/>
          <w:lang w:val="en-US" w:eastAsia="zh-CN"/>
        </w:rPr>
        <w:t>266.18万元比2023年全年预算</w:t>
      </w:r>
      <w:r>
        <w:rPr>
          <w:rFonts w:hint="eastAsia" w:ascii="新宋体" w:hAnsi="新宋体" w:eastAsia="新宋体" w:cs="Arial Unicode MS"/>
          <w:sz w:val="28"/>
          <w:szCs w:val="28"/>
          <w:lang w:eastAsia="zh-CN"/>
        </w:rPr>
        <w:t>支出</w:t>
      </w:r>
      <w:r>
        <w:rPr>
          <w:rFonts w:hint="eastAsia" w:ascii="新宋体" w:hAnsi="新宋体" w:eastAsia="新宋体" w:cs="Arial Unicode MS"/>
          <w:sz w:val="28"/>
          <w:szCs w:val="28"/>
          <w:lang w:val="en-US" w:eastAsia="zh-CN"/>
        </w:rPr>
        <w:t>333万元减少66.84万元，减少原因在编人员退休一人，基本支出减少，项目类支出因日常公房、公租房维护支出预算数减少。</w:t>
      </w:r>
    </w:p>
    <w:p>
      <w:pPr>
        <w:spacing w:line="540" w:lineRule="exact"/>
        <w:ind w:left="179" w:leftChars="56" w:firstLine="560" w:firstLineChars="200"/>
        <w:rPr>
          <w:rFonts w:hint="eastAsia" w:ascii="新宋体" w:hAnsi="新宋体" w:eastAsia="新宋体" w:cs="Arial Unicode MS"/>
          <w:sz w:val="28"/>
          <w:szCs w:val="28"/>
          <w:shd w:val="clear" w:color="auto" w:fill="FFFFFF"/>
          <w:lang w:val="zh-CN"/>
        </w:rPr>
      </w:pPr>
      <w:r>
        <w:rPr>
          <w:rFonts w:hint="eastAsia" w:ascii="新宋体" w:hAnsi="新宋体" w:eastAsia="新宋体" w:cs="Arial Unicode MS"/>
          <w:sz w:val="28"/>
          <w:szCs w:val="28"/>
          <w:shd w:val="clear" w:color="auto" w:fill="FFFFFF"/>
          <w:lang w:val="zh-CN"/>
        </w:rPr>
        <w:t>在行政运转保障方面，除去临工编制外，在职人员</w:t>
      </w:r>
      <w:r>
        <w:rPr>
          <w:rFonts w:hint="eastAsia" w:ascii="新宋体" w:hAnsi="新宋体" w:eastAsia="新宋体" w:cs="Arial Unicode MS"/>
          <w:sz w:val="28"/>
          <w:szCs w:val="28"/>
          <w:shd w:val="clear" w:color="auto" w:fill="FFFFFF"/>
          <w:lang w:val="en-US" w:eastAsia="zh-CN"/>
        </w:rPr>
        <w:t>6</w:t>
      </w:r>
      <w:r>
        <w:rPr>
          <w:rFonts w:hint="eastAsia" w:ascii="新宋体" w:hAnsi="新宋体" w:eastAsia="新宋体" w:cs="Arial Unicode MS"/>
          <w:sz w:val="28"/>
          <w:szCs w:val="28"/>
          <w:shd w:val="clear" w:color="auto" w:fill="FFFFFF"/>
          <w:lang w:val="zh-CN"/>
        </w:rPr>
        <w:t>人与编制数</w:t>
      </w:r>
      <w:r>
        <w:rPr>
          <w:rFonts w:hint="eastAsia" w:ascii="新宋体" w:hAnsi="新宋体" w:eastAsia="新宋体" w:cs="Arial Unicode MS"/>
          <w:sz w:val="28"/>
          <w:szCs w:val="28"/>
          <w:shd w:val="clear" w:color="auto" w:fill="FFFFFF"/>
          <w:lang w:val="en-US" w:eastAsia="zh-CN"/>
        </w:rPr>
        <w:t>10</w:t>
      </w:r>
      <w:r>
        <w:rPr>
          <w:rFonts w:hint="eastAsia" w:ascii="新宋体" w:hAnsi="新宋体" w:eastAsia="新宋体" w:cs="Arial Unicode MS"/>
          <w:sz w:val="28"/>
          <w:szCs w:val="28"/>
          <w:shd w:val="clear" w:color="auto" w:fill="FFFFFF"/>
          <w:lang w:val="zh-CN"/>
        </w:rPr>
        <w:t>人的比例为</w:t>
      </w:r>
      <w:r>
        <w:rPr>
          <w:rFonts w:hint="eastAsia" w:ascii="新宋体" w:hAnsi="新宋体" w:eastAsia="新宋体" w:cs="Arial Unicode MS"/>
          <w:sz w:val="28"/>
          <w:szCs w:val="28"/>
          <w:shd w:val="clear" w:color="auto" w:fill="FFFFFF"/>
          <w:lang w:val="en-US" w:eastAsia="zh-CN"/>
        </w:rPr>
        <w:t>60</w:t>
      </w:r>
      <w:r>
        <w:rPr>
          <w:rFonts w:hint="eastAsia" w:ascii="新宋体" w:hAnsi="新宋体" w:eastAsia="新宋体" w:cs="Arial Unicode MS"/>
          <w:sz w:val="28"/>
          <w:szCs w:val="28"/>
          <w:shd w:val="clear" w:color="auto" w:fill="FFFFFF"/>
          <w:lang w:val="zh-CN"/>
        </w:rPr>
        <w:t>%。公用经费支出</w:t>
      </w:r>
      <w:r>
        <w:rPr>
          <w:rFonts w:hint="eastAsia" w:ascii="新宋体" w:hAnsi="新宋体" w:eastAsia="新宋体" w:cs="Arial Unicode MS"/>
          <w:sz w:val="28"/>
          <w:szCs w:val="28"/>
          <w:lang w:val="en-US" w:eastAsia="zh-CN"/>
        </w:rPr>
        <w:t>10.89</w:t>
      </w:r>
      <w:r>
        <w:rPr>
          <w:rFonts w:hint="eastAsia" w:ascii="新宋体" w:hAnsi="新宋体" w:eastAsia="新宋体" w:cs="Arial Unicode MS"/>
          <w:sz w:val="28"/>
          <w:szCs w:val="28"/>
          <w:shd w:val="clear" w:color="auto" w:fill="FFFFFF"/>
          <w:lang w:val="zh-CN"/>
        </w:rPr>
        <w:t>万元</w:t>
      </w:r>
      <w:r>
        <w:rPr>
          <w:rFonts w:hint="eastAsia" w:ascii="新宋体" w:hAnsi="新宋体" w:eastAsia="新宋体" w:cs="新宋体"/>
          <w:sz w:val="28"/>
          <w:szCs w:val="28"/>
          <w:shd w:val="clear" w:color="auto" w:fill="FFFFFF"/>
          <w:lang w:val="zh-CN"/>
        </w:rPr>
        <w:t>（其中包括</w:t>
      </w:r>
      <w:r>
        <w:rPr>
          <w:rFonts w:hint="eastAsia" w:ascii="新宋体" w:hAnsi="新宋体" w:eastAsia="新宋体" w:cs="新宋体"/>
          <w:sz w:val="28"/>
          <w:szCs w:val="28"/>
        </w:rPr>
        <w:t>退休人员死亡慰问金</w:t>
      </w:r>
      <w:r>
        <w:rPr>
          <w:rFonts w:hint="eastAsia" w:ascii="新宋体" w:hAnsi="新宋体" w:eastAsia="新宋体" w:cs="新宋体"/>
          <w:sz w:val="28"/>
          <w:szCs w:val="28"/>
          <w:lang w:val="en-US" w:eastAsia="zh-CN"/>
        </w:rPr>
        <w:t>0.1万元、临聘人员劳务费用0.84万元、转工会福利费1.56万元，实际公用经费支出：8.39</w:t>
      </w:r>
      <w:r>
        <w:rPr>
          <w:rFonts w:hint="eastAsia" w:ascii="新宋体" w:hAnsi="新宋体" w:eastAsia="新宋体" w:cs="新宋体"/>
          <w:sz w:val="28"/>
          <w:szCs w:val="28"/>
          <w:shd w:val="clear" w:color="auto" w:fill="FFFFFF"/>
          <w:lang w:val="zh-CN"/>
        </w:rPr>
        <w:t>）</w:t>
      </w:r>
      <w:r>
        <w:rPr>
          <w:rFonts w:hint="eastAsia" w:ascii="新宋体" w:hAnsi="新宋体" w:eastAsia="新宋体" w:cs="Arial Unicode MS"/>
          <w:sz w:val="28"/>
          <w:szCs w:val="28"/>
          <w:shd w:val="clear" w:color="auto" w:fill="FFFFFF"/>
          <w:lang w:val="zh-CN"/>
        </w:rPr>
        <w:t>，占总支出</w:t>
      </w:r>
      <w:r>
        <w:rPr>
          <w:rFonts w:hint="eastAsia" w:ascii="新宋体" w:hAnsi="新宋体" w:eastAsia="新宋体" w:cs="新宋体"/>
          <w:sz w:val="28"/>
          <w:szCs w:val="28"/>
          <w:lang w:val="en-US" w:eastAsia="zh-CN"/>
        </w:rPr>
        <w:t>266.18</w:t>
      </w:r>
      <w:r>
        <w:rPr>
          <w:rFonts w:hint="eastAsia" w:ascii="新宋体" w:hAnsi="新宋体" w:eastAsia="新宋体" w:cs="Arial Unicode MS"/>
          <w:sz w:val="28"/>
          <w:szCs w:val="28"/>
          <w:shd w:val="clear" w:color="auto" w:fill="FFFFFF"/>
          <w:lang w:val="zh-CN"/>
        </w:rPr>
        <w:t>万元的</w:t>
      </w:r>
      <w:r>
        <w:rPr>
          <w:rFonts w:hint="eastAsia" w:ascii="新宋体" w:hAnsi="新宋体" w:eastAsia="新宋体" w:cs="Arial Unicode MS"/>
          <w:sz w:val="28"/>
          <w:szCs w:val="28"/>
          <w:shd w:val="clear" w:color="auto" w:fill="FFFFFF"/>
          <w:lang w:val="en-US" w:eastAsia="zh-CN"/>
        </w:rPr>
        <w:t>4.09</w:t>
      </w:r>
      <w:r>
        <w:rPr>
          <w:rFonts w:hint="eastAsia" w:ascii="新宋体" w:hAnsi="新宋体" w:eastAsia="新宋体" w:cs="Arial Unicode MS"/>
          <w:sz w:val="28"/>
          <w:szCs w:val="28"/>
          <w:shd w:val="clear" w:color="auto" w:fill="FFFFFF"/>
          <w:lang w:val="zh-CN"/>
        </w:rPr>
        <w:t>%，人员经费支出</w:t>
      </w:r>
      <w:r>
        <w:rPr>
          <w:rFonts w:hint="eastAsia" w:ascii="新宋体" w:hAnsi="新宋体" w:eastAsia="新宋体" w:cs="Arial Unicode MS"/>
          <w:sz w:val="28"/>
          <w:szCs w:val="28"/>
          <w:lang w:val="en-US" w:eastAsia="zh-CN"/>
        </w:rPr>
        <w:t>200.54</w:t>
      </w:r>
      <w:r>
        <w:rPr>
          <w:rFonts w:hint="eastAsia" w:ascii="新宋体" w:hAnsi="新宋体" w:eastAsia="新宋体" w:cs="Arial Unicode MS"/>
          <w:sz w:val="28"/>
          <w:szCs w:val="28"/>
          <w:shd w:val="clear" w:color="auto" w:fill="FFFFFF"/>
          <w:lang w:val="zh-CN"/>
        </w:rPr>
        <w:t>万元，占总支出</w:t>
      </w:r>
      <w:r>
        <w:rPr>
          <w:rFonts w:hint="eastAsia" w:ascii="新宋体" w:hAnsi="新宋体" w:eastAsia="新宋体" w:cs="新宋体"/>
          <w:sz w:val="28"/>
          <w:szCs w:val="28"/>
          <w:lang w:val="en-US" w:eastAsia="zh-CN"/>
        </w:rPr>
        <w:t>266.18</w:t>
      </w:r>
      <w:r>
        <w:rPr>
          <w:rFonts w:hint="eastAsia" w:ascii="新宋体" w:hAnsi="新宋体" w:eastAsia="新宋体" w:cs="Arial Unicode MS"/>
          <w:sz w:val="28"/>
          <w:szCs w:val="28"/>
          <w:shd w:val="clear" w:color="auto" w:fill="FFFFFF"/>
          <w:lang w:val="zh-CN"/>
        </w:rPr>
        <w:t>万元的</w:t>
      </w:r>
      <w:r>
        <w:rPr>
          <w:rFonts w:hint="eastAsia" w:ascii="新宋体" w:hAnsi="新宋体" w:eastAsia="新宋体" w:cs="Arial Unicode MS"/>
          <w:sz w:val="28"/>
          <w:szCs w:val="28"/>
          <w:shd w:val="clear" w:color="auto" w:fill="FFFFFF"/>
          <w:lang w:val="en-US" w:eastAsia="zh-CN"/>
        </w:rPr>
        <w:t>75.34</w:t>
      </w:r>
      <w:r>
        <w:rPr>
          <w:rFonts w:hint="eastAsia" w:ascii="新宋体" w:hAnsi="新宋体" w:eastAsia="新宋体" w:cs="Arial Unicode MS"/>
          <w:sz w:val="28"/>
          <w:szCs w:val="28"/>
          <w:shd w:val="clear" w:color="auto" w:fill="FFFFFF"/>
          <w:lang w:val="zh-CN"/>
        </w:rPr>
        <w:t>%，人均公用经费为</w:t>
      </w:r>
      <w:r>
        <w:rPr>
          <w:rFonts w:hint="eastAsia" w:ascii="新宋体" w:hAnsi="新宋体" w:eastAsia="新宋体" w:cs="Arial Unicode MS"/>
          <w:sz w:val="28"/>
          <w:szCs w:val="28"/>
          <w:shd w:val="clear" w:color="auto" w:fill="FFFFFF"/>
          <w:lang w:val="en-US" w:eastAsia="zh-CN"/>
        </w:rPr>
        <w:t>1.1</w:t>
      </w:r>
      <w:r>
        <w:rPr>
          <w:rFonts w:hint="eastAsia" w:ascii="新宋体" w:hAnsi="新宋体" w:eastAsia="新宋体" w:cs="Arial Unicode MS"/>
          <w:sz w:val="28"/>
          <w:szCs w:val="28"/>
          <w:shd w:val="clear" w:color="auto" w:fill="FFFFFF"/>
          <w:lang w:val="zh-CN"/>
        </w:rPr>
        <w:t>万元（年），人均工资约</w:t>
      </w:r>
      <w:r>
        <w:rPr>
          <w:rFonts w:hint="eastAsia" w:ascii="新宋体" w:hAnsi="新宋体" w:eastAsia="新宋体" w:cs="Arial Unicode MS"/>
          <w:sz w:val="28"/>
          <w:szCs w:val="28"/>
          <w:shd w:val="clear" w:color="auto" w:fill="FFFFFF"/>
          <w:lang w:val="en-US" w:eastAsia="zh-CN"/>
        </w:rPr>
        <w:t>8</w:t>
      </w:r>
      <w:r>
        <w:rPr>
          <w:rFonts w:hint="eastAsia" w:ascii="新宋体" w:hAnsi="新宋体" w:eastAsia="新宋体" w:cs="Arial Unicode MS"/>
          <w:sz w:val="28"/>
          <w:szCs w:val="28"/>
          <w:shd w:val="clear" w:color="auto" w:fill="FFFFFF"/>
          <w:lang w:val="zh-CN"/>
        </w:rPr>
        <w:t>万元。临工编制</w:t>
      </w:r>
      <w:r>
        <w:rPr>
          <w:rFonts w:hint="eastAsia" w:ascii="新宋体" w:hAnsi="新宋体" w:eastAsia="新宋体" w:cs="Arial Unicode MS"/>
          <w:sz w:val="28"/>
          <w:szCs w:val="28"/>
          <w:shd w:val="clear" w:color="auto" w:fill="FFFFFF"/>
          <w:lang w:val="en-US" w:eastAsia="zh-CN"/>
        </w:rPr>
        <w:t>7人，每人每年5.3万标准，财政拨款开支其他人员2人（最低工资标准）。</w:t>
      </w:r>
      <w:r>
        <w:rPr>
          <w:rFonts w:hint="eastAsia" w:ascii="新宋体" w:hAnsi="新宋体" w:eastAsia="新宋体" w:cs="Arial Unicode MS"/>
          <w:sz w:val="28"/>
          <w:szCs w:val="28"/>
          <w:shd w:val="clear" w:color="auto" w:fill="FFFFFF"/>
          <w:lang w:val="zh-CN"/>
        </w:rPr>
        <w:t>从以上指标看出，人员配备比较少，经费构成较少、所占比例较少。从人力、物力上勉强保证了单位日常工作的运转。</w:t>
      </w:r>
    </w:p>
    <w:p>
      <w:pPr>
        <w:widowControl/>
        <w:adjustRightInd w:val="0"/>
        <w:snapToGrid w:val="0"/>
        <w:spacing w:line="360" w:lineRule="auto"/>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360" w:lineRule="auto"/>
        <w:ind w:firstLine="560" w:firstLineChars="200"/>
        <w:contextualSpacing/>
        <w:jc w:val="left"/>
        <w:rPr>
          <w:rFonts w:ascii="仿宋_GB2312" w:hAnsi="宋体" w:eastAsia="仿宋_GB2312" w:cs="宋体"/>
          <w:color w:val="000000"/>
          <w:kern w:val="0"/>
          <w:szCs w:val="32"/>
          <w:shd w:val="clear" w:color="auto" w:fill="FFFFFF"/>
          <w:lang w:val="zh-CN"/>
        </w:rPr>
      </w:pPr>
      <w:r>
        <w:rPr>
          <w:rFonts w:hint="eastAsia" w:ascii="新宋体" w:hAnsi="新宋体" w:eastAsia="新宋体" w:cs="新宋体"/>
          <w:color w:val="000000"/>
          <w:kern w:val="0"/>
          <w:sz w:val="28"/>
          <w:szCs w:val="28"/>
          <w:shd w:val="clear" w:color="auto" w:fill="FFFFFF"/>
          <w:lang w:val="zh-CN"/>
        </w:rPr>
        <w:t>包括项目绩效目标制定、目标实现、支出控制、及时处置、执行进度、预算完成情况、资金结余率（低效无效率）和违规记录等情况。</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zh-CN"/>
        </w:rPr>
        <w:t>1.整体情况</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zh-CN"/>
        </w:rPr>
        <w:t>两河口工农街区直管公房住户搬迁项目：</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绩效目标：全年投入12万元资金，对两河口街区内工农街120户直管公房进行搬迁工作中所产生的搬迁工作经费。实际拆迁过程中未使用预算经费，控制在预算数内。全年完成工农街直管公房搬迁工作完成率100%，工农街直管公房搬迁住户投诉问题处理率100%，工农街直管公房搬迁住户满意度92%。</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zh-CN"/>
        </w:rPr>
        <w:t>公房管理维修经费项目：</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en-US" w:eastAsia="zh-CN"/>
        </w:rPr>
        <w:t xml:space="preserve">绩效目标：全年投入18万元资金，对全区1000多户公房的租金收入入库，进行日常的维修和维护工作，保障低收入人群基本的公房居住环境。2024年实际使用预算经费12.35万元，控制在预算数内完成预算目标。公房住户对维修结果满意度大于85%，基本达到目标。修缮点位处重大安全事故次数为0，达到绩效目标。 </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zh-CN"/>
        </w:rPr>
        <w:t>公共租赁住房管理经费项目：</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 xml:space="preserve">绩效目标：全年预计投入30万元资金，对全区公共租赁住房进行日常的维修和维护和管理工作，支付物业管理费用，租金收缴入库等，保障低收入人群基本的公房居住环境。2024年实际使用预算经费4.91万元，控制在预算数内完成预算目标。公共租赁住房住户对维修结果满意度大于85%，达到绩效目标。修缮点位处重大安全事故次数为0，达到绩效目标。 </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zh-CN"/>
        </w:rPr>
      </w:pPr>
      <w:r>
        <w:rPr>
          <w:rFonts w:hint="eastAsia" w:ascii="新宋体" w:hAnsi="新宋体" w:eastAsia="新宋体" w:cs="新宋体"/>
          <w:color w:val="000000"/>
          <w:kern w:val="0"/>
          <w:sz w:val="28"/>
          <w:szCs w:val="28"/>
          <w:shd w:val="clear" w:color="auto" w:fill="FFFFFF"/>
          <w:lang w:val="zh-CN"/>
        </w:rPr>
        <w:t>交易与产权和房管事务管理项目：</w:t>
      </w:r>
    </w:p>
    <w:p>
      <w:pPr>
        <w:widowControl/>
        <w:adjustRightInd w:val="0"/>
        <w:snapToGrid w:val="0"/>
        <w:spacing w:line="360" w:lineRule="auto"/>
        <w:ind w:firstLine="560" w:firstLineChars="200"/>
        <w:contextualSpacing/>
        <w:jc w:val="left"/>
        <w:rPr>
          <w:rFonts w:hint="eastAsia" w:ascii="新宋体" w:hAnsi="新宋体" w:eastAsia="新宋体" w:cs="新宋体"/>
          <w:color w:val="000000"/>
          <w:kern w:val="0"/>
          <w:sz w:val="28"/>
          <w:szCs w:val="28"/>
          <w:shd w:val="clear" w:color="auto" w:fill="FFFFFF"/>
          <w:lang w:val="en-US" w:eastAsia="zh-CN"/>
        </w:rPr>
      </w:pPr>
      <w:r>
        <w:rPr>
          <w:rFonts w:hint="eastAsia" w:ascii="新宋体" w:hAnsi="新宋体" w:eastAsia="新宋体" w:cs="新宋体"/>
          <w:color w:val="000000"/>
          <w:kern w:val="0"/>
          <w:sz w:val="28"/>
          <w:szCs w:val="28"/>
          <w:shd w:val="clear" w:color="auto" w:fill="FFFFFF"/>
          <w:lang w:val="en-US" w:eastAsia="zh-CN"/>
        </w:rPr>
        <w:t>绩效目标：全年预计投入30万元资金，对全区公共租赁住房进行日常的维修和维护和管理工作，支付物业管理费用，租金收缴入库等，保障低收入人群基本的公房居住环境。2024年实际使用预算经费2.99万元，控制在预算数内完成预算目标。交易大厅办事群众投诉率低于10%，达到绩效目标。交易大厅办事群众对办件结果满意度高于90%，达到绩效目标。</w:t>
      </w:r>
      <w:bookmarkStart w:id="0" w:name="_GoBack"/>
      <w:bookmarkEnd w:id="0"/>
    </w:p>
    <w:p>
      <w:pPr>
        <w:widowControl/>
        <w:adjustRightInd w:val="0"/>
        <w:snapToGrid w:val="0"/>
        <w:spacing w:line="360" w:lineRule="auto"/>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w:t>
      </w:r>
      <w:r>
        <w:rPr>
          <w:rFonts w:hint="eastAsia" w:ascii="仿宋_GB2312" w:hAnsi="宋体" w:eastAsia="仿宋_GB2312" w:cs="宋体"/>
          <w:color w:val="000000"/>
          <w:kern w:val="0"/>
          <w:szCs w:val="32"/>
          <w:shd w:val="clear" w:color="auto" w:fill="FFFFFF"/>
          <w:lang w:val="en-US" w:eastAsia="zh-CN"/>
        </w:rPr>
        <w:t>5</w:t>
      </w:r>
      <w:r>
        <w:rPr>
          <w:rFonts w:hint="eastAsia" w:ascii="仿宋_GB2312" w:hAnsi="宋体" w:eastAsia="仿宋_GB2312" w:cs="宋体"/>
          <w:color w:val="000000"/>
          <w:kern w:val="0"/>
          <w:szCs w:val="32"/>
          <w:shd w:val="clear" w:color="auto" w:fill="FFFFFF"/>
          <w:lang w:val="zh-CN"/>
        </w:rPr>
        <w:t>0万以上项目：</w:t>
      </w:r>
    </w:p>
    <w:p>
      <w:pPr>
        <w:widowControl/>
        <w:adjustRightInd w:val="0"/>
        <w:snapToGrid w:val="0"/>
        <w:spacing w:line="360" w:lineRule="auto"/>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无</w:t>
      </w:r>
    </w:p>
    <w:p>
      <w:pPr>
        <w:widowControl/>
        <w:adjustRightInd w:val="0"/>
        <w:snapToGrid w:val="0"/>
        <w:spacing w:line="360" w:lineRule="auto"/>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360" w:lineRule="auto"/>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包括内部应用、自评公开、问题整改和应用反馈等情况。</w:t>
      </w:r>
    </w:p>
    <w:p>
      <w:pPr>
        <w:pStyle w:val="22"/>
        <w:numPr>
          <w:ilvl w:val="0"/>
          <w:numId w:val="0"/>
        </w:numPr>
        <w:ind w:left="160" w:leftChars="50" w:firstLine="280" w:firstLineChars="100"/>
        <w:rPr>
          <w:rFonts w:hint="eastAsia" w:ascii="新宋体" w:hAnsi="新宋体" w:eastAsia="新宋体" w:cs="Arial Unicode MS"/>
          <w:sz w:val="28"/>
          <w:szCs w:val="28"/>
          <w:lang w:val="zh-CN"/>
        </w:rPr>
      </w:pPr>
      <w:r>
        <w:rPr>
          <w:rFonts w:hint="eastAsia" w:ascii="新宋体" w:hAnsi="新宋体" w:eastAsia="新宋体" w:cs="Arial Unicode MS"/>
          <w:sz w:val="28"/>
          <w:szCs w:val="28"/>
          <w:shd w:val="clear" w:color="auto" w:fill="FFFFFF"/>
          <w:lang w:val="zh-CN"/>
        </w:rPr>
        <w:t>（1）资金绩效分配情况</w:t>
      </w:r>
    </w:p>
    <w:p>
      <w:pPr>
        <w:pStyle w:val="23"/>
        <w:ind w:left="320" w:leftChars="100" w:firstLine="420" w:firstLineChars="150"/>
        <w:rPr>
          <w:rFonts w:hint="eastAsia" w:ascii="新宋体" w:hAnsi="新宋体" w:eastAsia="新宋体" w:cs="Arial Unicode MS"/>
          <w:sz w:val="28"/>
          <w:szCs w:val="28"/>
        </w:rPr>
      </w:pPr>
      <w:r>
        <w:rPr>
          <w:rFonts w:hint="eastAsia" w:ascii="新宋体" w:hAnsi="新宋体" w:eastAsia="新宋体" w:cs="Arial Unicode MS"/>
          <w:sz w:val="28"/>
          <w:szCs w:val="28"/>
        </w:rPr>
        <w:t>严格按照执行《四川省省级财政专项资金绩效分配管理暂行办法》，实施绩效分配，提升财政资金使用绩效为目标，依据专项项目性质特征，采用规范化、制度化、科学化的分配手段，实现财政资源有效配置。</w:t>
      </w:r>
    </w:p>
    <w:p>
      <w:pPr>
        <w:pStyle w:val="22"/>
        <w:numPr>
          <w:ilvl w:val="0"/>
          <w:numId w:val="0"/>
        </w:numPr>
        <w:ind w:left="160" w:leftChars="50" w:firstLine="280" w:firstLineChars="100"/>
        <w:rPr>
          <w:rFonts w:hint="eastAsia" w:ascii="新宋体" w:hAnsi="新宋体" w:eastAsia="新宋体" w:cs="Arial Unicode MS"/>
          <w:sz w:val="28"/>
          <w:szCs w:val="28"/>
          <w:shd w:val="clear" w:color="auto" w:fill="FFFFFF"/>
          <w:lang w:val="zh-CN"/>
        </w:rPr>
      </w:pPr>
      <w:r>
        <w:rPr>
          <w:rFonts w:hint="eastAsia" w:ascii="新宋体" w:hAnsi="新宋体" w:eastAsia="新宋体" w:cs="Arial Unicode MS"/>
          <w:sz w:val="28"/>
          <w:szCs w:val="28"/>
          <w:shd w:val="clear" w:color="auto" w:fill="FFFFFF"/>
          <w:lang w:val="zh-CN"/>
        </w:rPr>
        <w:t>（2）项目资金管理情况</w:t>
      </w:r>
    </w:p>
    <w:p>
      <w:pPr>
        <w:ind w:left="301" w:leftChars="94" w:firstLine="397" w:firstLineChars="142"/>
        <w:rPr>
          <w:rFonts w:hint="eastAsia" w:ascii="新宋体" w:hAnsi="新宋体" w:eastAsia="新宋体" w:cs="Arial Unicode MS"/>
          <w:sz w:val="28"/>
          <w:szCs w:val="28"/>
        </w:rPr>
      </w:pPr>
      <w:r>
        <w:rPr>
          <w:rFonts w:hint="eastAsia" w:ascii="新宋体" w:hAnsi="新宋体" w:eastAsia="新宋体" w:cs="Arial Unicode MS"/>
          <w:sz w:val="28"/>
          <w:szCs w:val="28"/>
          <w:shd w:val="clear" w:color="auto" w:fill="FFFFFF"/>
          <w:lang w:val="zh-CN"/>
        </w:rPr>
        <w:t>项</w:t>
      </w:r>
      <w:r>
        <w:rPr>
          <w:rFonts w:hint="eastAsia" w:ascii="新宋体" w:hAnsi="新宋体" w:eastAsia="新宋体" w:cs="Arial Unicode MS"/>
          <w:sz w:val="28"/>
          <w:szCs w:val="28"/>
        </w:rPr>
        <w:t>目资金管理基本原则：先报计划，按程序批复，控制使用，同日常开支区别开。特别是“三公经费”严格按预算执行。</w:t>
      </w:r>
    </w:p>
    <w:p>
      <w:pPr>
        <w:pStyle w:val="17"/>
        <w:numPr>
          <w:ilvl w:val="0"/>
          <w:numId w:val="0"/>
        </w:numPr>
        <w:ind w:right="560" w:firstLine="420" w:firstLineChars="150"/>
        <w:rPr>
          <w:rFonts w:hint="eastAsia" w:ascii="新宋体" w:hAnsi="新宋体" w:eastAsia="新宋体" w:cs="Arial Unicode MS"/>
          <w:sz w:val="28"/>
          <w:szCs w:val="28"/>
          <w:shd w:val="clear" w:color="auto" w:fill="FFFFFF"/>
        </w:rPr>
      </w:pPr>
      <w:r>
        <w:rPr>
          <w:rFonts w:hint="eastAsia" w:ascii="新宋体" w:hAnsi="新宋体" w:eastAsia="新宋体" w:cs="Arial Unicode MS"/>
          <w:sz w:val="28"/>
          <w:szCs w:val="28"/>
          <w:shd w:val="clear" w:color="auto" w:fill="FFFFFF"/>
        </w:rPr>
        <w:t>（3）财务管理情况</w:t>
      </w:r>
    </w:p>
    <w:p>
      <w:pPr>
        <w:ind w:left="285" w:leftChars="89" w:firstLine="420" w:firstLineChars="150"/>
        <w:rPr>
          <w:rFonts w:hint="eastAsia" w:ascii="新宋体" w:hAnsi="新宋体" w:eastAsia="新宋体" w:cs="Arial Unicode MS"/>
          <w:snapToGrid w:val="0"/>
          <w:sz w:val="28"/>
          <w:szCs w:val="28"/>
        </w:rPr>
      </w:pPr>
      <w:r>
        <w:rPr>
          <w:rStyle w:val="24"/>
          <w:rFonts w:hint="eastAsia" w:ascii="新宋体" w:hAnsi="新宋体" w:eastAsia="新宋体" w:cs="Arial Unicode MS"/>
          <w:sz w:val="28"/>
          <w:szCs w:val="28"/>
        </w:rPr>
        <w:t>建立和完善组织机构，实现项目资金的管控；实现对项目资金的及时到位、合理运用；</w:t>
      </w:r>
      <w:r>
        <w:rPr>
          <w:rStyle w:val="25"/>
          <w:rFonts w:hint="eastAsia" w:ascii="新宋体" w:hAnsi="新宋体" w:eastAsia="新宋体" w:cs="Arial Unicode MS"/>
          <w:color w:val="auto"/>
          <w:sz w:val="28"/>
          <w:szCs w:val="28"/>
        </w:rPr>
        <w:t>进行财务培训和监测；</w:t>
      </w:r>
      <w:r>
        <w:rPr>
          <w:rFonts w:hint="eastAsia" w:ascii="新宋体" w:hAnsi="新宋体" w:eastAsia="新宋体" w:cs="Arial Unicode MS"/>
          <w:snapToGrid w:val="0"/>
          <w:sz w:val="28"/>
          <w:szCs w:val="28"/>
        </w:rPr>
        <w:t>严格执行相关财务管理制度，按区政府采购目录及程序采购，账务处理及时准确、会计核算较规范。</w:t>
      </w:r>
    </w:p>
    <w:p>
      <w:pPr>
        <w:pStyle w:val="17"/>
        <w:numPr>
          <w:ilvl w:val="0"/>
          <w:numId w:val="4"/>
        </w:numPr>
        <w:tabs>
          <w:tab w:val="left" w:pos="960"/>
          <w:tab w:val="clear" w:pos="1140"/>
        </w:tabs>
        <w:rPr>
          <w:rFonts w:hint="eastAsia" w:ascii="新宋体" w:hAnsi="新宋体" w:eastAsia="新宋体" w:cs="Arial Unicode MS"/>
          <w:sz w:val="28"/>
          <w:szCs w:val="28"/>
          <w:shd w:val="clear" w:color="auto" w:fill="FFFFFF"/>
        </w:rPr>
      </w:pPr>
      <w:r>
        <w:rPr>
          <w:rFonts w:hint="eastAsia" w:ascii="新宋体" w:hAnsi="新宋体" w:eastAsia="新宋体" w:cs="Arial Unicode MS"/>
          <w:sz w:val="28"/>
          <w:szCs w:val="28"/>
          <w:shd w:val="clear" w:color="auto" w:fill="FFFFFF"/>
        </w:rPr>
        <w:t>绩效管理工作开展情况</w:t>
      </w:r>
    </w:p>
    <w:p>
      <w:pPr>
        <w:ind w:left="282" w:leftChars="88" w:firstLine="420" w:firstLineChars="150"/>
        <w:rPr>
          <w:rFonts w:hint="eastAsia" w:ascii="新宋体" w:hAnsi="新宋体" w:eastAsia="新宋体" w:cs="Arial Unicode MS"/>
          <w:sz w:val="28"/>
          <w:szCs w:val="28"/>
        </w:rPr>
      </w:pPr>
      <w:r>
        <w:rPr>
          <w:rFonts w:hint="eastAsia" w:ascii="新宋体" w:hAnsi="新宋体" w:eastAsia="新宋体" w:cs="Arial Unicode MS"/>
          <w:sz w:val="28"/>
          <w:szCs w:val="28"/>
        </w:rPr>
        <w:t>组织机构逐步健全；规章制度不断完善。全所上下凝心聚力、统一认识、更新观念、攻坚克难，紧紧围绕全年各项目标任务，加强业务知识学习、规范办理程序、强化内部管理，使服务水平、管理效能和运行效率不断提升，圆满完成今年各项目标任务。</w:t>
      </w:r>
    </w:p>
    <w:p>
      <w:pPr>
        <w:widowControl/>
        <w:adjustRightInd w:val="0"/>
        <w:snapToGrid w:val="0"/>
        <w:spacing w:line="360" w:lineRule="auto"/>
        <w:ind w:firstLine="640" w:firstLineChars="200"/>
        <w:contextualSpacing/>
        <w:jc w:val="left"/>
        <w:rPr>
          <w:rFonts w:hint="eastAsia" w:ascii="仿宋_GB2312" w:hAnsi="宋体" w:eastAsia="仿宋_GB2312" w:cs="宋体"/>
          <w:color w:val="000000"/>
          <w:kern w:val="0"/>
          <w:szCs w:val="32"/>
          <w:shd w:val="clear" w:color="auto" w:fill="FFFFFF"/>
          <w:lang w:val="zh-CN"/>
        </w:rPr>
      </w:pPr>
    </w:p>
    <w:p>
      <w:pPr>
        <w:widowControl/>
        <w:adjustRightInd w:val="0"/>
        <w:snapToGrid w:val="0"/>
        <w:spacing w:line="360" w:lineRule="auto"/>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spacing w:line="360" w:lineRule="auto"/>
        <w:ind w:firstLine="560" w:firstLineChars="200"/>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近年来，乐山市五通桥区住房保障和房地产事务中心围绕住房保障体系建设与房地产市场管理核心职能，扎实推进各项工作，取得显著成效。在住房保障方面，持续扩大保障覆盖面，公租房分配管理规范有序，城镇低收入家庭住房困难问题得到有效缓解；大力推进棚户区改造和老旧小区改造项目，改善居民居住环境，提升城市形象。在房地产市场管理上，强化预售资金监管，规范市场交易秩序，有效防范市场风险，保障购房者合法权益；积极推动房地产行业健康发展，促进区域经济稳定增长。此外，中心不断优化政务服务流程，提高办事效率，通过线上线下结合的方式，方便群众办理住房保障和房地产相关业务，群众满意度稳步提升 。</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spacing w:line="360" w:lineRule="auto"/>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1. 住房保障方面</w:t>
      </w:r>
    </w:p>
    <w:p>
      <w:pPr>
        <w:spacing w:line="360" w:lineRule="auto"/>
        <w:ind w:firstLine="560" w:firstLineChars="200"/>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公租房后续管理难度较大，存在个别租户违规转租、拖欠租金等现象，动态监管机制有待进一步完善，退出机制执行不够严格。</w:t>
      </w:r>
    </w:p>
    <w:p>
      <w:pPr>
        <w:spacing w:line="360" w:lineRule="auto"/>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2. 房地产市场管理方面</w:t>
      </w:r>
    </w:p>
    <w:p>
      <w:pPr>
        <w:spacing w:line="360" w:lineRule="auto"/>
        <w:ind w:firstLine="560" w:firstLineChars="200"/>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市场监测预警体系不够健全，对房地产市场的供求关系、价格走势等关键指标的动态监测和分析能力不足，难以精准把握市场变化趋势，为政策制定提供有效支撑。</w:t>
      </w:r>
    </w:p>
    <w:p>
      <w:pPr>
        <w:spacing w:line="360" w:lineRule="auto"/>
        <w:jc w:val="left"/>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3. 服务与管理效能方面</w:t>
      </w:r>
    </w:p>
    <w:p>
      <w:pPr>
        <w:spacing w:line="360" w:lineRule="auto"/>
        <w:ind w:firstLine="560" w:firstLineChars="200"/>
        <w:jc w:val="left"/>
        <w:rPr>
          <w:rFonts w:hint="eastAsia" w:ascii="楷体_GB2312" w:hAnsi="宋体" w:eastAsia="楷体_GB2312" w:cs="宋体"/>
          <w:color w:val="000000"/>
          <w:kern w:val="0"/>
          <w:szCs w:val="32"/>
          <w:shd w:val="clear" w:color="auto" w:fill="FFFFFF"/>
          <w:lang w:val="zh-CN"/>
        </w:rPr>
      </w:pPr>
      <w:r>
        <w:rPr>
          <w:rFonts w:hint="eastAsia" w:ascii="新宋体" w:hAnsi="新宋体" w:eastAsia="新宋体" w:cs="新宋体"/>
          <w:sz w:val="28"/>
          <w:szCs w:val="28"/>
          <w:lang w:val="en-US" w:eastAsia="zh-CN"/>
        </w:rPr>
        <w:t>信息化建设水平有待提高，住房保障和房地产管理信息系统功能不够完善，数据共享程度低，存在信息孤岛现象，影响工作效率和服务质量。</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1. 优化住房保障体系</w:t>
      </w:r>
    </w:p>
    <w:p>
      <w:pPr>
        <w:ind w:firstLine="280" w:firstLineChars="1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 xml:space="preserve"> 强化公租房动态管理：建立健全公租房准入退出动态监管机制，运用大数据等技术手段，加强对租户居住情况的核查；完善租金追缴和违规处理措施，对违规转租、拖欠租金等行为依法依规严肃处理。</w:t>
      </w:r>
    </w:p>
    <w:p>
      <w:pPr>
        <w:rPr>
          <w:rFonts w:hint="eastAsia" w:ascii="新宋体" w:hAnsi="新宋体" w:eastAsia="新宋体" w:cs="新宋体"/>
          <w:sz w:val="28"/>
          <w:szCs w:val="28"/>
          <w:lang w:val="en-US" w:eastAsia="zh-CN"/>
        </w:rPr>
      </w:pPr>
    </w:p>
    <w:p>
      <w:pPr>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2. 加强房地产市场管理</w:t>
      </w:r>
    </w:p>
    <w:p>
      <w:pPr>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 xml:space="preserve">   完善市场监测预警体系：建立房地产市场动态监测平台，整合住建、自然资源、统计等部门数据资源，实时监测房地产市场供求、价格、库存等关键指标；加强市场分析研判，定期发布市场分析报告，为政府决策和企业投资提供参考。 </w:t>
      </w:r>
    </w:p>
    <w:p>
      <w:pPr>
        <w:rPr>
          <w:rFonts w:hint="eastAsia" w:ascii="新宋体" w:hAnsi="新宋体" w:eastAsia="新宋体" w:cs="新宋体"/>
          <w:sz w:val="28"/>
          <w:szCs w:val="28"/>
          <w:lang w:val="en-US" w:eastAsia="zh-CN"/>
        </w:rPr>
      </w:pPr>
    </w:p>
    <w:p>
      <w:pPr>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3. 提升服务与管理效能</w:t>
      </w:r>
    </w:p>
    <w:p>
      <w:pPr>
        <w:ind w:firstLine="560" w:firstLineChars="200"/>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推进信息化建设：加大对住房保障和房地产管理信息系统的投入，完善系统功能，实现住房保障申请审核、房地产交易备案、预售资金监管等业务的全流程线上办理；加强部门间数据共享，打破信息孤岛，提高工作效率和服务精准度。</w:t>
      </w:r>
    </w:p>
    <w:p>
      <w:pPr>
        <w:widowControl/>
        <w:adjustRightInd w:val="0"/>
        <w:snapToGrid w:val="0"/>
        <w:spacing w:line="360" w:lineRule="auto"/>
        <w:ind w:firstLine="640" w:firstLineChars="200"/>
        <w:contextualSpacing/>
        <w:jc w:val="left"/>
        <w:rPr>
          <w:rFonts w:hint="eastAsia"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82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新宋体">
    <w:panose1 w:val="02010609030101010101"/>
    <w:charset w:val="86"/>
    <w:family w:val="modern"/>
    <w:pitch w:val="default"/>
    <w:sig w:usb0="00000003" w:usb1="288F0000" w:usb2="0000000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CA18B"/>
    <w:multiLevelType w:val="singleLevel"/>
    <w:tmpl w:val="B46CA18B"/>
    <w:lvl w:ilvl="0" w:tentative="0">
      <w:start w:val="3"/>
      <w:numFmt w:val="chineseCounting"/>
      <w:suff w:val="nothing"/>
      <w:lvlText w:val="（%1）"/>
      <w:lvlJc w:val="left"/>
      <w:rPr>
        <w:rFonts w:hint="eastAsia"/>
      </w:rPr>
    </w:lvl>
  </w:abstractNum>
  <w:abstractNum w:abstractNumId="1">
    <w:nsid w:val="0FF439B9"/>
    <w:multiLevelType w:val="multilevel"/>
    <w:tmpl w:val="0FF439B9"/>
    <w:lvl w:ilvl="0" w:tentative="0">
      <w:start w:val="4"/>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2B5226B4"/>
    <w:multiLevelType w:val="multilevel"/>
    <w:tmpl w:val="2B5226B4"/>
    <w:lvl w:ilvl="0" w:tentative="0">
      <w:start w:val="1"/>
      <w:numFmt w:val="decimal"/>
      <w:pStyle w:val="22"/>
      <w:suff w:val="nothing"/>
      <w:lvlText w:val="(%1)"/>
      <w:lvlJc w:val="left"/>
      <w:pPr>
        <w:ind w:left="85" w:firstLine="635"/>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7EE55BF3"/>
    <w:multiLevelType w:val="multilevel"/>
    <w:tmpl w:val="7EE55BF3"/>
    <w:lvl w:ilvl="0" w:tentative="0">
      <w:start w:val="1"/>
      <w:numFmt w:val="chineseCountingThousand"/>
      <w:pStyle w:val="17"/>
      <w:suff w:val="nothing"/>
      <w:lvlText w:val="（%1）"/>
      <w:lvlJc w:val="left"/>
      <w:pPr>
        <w:ind w:left="5445" w:firstLine="635"/>
      </w:pPr>
      <w:rPr>
        <w:rFonts w:hint="eastAsia"/>
        <w:lang w:val="en-US"/>
      </w:rPr>
    </w:lvl>
    <w:lvl w:ilvl="1" w:tentative="0">
      <w:start w:val="1"/>
      <w:numFmt w:val="decimal"/>
      <w:lvlText w:val="%2."/>
      <w:lvlJc w:val="left"/>
      <w:pPr>
        <w:ind w:left="6425" w:hanging="360"/>
      </w:pPr>
      <w:rPr>
        <w:rFonts w:hint="default"/>
      </w:rPr>
    </w:lvl>
    <w:lvl w:ilvl="2" w:tentative="0">
      <w:start w:val="1"/>
      <w:numFmt w:val="lowerRoman"/>
      <w:lvlText w:val="%3."/>
      <w:lvlJc w:val="right"/>
      <w:pPr>
        <w:ind w:left="6905" w:hanging="420"/>
      </w:pPr>
    </w:lvl>
    <w:lvl w:ilvl="3" w:tentative="0">
      <w:start w:val="1"/>
      <w:numFmt w:val="decimal"/>
      <w:lvlText w:val="%4."/>
      <w:lvlJc w:val="left"/>
      <w:pPr>
        <w:ind w:left="7325" w:hanging="420"/>
      </w:pPr>
    </w:lvl>
    <w:lvl w:ilvl="4" w:tentative="0">
      <w:start w:val="1"/>
      <w:numFmt w:val="lowerLetter"/>
      <w:lvlText w:val="%5)"/>
      <w:lvlJc w:val="left"/>
      <w:pPr>
        <w:ind w:left="7745" w:hanging="420"/>
      </w:pPr>
    </w:lvl>
    <w:lvl w:ilvl="5" w:tentative="0">
      <w:start w:val="1"/>
      <w:numFmt w:val="lowerRoman"/>
      <w:lvlText w:val="%6."/>
      <w:lvlJc w:val="right"/>
      <w:pPr>
        <w:ind w:left="8165" w:hanging="420"/>
      </w:pPr>
    </w:lvl>
    <w:lvl w:ilvl="6" w:tentative="0">
      <w:start w:val="1"/>
      <w:numFmt w:val="decimal"/>
      <w:lvlText w:val="%7."/>
      <w:lvlJc w:val="left"/>
      <w:pPr>
        <w:ind w:left="8585" w:hanging="420"/>
      </w:pPr>
    </w:lvl>
    <w:lvl w:ilvl="7" w:tentative="0">
      <w:start w:val="1"/>
      <w:numFmt w:val="lowerLetter"/>
      <w:lvlText w:val="%8)"/>
      <w:lvlJc w:val="left"/>
      <w:pPr>
        <w:ind w:left="9005" w:hanging="420"/>
      </w:pPr>
    </w:lvl>
    <w:lvl w:ilvl="8" w:tentative="0">
      <w:start w:val="1"/>
      <w:numFmt w:val="lowerRoman"/>
      <w:lvlText w:val="%9."/>
      <w:lvlJc w:val="right"/>
      <w:pPr>
        <w:ind w:left="9425"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4FC534F"/>
    <w:rsid w:val="092200CD"/>
    <w:rsid w:val="0ACB491A"/>
    <w:rsid w:val="0CB9076B"/>
    <w:rsid w:val="138554E6"/>
    <w:rsid w:val="19927F78"/>
    <w:rsid w:val="1B7950CB"/>
    <w:rsid w:val="1BD14CFC"/>
    <w:rsid w:val="1ED83359"/>
    <w:rsid w:val="1EFF4161"/>
    <w:rsid w:val="213A5094"/>
    <w:rsid w:val="21AE59D8"/>
    <w:rsid w:val="21CC0BE4"/>
    <w:rsid w:val="249D3011"/>
    <w:rsid w:val="25524774"/>
    <w:rsid w:val="280C08FF"/>
    <w:rsid w:val="286F56EA"/>
    <w:rsid w:val="287D619F"/>
    <w:rsid w:val="2BA51AC8"/>
    <w:rsid w:val="2C312121"/>
    <w:rsid w:val="2C3A1615"/>
    <w:rsid w:val="2C630E92"/>
    <w:rsid w:val="2D527252"/>
    <w:rsid w:val="2F954524"/>
    <w:rsid w:val="31301785"/>
    <w:rsid w:val="327C6DA7"/>
    <w:rsid w:val="329102D6"/>
    <w:rsid w:val="36F10729"/>
    <w:rsid w:val="3A9520B3"/>
    <w:rsid w:val="3B187A96"/>
    <w:rsid w:val="3CB122A1"/>
    <w:rsid w:val="3DE562B7"/>
    <w:rsid w:val="3E6507EA"/>
    <w:rsid w:val="3F2B5565"/>
    <w:rsid w:val="4317643A"/>
    <w:rsid w:val="43EF7670"/>
    <w:rsid w:val="45703F7E"/>
    <w:rsid w:val="47550EBA"/>
    <w:rsid w:val="4A166301"/>
    <w:rsid w:val="4AAD4723"/>
    <w:rsid w:val="4B096A88"/>
    <w:rsid w:val="4C240EF3"/>
    <w:rsid w:val="4C2C4C4E"/>
    <w:rsid w:val="4C3E5EB0"/>
    <w:rsid w:val="4D3F7A7D"/>
    <w:rsid w:val="4E212917"/>
    <w:rsid w:val="50BB3388"/>
    <w:rsid w:val="51452E22"/>
    <w:rsid w:val="519755FA"/>
    <w:rsid w:val="52970EFC"/>
    <w:rsid w:val="59E20D47"/>
    <w:rsid w:val="60612CC7"/>
    <w:rsid w:val="623A295B"/>
    <w:rsid w:val="64CE669B"/>
    <w:rsid w:val="6636451A"/>
    <w:rsid w:val="67EE6DF9"/>
    <w:rsid w:val="6BA71DDF"/>
    <w:rsid w:val="6BE94116"/>
    <w:rsid w:val="6C9E4124"/>
    <w:rsid w:val="6DCC28FF"/>
    <w:rsid w:val="73D52801"/>
    <w:rsid w:val="745F5E00"/>
    <w:rsid w:val="74765478"/>
    <w:rsid w:val="747879FF"/>
    <w:rsid w:val="78690209"/>
    <w:rsid w:val="78916378"/>
    <w:rsid w:val="7BC20073"/>
    <w:rsid w:val="7C43209A"/>
    <w:rsid w:val="7C631402"/>
    <w:rsid w:val="7DCC0F6E"/>
    <w:rsid w:val="7DD91C50"/>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
    <w:name w:val="〖B02〗二级标题"/>
    <w:next w:val="1"/>
    <w:qFormat/>
    <w:uiPriority w:val="0"/>
    <w:pPr>
      <w:widowControl w:val="0"/>
      <w:numPr>
        <w:ilvl w:val="0"/>
        <w:numId w:val="1"/>
      </w:numPr>
      <w:spacing w:line="600" w:lineRule="exact"/>
      <w:outlineLvl w:val="1"/>
    </w:pPr>
    <w:rPr>
      <w:rFonts w:ascii="楷体_GB2312" w:hAnsi="Calibri" w:eastAsia="楷体_GB2312" w:cs="Times New Roman"/>
      <w:kern w:val="2"/>
      <w:sz w:val="32"/>
      <w:szCs w:val="21"/>
      <w:lang w:val="zh-CN" w:eastAsia="zh-CN" w:bidi="ar-SA"/>
    </w:rPr>
  </w:style>
  <w:style w:type="paragraph" w:customStyle="1" w:styleId="18">
    <w:name w:val="样式 样式 样式 正文+仿宋 小四 加粗+左对齐 首行缩进 单倍行距+ + 仿宋 小四 行距: 1.5 倍行距 + 首行缩进: ..."/>
    <w:basedOn w:val="19"/>
    <w:uiPriority w:val="0"/>
    <w:pPr>
      <w:ind w:firstLine="482"/>
    </w:pPr>
  </w:style>
  <w:style w:type="paragraph" w:customStyle="1" w:styleId="19">
    <w:name w:val="样式 样式 正文+仿宋 小四 加粗+左对齐 首行缩进 单倍行距+ + 仿宋 小四 行距: 1.5 倍行距"/>
    <w:basedOn w:val="20"/>
    <w:qFormat/>
    <w:uiPriority w:val="0"/>
    <w:pPr>
      <w:ind w:firstLine="200" w:firstLineChars="200"/>
    </w:pPr>
    <w:rPr>
      <w:rFonts w:hint="default" w:ascii="仿宋" w:hAnsi="仿宋" w:eastAsia="仿宋"/>
      <w:sz w:val="24"/>
    </w:rPr>
  </w:style>
  <w:style w:type="paragraph" w:customStyle="1" w:styleId="20">
    <w:name w:val="样式 正文+仿宋 小四 加粗+左对齐 首行缩进 单倍行距+"/>
    <w:basedOn w:val="21"/>
    <w:qFormat/>
    <w:uiPriority w:val="0"/>
    <w:pPr>
      <w:ind w:firstLine="482"/>
    </w:pPr>
  </w:style>
  <w:style w:type="paragraph" w:customStyle="1" w:styleId="21">
    <w:name w:val="样式 样式 标题 3 + 仿宋 小四 段前: 0 磅 段后: 0 磅 行距: 1.5 倍行距 + 首行缩进:  2 字符"/>
    <w:qFormat/>
    <w:uiPriority w:val="0"/>
    <w:pPr>
      <w:ind w:firstLine="480"/>
    </w:pPr>
    <w:rPr>
      <w:rFonts w:hint="default" w:ascii="Times New Roman" w:hAnsi="Times New Roman" w:eastAsia="宋体" w:cs="宋体"/>
      <w:b/>
      <w:lang w:val="en-US" w:eastAsia="zh-CN"/>
    </w:rPr>
  </w:style>
  <w:style w:type="paragraph" w:customStyle="1" w:styleId="22">
    <w:name w:val="〖B04〗四级标题"/>
    <w:next w:val="1"/>
    <w:qFormat/>
    <w:uiPriority w:val="0"/>
    <w:pPr>
      <w:widowControl w:val="0"/>
      <w:numPr>
        <w:ilvl w:val="0"/>
        <w:numId w:val="2"/>
      </w:numPr>
      <w:spacing w:line="600" w:lineRule="exact"/>
      <w:outlineLvl w:val="3"/>
    </w:pPr>
    <w:rPr>
      <w:rFonts w:ascii="仿宋_GB2312" w:hAnsi="Calibri" w:eastAsia="仿宋_GB2312" w:cs="Times New Roman"/>
      <w:kern w:val="2"/>
      <w:sz w:val="32"/>
      <w:szCs w:val="32"/>
      <w:lang w:val="en-US" w:eastAsia="zh-CN" w:bidi="ar-SA"/>
    </w:rPr>
  </w:style>
  <w:style w:type="paragraph" w:customStyle="1" w:styleId="23">
    <w:name w:val="〖C01〗正文"/>
    <w:qFormat/>
    <w:uiPriority w:val="0"/>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 w:type="character" w:customStyle="1" w:styleId="24">
    <w:name w:val="content"/>
    <w:basedOn w:val="6"/>
    <w:qFormat/>
    <w:uiPriority w:val="0"/>
  </w:style>
  <w:style w:type="character" w:customStyle="1" w:styleId="25">
    <w:name w:val="unnamed21"/>
    <w:basedOn w:val="6"/>
    <w:qFormat/>
    <w:uiPriority w:val="0"/>
    <w:rPr>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2025-06-30T03:14:42Z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y fmtid="{D5CDD505-2E9C-101B-9397-08002B2CF9AE}" pid="3" name="ICV">
    <vt:lpwstr>D0F156C8587D42F5ABA1855609F286C3</vt:lpwstr>
  </property>
</Properties>
</file>