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eastAsia" w:ascii="Times New Roman" w:hAnsi="Times New Roman" w:eastAsia="方正小标宋简体" w:cs="Times New Roman"/>
          <w:color w:val="auto"/>
          <w:kern w:val="2"/>
          <w:sz w:val="72"/>
          <w:szCs w:val="72"/>
          <w:highlight w:val="none"/>
          <w:lang w:val="en-US" w:eastAsia="zh-CN" w:bidi="ar-SA"/>
        </w:rPr>
      </w:pPr>
      <w:bookmarkStart w:id="0" w:name="_Toc15396475"/>
      <w:bookmarkStart w:id="1" w:name="_Toc15377425"/>
      <w:bookmarkStart w:id="2" w:name="_Toc15378441"/>
      <w:bookmarkStart w:id="3" w:name="_Toc15396597"/>
      <w:bookmarkStart w:id="4" w:name="_Toc15377193"/>
      <w:bookmarkStart w:id="5" w:name="_Toc15306267"/>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rPr>
          <w:rFonts w:hint="eastAsia" w:ascii="Times New Roman" w:hAnsi="Times New Roman" w:eastAsia="方正小标宋简体" w:cs="Times New Roman"/>
          <w:color w:val="auto"/>
          <w:kern w:val="2"/>
          <w:sz w:val="72"/>
          <w:szCs w:val="72"/>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2024年度省级部门（单位）决算</w:t>
      </w:r>
    </w:p>
    <w:p>
      <w:pPr>
        <w:pStyle w:val="8"/>
        <w:jc w:val="center"/>
        <w:rPr>
          <w:rFonts w:hint="default"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公开文字说明</w:t>
      </w:r>
    </w:p>
    <w:p>
      <w:pPr>
        <w:spacing w:line="600" w:lineRule="exact"/>
        <w:jc w:val="center"/>
        <w:outlineLvl w:val="0"/>
        <w:rPr>
          <w:rFonts w:ascii="Times New Roman" w:hAnsi="Times New Roman" w:eastAsia="方正小标宋简体"/>
          <w:color w:val="auto"/>
          <w:sz w:val="72"/>
          <w:szCs w:val="72"/>
          <w:highlight w:val="none"/>
        </w:rPr>
      </w:pPr>
    </w:p>
    <w:p>
      <w:pPr>
        <w:pStyle w:val="19"/>
        <w:rPr>
          <w:rFonts w:ascii="Times New Roman" w:hAnsi="Times New Roman"/>
        </w:rPr>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pPr>
    </w:p>
    <w:p>
      <w:pPr>
        <w:rPr>
          <w:rFonts w:ascii="Times New Roman" w:hAnsi="Times New Roman"/>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p>
    <w:bookmarkEnd w:id="0"/>
    <w:bookmarkEnd w:id="1"/>
    <w:bookmarkEnd w:id="2"/>
    <w:bookmarkEnd w:id="3"/>
    <w:bookmarkEnd w:id="4"/>
    <w:p>
      <w:pPr>
        <w:pStyle w:val="8"/>
        <w:jc w:val="center"/>
        <w:rPr>
          <w:rFonts w:hint="eastAsia" w:ascii="Times New Roman" w:hAnsi="Times New Roman" w:eastAsia="方正小标宋简体" w:cs="Times New Roman"/>
          <w:color w:val="auto"/>
          <w:kern w:val="2"/>
          <w:sz w:val="44"/>
          <w:szCs w:val="44"/>
          <w:highlight w:val="none"/>
          <w:lang w:val="en-US" w:eastAsia="zh-CN" w:bidi="ar-SA"/>
        </w:rPr>
      </w:pPr>
      <w:bookmarkStart w:id="6" w:name="_Toc15377194"/>
      <w:bookmarkStart w:id="7" w:name="_Toc15377426"/>
      <w:bookmarkStart w:id="8" w:name="_Toc15396476"/>
      <w:bookmarkStart w:id="9" w:name="_Toc15378442"/>
      <w:bookmarkStart w:id="10" w:name="_Toc15396598"/>
      <w:r>
        <w:rPr>
          <w:rFonts w:hint="eastAsia" w:ascii="Times New Roman" w:hAnsi="Times New Roman" w:eastAsia="方正小标宋简体" w:cs="Times New Roman"/>
          <w:color w:val="auto"/>
          <w:kern w:val="2"/>
          <w:sz w:val="44"/>
          <w:szCs w:val="44"/>
          <w:highlight w:val="none"/>
          <w:lang w:val="en-US" w:eastAsia="zh-CN" w:bidi="ar-SA"/>
        </w:rPr>
        <w:t>2024年度四川省</w:t>
      </w:r>
      <w:bookmarkEnd w:id="5"/>
      <w:bookmarkStart w:id="11" w:name="_Toc15306268"/>
      <w:r>
        <w:rPr>
          <w:rFonts w:hint="eastAsia" w:ascii="Times New Roman" w:hAnsi="Times New Roman" w:eastAsia="方正小标宋简体" w:cs="Times New Roman"/>
          <w:color w:val="auto"/>
          <w:kern w:val="2"/>
          <w:sz w:val="44"/>
          <w:szCs w:val="44"/>
          <w:highlight w:val="none"/>
          <w:lang w:val="en-US" w:eastAsia="zh-CN" w:bidi="ar-SA"/>
        </w:rPr>
        <w:t>乐山市五通桥区石麟镇便民服务中心部门决算</w:t>
      </w:r>
      <w:bookmarkEnd w:id="6"/>
      <w:bookmarkEnd w:id="7"/>
      <w:bookmarkEnd w:id="8"/>
      <w:bookmarkEnd w:id="9"/>
      <w:bookmarkEnd w:id="10"/>
      <w:bookmarkEnd w:id="11"/>
    </w:p>
    <w:p>
      <w:pPr>
        <w:widowControl/>
        <w:jc w:val="center"/>
        <w:rPr>
          <w:rFonts w:ascii="Times New Roman" w:hAnsi="Times New Roman" w:eastAsia="黑体"/>
          <w:color w:val="auto"/>
          <w:sz w:val="48"/>
          <w:szCs w:val="48"/>
          <w:highlight w:val="none"/>
        </w:rPr>
      </w:pPr>
      <w:r>
        <w:rPr>
          <w:rFonts w:ascii="Times New Roman" w:hAnsi="Times New Roman" w:eastAsia="方正小标宋简体"/>
          <w:color w:val="auto"/>
          <w:sz w:val="36"/>
          <w:szCs w:val="36"/>
          <w:highlight w:val="none"/>
        </w:rPr>
        <w:br w:type="page"/>
      </w:r>
      <w:r>
        <w:rPr>
          <w:rFonts w:hint="eastAsia" w:ascii="Times New Roman" w:hAnsi="Times New Roman" w:eastAsia="黑体"/>
          <w:color w:val="auto"/>
          <w:sz w:val="48"/>
          <w:szCs w:val="48"/>
          <w:highlight w:val="none"/>
        </w:rPr>
        <w:t>目录</w:t>
      </w:r>
    </w:p>
    <w:p>
      <w:pPr>
        <w:widowControl/>
        <w:jc w:val="center"/>
        <w:rPr>
          <w:rFonts w:ascii="Times New Roman" w:hAnsi="Times New Roman" w:eastAsia="黑体" w:cstheme="minorBidi"/>
          <w:color w:val="auto"/>
          <w:sz w:val="28"/>
          <w:szCs w:val="28"/>
          <w:highlight w:val="none"/>
        </w:rPr>
      </w:pPr>
    </w:p>
    <w:p>
      <w:pPr>
        <w:pStyle w:val="1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24</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 xml:space="preserve">  </w:t>
      </w:r>
      <w:r>
        <w:rPr>
          <w:rFonts w:hint="eastAsia" w:ascii="Times New Roman" w:hAnsi="Times New Roman" w:eastAsia="仿宋_GB2312" w:cs="仿宋_GB2312"/>
          <w:color w:val="auto"/>
          <w:sz w:val="32"/>
          <w:szCs w:val="32"/>
          <w:highlight w:val="none"/>
        </w:rPr>
        <w:t>日</w:t>
      </w:r>
    </w:p>
    <w:p>
      <w:pPr>
        <w:rPr>
          <w:rFonts w:ascii="Times New Roman" w:hAnsi="Times New Roman"/>
          <w:color w:val="auto"/>
          <w:highlight w:val="none"/>
        </w:rPr>
      </w:pP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第一部分 部门概况</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rPr>
        <w:t>一、</w:t>
      </w:r>
      <w:r>
        <w:rPr>
          <w:rFonts w:hint="eastAsia" w:ascii="Times New Roman" w:hAnsi="Times New Roman" w:eastAsia="仿宋_GB2312" w:cs="仿宋_GB2312"/>
          <w:color w:val="auto"/>
          <w:sz w:val="32"/>
          <w:szCs w:val="32"/>
          <w:highlight w:val="none"/>
          <w:lang w:eastAsia="zh-CN"/>
        </w:rPr>
        <w:t>部门职责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负责集中受理涉及经济发展、公共管理以及与群众密切相关 的政务服务、公共服务、便民服务事项；负责社会保险、医疗保险、医疗救助、民政救助等事务性工作；负责就业促进、劳动保 障、农民工权益保障等事务性工作；负责指导村（社区）便民服 务工作站点建设工作；负责退役军人服务相关事务性工作，指导村（社区）退役军人服务站业务工作；负责新时代文明实践工作，指导村（社区）新时代文明实践站建设；负责宣传、文化体育、广播电视、旅游等事务性工作。完成镇党委、政府交办的其他工作。</w:t>
      </w:r>
    </w:p>
    <w:p>
      <w:pPr>
        <w:pStyle w:val="14"/>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机构设置</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rPr>
      </w:pPr>
      <w:bookmarkStart w:id="70" w:name="_GoBack"/>
      <w:bookmarkEnd w:id="70"/>
      <w:r>
        <w:rPr>
          <w:rFonts w:hint="eastAsia" w:ascii="仿宋_GB2312" w:hAnsi="仿宋_GB2312" w:eastAsia="仿宋_GB2312" w:cs="仿宋_GB2312"/>
          <w:color w:val="000000"/>
          <w:kern w:val="0"/>
          <w:sz w:val="32"/>
          <w:szCs w:val="32"/>
          <w:lang w:val="en-US" w:eastAsia="zh-CN" w:bidi="ar"/>
        </w:rPr>
        <w:t>核定事业编制9名，设主任1名、副主任1名。</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第二部分</w:t>
      </w:r>
      <w:r>
        <w:rPr>
          <w:rFonts w:hint="eastAsia" w:ascii="Times New Roman" w:hAnsi="Times New Roman" w:eastAsia="黑体" w:cs="黑体"/>
          <w:color w:val="auto"/>
          <w:sz w:val="32"/>
          <w:szCs w:val="32"/>
          <w:highlight w:val="none"/>
          <w:lang w:val="en-US" w:eastAsia="zh-CN"/>
        </w:rPr>
        <w:t xml:space="preserve"> 2024年度</w:t>
      </w:r>
      <w:r>
        <w:rPr>
          <w:rFonts w:hint="eastAsia" w:ascii="Times New Roman" w:hAnsi="Times New Roman" w:eastAsia="黑体" w:cs="黑体"/>
          <w:color w:val="auto"/>
          <w:sz w:val="32"/>
          <w:szCs w:val="32"/>
          <w:highlight w:val="none"/>
        </w:rPr>
        <w:t>部门决算情况说明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四、财政拨款收入支出决算总体情况说明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五、一般公共预算财政拨款支出决算情况说明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六、一般公共预算财政拨款基本支出决算情况说明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七、财政拨款</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三公”经费支出决算情况说明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八、政府性基金预算支出决算情况说明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w:t>
      </w:r>
      <w:r>
        <w:rPr>
          <w:rFonts w:hint="eastAsia" w:ascii="Times New Roman" w:hAnsi="Times New Roman" w:eastAsia="仿宋_GB2312" w:cs="仿宋_GB2312"/>
          <w:color w:val="auto"/>
          <w:sz w:val="32"/>
          <w:szCs w:val="32"/>
          <w:highlight w:val="none"/>
          <w:lang w:eastAsia="zh-CN"/>
        </w:rPr>
        <w:t>国</w:t>
      </w:r>
      <w:r>
        <w:rPr>
          <w:rFonts w:hint="eastAsia" w:ascii="Times New Roman" w:hAnsi="Times New Roman" w:eastAsia="仿宋_GB2312" w:cs="仿宋_GB2312"/>
          <w:color w:val="auto"/>
          <w:sz w:val="32"/>
          <w:szCs w:val="32"/>
          <w:highlight w:val="none"/>
        </w:rPr>
        <w:t>有资本经营预算支出决算情况说明</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十</w:t>
      </w:r>
      <w:r>
        <w:rPr>
          <w:rFonts w:hint="eastAsia" w:ascii="Times New Roman" w:hAnsi="Times New Roman" w:eastAsia="仿宋_GB2312" w:cs="仿宋_GB2312"/>
          <w:color w:val="auto"/>
          <w:sz w:val="32"/>
          <w:szCs w:val="32"/>
          <w:highlight w:val="none"/>
        </w:rPr>
        <w:t>、其他重要事项的情况说明</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第三部分 名词解释</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第四部分 附件</w:t>
      </w:r>
    </w:p>
    <w:p>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第五部分 附表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七、一般公共预算财政拨款支出决算明细表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八、一般公共预算财政拨款基本支出决算</w:t>
      </w:r>
      <w:r>
        <w:rPr>
          <w:rFonts w:hint="eastAsia" w:ascii="Times New Roman" w:hAnsi="Times New Roman" w:eastAsia="仿宋_GB2312" w:cs="仿宋_GB2312"/>
          <w:color w:val="auto"/>
          <w:sz w:val="32"/>
          <w:szCs w:val="32"/>
          <w:highlight w:val="none"/>
          <w:lang w:eastAsia="zh-CN"/>
        </w:rPr>
        <w:t>明细</w:t>
      </w:r>
      <w:r>
        <w:rPr>
          <w:rFonts w:hint="eastAsia" w:ascii="Times New Roman" w:hAnsi="Times New Roman" w:eastAsia="仿宋_GB2312" w:cs="仿宋_GB2312"/>
          <w:color w:val="auto"/>
          <w:sz w:val="32"/>
          <w:szCs w:val="32"/>
          <w:highlight w:val="none"/>
        </w:rPr>
        <w:t>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九、一般公共预算财政拨款项目支出决算表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十、政府性基金预算财政拨款收入支出决算表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十一、国有资本经营预算财政拨款收入支出决算表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十二、</w:t>
      </w:r>
      <w:r>
        <w:rPr>
          <w:rFonts w:hint="eastAsia" w:ascii="Times New Roman" w:hAnsi="Times New Roman" w:eastAsia="仿宋_GB2312" w:cs="仿宋_GB2312"/>
          <w:color w:val="auto"/>
          <w:sz w:val="32"/>
          <w:szCs w:val="32"/>
          <w:highlight w:val="none"/>
          <w:lang w:val="en-US" w:eastAsia="zh-CN"/>
        </w:rPr>
        <w:t>国有资本经营预算财政拨款支出决算表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十三、财政拨款“三公”经费支出决算表</w:t>
      </w:r>
    </w:p>
    <w:p>
      <w:pPr>
        <w:pStyle w:val="14"/>
        <w:keepNext w:val="0"/>
        <w:keepLines w:val="0"/>
        <w:pageBreakBefore w:val="0"/>
        <w:widowControl w:val="0"/>
        <w:kinsoku/>
        <w:wordWrap/>
        <w:overflowPunct/>
        <w:topLinePunct w:val="0"/>
        <w:autoSpaceDE/>
        <w:autoSpaceDN/>
        <w:bidi w:val="0"/>
        <w:adjustRightInd w:val="0"/>
        <w:snapToGrid w:val="0"/>
        <w:spacing w:line="560" w:lineRule="exact"/>
        <w:ind w:left="0" w:leftChars="0" w:firstLine="643" w:firstLineChars="200"/>
        <w:jc w:val="left"/>
        <w:textAlignment w:val="auto"/>
        <w:rPr>
          <w:rFonts w:hint="eastAsia" w:ascii="Times New Roman" w:hAnsi="Times New Roman" w:eastAsia="仿宋_GB2312" w:cs="仿宋_GB2312"/>
          <w:b/>
          <w:bCs/>
          <w:color w:val="auto"/>
          <w:sz w:val="32"/>
          <w:szCs w:val="32"/>
          <w:highlight w:val="none"/>
          <w:lang w:eastAsia="zh-CN"/>
        </w:rPr>
      </w:pPr>
      <w:r>
        <w:rPr>
          <w:rFonts w:hint="eastAsia" w:ascii="Times New Roman" w:hAnsi="Times New Roman" w:eastAsia="仿宋_GB2312" w:cs="仿宋_GB2312"/>
          <w:b/>
          <w:bCs/>
          <w:color w:val="auto"/>
          <w:sz w:val="32"/>
          <w:szCs w:val="32"/>
          <w:highlight w:val="none"/>
          <w:lang w:eastAsia="zh-CN"/>
        </w:rPr>
        <w:t>（</w:t>
      </w:r>
      <w:r>
        <w:rPr>
          <w:rFonts w:hint="eastAsia" w:ascii="Times New Roman" w:hAnsi="Times New Roman" w:eastAsia="仿宋_GB2312" w:cs="仿宋_GB2312"/>
          <w:b/>
          <w:bCs/>
          <w:color w:val="auto"/>
          <w:sz w:val="32"/>
          <w:szCs w:val="32"/>
          <w:highlight w:val="none"/>
        </w:rPr>
        <w:t>注：请部门根据实际注明页码</w:t>
      </w:r>
      <w:r>
        <w:rPr>
          <w:rFonts w:hint="eastAsia" w:ascii="Times New Roman" w:hAnsi="Times New Roman" w:eastAsia="仿宋_GB2312" w:cs="仿宋_GB2312"/>
          <w:b/>
          <w:bCs/>
          <w:color w:val="auto"/>
          <w:sz w:val="32"/>
          <w:szCs w:val="32"/>
          <w:highlight w:val="none"/>
          <w:lang w:eastAsia="zh-CN"/>
        </w:rPr>
        <w:t>）</w:t>
      </w:r>
    </w:p>
    <w:p>
      <w:pPr>
        <w:keepNext w:val="0"/>
        <w:keepLines w:val="0"/>
        <w:pageBreakBefore w:val="0"/>
        <w:widowControl/>
        <w:kinsoku/>
        <w:wordWrap/>
        <w:overflowPunct/>
        <w:topLinePunct w:val="0"/>
        <w:autoSpaceDE/>
        <w:autoSpaceDN/>
        <w:bidi w:val="0"/>
        <w:spacing w:line="560" w:lineRule="exact"/>
        <w:jc w:val="left"/>
        <w:textAlignment w:val="auto"/>
        <w:rPr>
          <w:rFonts w:hint="eastAsia" w:ascii="Times New Roman" w:hAnsi="Times New Roman" w:eastAsia="仿宋_GB2312" w:cs="仿宋_GB2312"/>
          <w:bCs/>
          <w:color w:val="auto"/>
          <w:kern w:val="44"/>
          <w:sz w:val="32"/>
          <w:szCs w:val="32"/>
          <w:highlight w:val="none"/>
        </w:rPr>
      </w:pPr>
      <w:bookmarkStart w:id="12" w:name="_Toc15377196"/>
      <w:bookmarkStart w:id="13" w:name="_Toc15396599"/>
      <w:r>
        <w:rPr>
          <w:rFonts w:hint="eastAsia" w:ascii="Times New Roman" w:hAnsi="Times New Roman" w:eastAsia="仿宋_GB2312" w:cs="仿宋_GB2312"/>
          <w:b/>
          <w:color w:val="auto"/>
          <w:sz w:val="32"/>
          <w:szCs w:val="32"/>
          <w:highlight w:val="none"/>
        </w:rPr>
        <w:br w:type="page"/>
      </w:r>
    </w:p>
    <w:p>
      <w:pPr>
        <w:pStyle w:val="5"/>
        <w:jc w:val="center"/>
        <w:rPr>
          <w:rStyle w:val="28"/>
          <w:rFonts w:hint="eastAsia" w:ascii="Times New Roman" w:hAnsi="Times New Roman" w:eastAsia="方正小标宋简体" w:cs="方正小标宋简体"/>
          <w:b/>
          <w:bCs w:val="0"/>
          <w:color w:val="auto"/>
          <w:highlight w:val="none"/>
        </w:rPr>
      </w:pPr>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12"/>
      <w:bookmarkEnd w:id="13"/>
    </w:p>
    <w:p>
      <w:pPr>
        <w:widowControl/>
        <w:jc w:val="left"/>
        <w:rPr>
          <w:rFonts w:ascii="Times New Roman" w:hAnsi="Times New Roman" w:eastAsia="黑体"/>
          <w:color w:val="auto"/>
          <w:sz w:val="32"/>
          <w:szCs w:val="32"/>
          <w:highlight w:val="none"/>
        </w:rPr>
      </w:pPr>
    </w:p>
    <w:p>
      <w:pPr>
        <w:pStyle w:val="6"/>
        <w:rPr>
          <w:rStyle w:val="29"/>
          <w:rFonts w:hint="eastAsia" w:ascii="Times New Roman" w:hAnsi="Times New Roman" w:eastAsia="黑体"/>
          <w:b w:val="0"/>
          <w:bCs w:val="0"/>
          <w:color w:val="auto"/>
          <w:highlight w:val="yellow"/>
          <w:lang w:eastAsia="zh-CN"/>
        </w:rPr>
      </w:pPr>
      <w:bookmarkStart w:id="14" w:name="_Toc15377197"/>
      <w:bookmarkStart w:id="15" w:name="_Toc15396600"/>
      <w:r>
        <w:rPr>
          <w:rFonts w:hint="eastAsia" w:ascii="Times New Roman" w:hAnsi="Times New Roman" w:eastAsia="黑体"/>
          <w:b w:val="0"/>
          <w:color w:val="auto"/>
          <w:highlight w:val="yellow"/>
        </w:rPr>
        <w:t>一、</w:t>
      </w:r>
      <w:bookmarkEnd w:id="14"/>
      <w:bookmarkEnd w:id="15"/>
      <w:r>
        <w:rPr>
          <w:rFonts w:hint="eastAsia" w:ascii="Times New Roman" w:hAnsi="Times New Roman" w:eastAsia="黑体"/>
          <w:b w:val="0"/>
          <w:color w:val="auto"/>
          <w:highlight w:val="yellow"/>
          <w:lang w:eastAsia="zh-CN"/>
        </w:rPr>
        <w:t>部门职责</w:t>
      </w:r>
    </w:p>
    <w:p>
      <w:pPr>
        <w:pStyle w:val="6"/>
        <w:rPr>
          <w:rStyle w:val="29"/>
          <w:rFonts w:ascii="Times New Roman" w:hAnsi="Times New Roman"/>
          <w:b w:val="0"/>
          <w:bCs w:val="0"/>
          <w:color w:val="auto"/>
          <w:highlight w:val="yellow"/>
        </w:rPr>
      </w:pPr>
      <w:bookmarkStart w:id="16" w:name="_Toc15396601"/>
      <w:bookmarkStart w:id="17" w:name="_Toc15377200"/>
      <w:r>
        <w:rPr>
          <w:rFonts w:hint="eastAsia" w:ascii="Times New Roman" w:hAnsi="Times New Roman" w:eastAsia="黑体"/>
          <w:b w:val="0"/>
          <w:color w:val="auto"/>
          <w:highlight w:val="yellow"/>
        </w:rPr>
        <w:t>二、机</w:t>
      </w:r>
      <w:r>
        <w:rPr>
          <w:rStyle w:val="29"/>
          <w:rFonts w:hint="eastAsia" w:ascii="Times New Roman" w:hAnsi="Times New Roman" w:eastAsia="黑体"/>
          <w:b w:val="0"/>
          <w:bCs w:val="0"/>
          <w:color w:val="auto"/>
          <w:highlight w:val="yellow"/>
        </w:rPr>
        <w:t>构设置</w:t>
      </w:r>
      <w:bookmarkEnd w:id="16"/>
      <w:bookmarkEnd w:id="17"/>
    </w:p>
    <w:p>
      <w:pPr>
        <w:ind w:firstLine="800" w:firstLineChars="250"/>
        <w:rPr>
          <w:rFonts w:hint="eastAsia" w:ascii="Times New Roman" w:hAnsi="Times New Roman" w:eastAsia="仿宋_GB2312" w:cs="仿宋_GB2312"/>
          <w:color w:val="auto"/>
          <w:sz w:val="32"/>
          <w:szCs w:val="32"/>
          <w:highlight w:val="yellow"/>
        </w:rPr>
      </w:pPr>
      <w:r>
        <w:rPr>
          <w:rFonts w:hint="eastAsia" w:ascii="仿宋_GB2312" w:hAnsi="仿宋_GB2312" w:eastAsia="仿宋_GB2312" w:cs="仿宋_GB2312"/>
          <w:color w:val="auto"/>
          <w:sz w:val="32"/>
          <w:szCs w:val="32"/>
          <w:highlight w:val="yellow"/>
        </w:rPr>
        <w:t>乐山市五通桥区石麟镇便民服务中心</w:t>
      </w:r>
      <w:r>
        <w:rPr>
          <w:rFonts w:hint="eastAsia" w:ascii="Times New Roman" w:hAnsi="Times New Roman" w:eastAsia="仿宋_GB2312" w:cs="仿宋_GB2312"/>
          <w:color w:val="auto"/>
          <w:sz w:val="32"/>
          <w:szCs w:val="32"/>
          <w:highlight w:val="yellow"/>
        </w:rPr>
        <w:t>下属二级</w:t>
      </w:r>
      <w:r>
        <w:rPr>
          <w:rFonts w:hint="eastAsia" w:ascii="Times New Roman" w:hAnsi="Times New Roman" w:eastAsia="仿宋_GB2312" w:cs="仿宋_GB2312"/>
          <w:color w:val="auto"/>
          <w:sz w:val="32"/>
          <w:szCs w:val="32"/>
          <w:highlight w:val="yellow"/>
          <w:lang w:eastAsia="zh-CN"/>
        </w:rPr>
        <w:t>预算</w:t>
      </w:r>
      <w:r>
        <w:rPr>
          <w:rFonts w:hint="eastAsia" w:ascii="Times New Roman" w:hAnsi="Times New Roman" w:eastAsia="仿宋_GB2312" w:cs="仿宋_GB2312"/>
          <w:color w:val="auto"/>
          <w:sz w:val="32"/>
          <w:szCs w:val="32"/>
          <w:highlight w:val="yellow"/>
        </w:rPr>
        <w:t>单位**个，其中行政单位**个，参照公务员法管理的事业单位</w:t>
      </w:r>
      <w:r>
        <w:rPr>
          <w:rFonts w:hint="eastAsia" w:ascii="Times New Roman" w:hAnsi="Times New Roman" w:eastAsia="仿宋_GB2312" w:cs="仿宋_GB2312"/>
          <w:bCs/>
          <w:color w:val="auto"/>
          <w:sz w:val="32"/>
          <w:szCs w:val="32"/>
          <w:highlight w:val="yellow"/>
        </w:rPr>
        <w:t>**</w:t>
      </w:r>
      <w:r>
        <w:rPr>
          <w:rFonts w:hint="eastAsia" w:ascii="Times New Roman" w:hAnsi="Times New Roman" w:eastAsia="仿宋_GB2312" w:cs="仿宋_GB2312"/>
          <w:color w:val="auto"/>
          <w:sz w:val="32"/>
          <w:szCs w:val="32"/>
          <w:highlight w:val="yellow"/>
        </w:rPr>
        <w:t>个，其他事业单位**个。</w:t>
      </w:r>
    </w:p>
    <w:p>
      <w:pPr>
        <w:widowControl/>
        <w:jc w:val="left"/>
        <w:rPr>
          <w:rFonts w:ascii="Times New Roman" w:hAnsi="Times New Roman" w:eastAsia="仿宋"/>
          <w:color w:val="auto"/>
          <w:kern w:val="0"/>
          <w:sz w:val="32"/>
          <w:szCs w:val="32"/>
          <w:highlight w:val="none"/>
        </w:rPr>
      </w:pPr>
      <w:r>
        <w:rPr>
          <w:rFonts w:ascii="Times New Roman" w:hAnsi="Times New Roman" w:eastAsia="仿宋"/>
          <w:color w:val="auto"/>
          <w:sz w:val="32"/>
          <w:szCs w:val="32"/>
          <w:highlight w:val="none"/>
        </w:rPr>
        <w:br w:type="page"/>
      </w:r>
    </w:p>
    <w:p>
      <w:pPr>
        <w:pStyle w:val="5"/>
        <w:jc w:val="center"/>
        <w:rPr>
          <w:rFonts w:hint="eastAsia" w:ascii="Times New Roman" w:hAnsi="Times New Roman" w:eastAsia="方正小标宋简体" w:cs="方正小标宋简体"/>
          <w:b w:val="0"/>
          <w:color w:val="auto"/>
          <w:highlight w:val="none"/>
        </w:rPr>
      </w:pPr>
      <w:bookmarkStart w:id="18" w:name="_Toc15377204"/>
      <w:bookmarkStart w:id="19" w:name="_Toc15396602"/>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18"/>
      <w:bookmarkEnd w:id="19"/>
    </w:p>
    <w:p>
      <w:pPr>
        <w:rPr>
          <w:rFonts w:ascii="Times New Roman" w:hAnsi="Times New Roman"/>
          <w:color w:val="auto"/>
          <w:highlight w:val="none"/>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20" w:name="_Toc15396603"/>
      <w:bookmarkStart w:id="21" w:name="_Toc15377205"/>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20"/>
      <w:bookmarkEnd w:id="21"/>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2024年度收入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w:t>
      </w:r>
      <w:r>
        <w:rPr>
          <w:rFonts w:hint="eastAsia" w:ascii="Times New Roman" w:hAnsi="Times New Roman"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158.28</w:t>
      </w:r>
      <w:r>
        <w:rPr>
          <w:rFonts w:hint="eastAsia" w:ascii="Times New Roman" w:hAnsi="Times New Roman" w:eastAsia="仿宋_GB2312" w:cs="仿宋_GB2312"/>
          <w:color w:val="auto"/>
          <w:sz w:val="32"/>
          <w:szCs w:val="32"/>
          <w:highlight w:val="none"/>
        </w:rPr>
        <w:t>万元。与</w:t>
      </w:r>
      <w:r>
        <w:rPr>
          <w:rFonts w:hint="eastAsia" w:ascii="Times New Roman" w:hAnsi="Times New Roman" w:eastAsia="仿宋_GB2312" w:cs="仿宋_GB2312"/>
          <w:color w:val="auto"/>
          <w:sz w:val="32"/>
          <w:szCs w:val="32"/>
          <w:highlight w:val="none"/>
          <w:lang w:eastAsia="zh-CN"/>
        </w:rPr>
        <w:t>202</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度</w:t>
      </w:r>
      <w:r>
        <w:rPr>
          <w:rFonts w:hint="eastAsia" w:ascii="Times New Roman" w:hAnsi="Times New Roman" w:eastAsia="仿宋_GB2312" w:cs="仿宋_GB2312"/>
          <w:color w:val="auto"/>
          <w:sz w:val="32"/>
          <w:szCs w:val="32"/>
          <w:highlight w:val="none"/>
        </w:rPr>
        <w:t>相比</w:t>
      </w:r>
      <w:r>
        <w:rPr>
          <w:rFonts w:hint="eastAsia" w:eastAsia="仿宋_GB2312" w:cs="仿宋_GB2312"/>
          <w:color w:val="auto"/>
          <w:sz w:val="32"/>
          <w:szCs w:val="32"/>
          <w:highlight w:val="none"/>
          <w:lang w:val="en-US" w:eastAsia="zh-CN"/>
        </w:rPr>
        <w:t>164.36</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总计各减</w:t>
      </w:r>
      <w:r>
        <w:rPr>
          <w:rFonts w:hint="eastAsia" w:eastAsia="仿宋_GB2312" w:cs="仿宋_GB2312"/>
          <w:color w:val="auto"/>
          <w:sz w:val="32"/>
          <w:szCs w:val="32"/>
          <w:highlight w:val="none"/>
          <w:lang w:val="en-US" w:eastAsia="zh-CN"/>
        </w:rPr>
        <w:t>6.08</w:t>
      </w:r>
      <w:r>
        <w:rPr>
          <w:rFonts w:hint="eastAsia" w:ascii="Times New Roman" w:hAnsi="Times New Roman" w:eastAsia="仿宋_GB2312" w:cs="仿宋_GB2312"/>
          <w:color w:val="auto"/>
          <w:sz w:val="32"/>
          <w:szCs w:val="32"/>
          <w:highlight w:val="none"/>
        </w:rPr>
        <w:t>万元，下降</w:t>
      </w:r>
      <w:r>
        <w:rPr>
          <w:rFonts w:hint="eastAsia" w:eastAsia="仿宋_GB2312" w:cs="仿宋_GB2312"/>
          <w:color w:val="auto"/>
          <w:sz w:val="32"/>
          <w:szCs w:val="32"/>
          <w:highlight w:val="none"/>
          <w:lang w:val="en-US" w:eastAsia="zh-CN"/>
        </w:rPr>
        <w:t>3.7</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人员调动</w:t>
      </w: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22" w:name="_Toc15396604"/>
      <w:bookmarkStart w:id="23" w:name="_Toc15377206"/>
      <w:r>
        <w:rPr>
          <w:rFonts w:hint="eastAsia" w:ascii="Times New Roman" w:hAnsi="Times New Roman" w:eastAsia="黑体"/>
          <w:color w:val="auto"/>
          <w:sz w:val="32"/>
          <w:szCs w:val="32"/>
          <w:highlight w:val="none"/>
          <w:lang w:eastAsia="zh-CN"/>
        </w:rPr>
        <w:t>二、收入决算情况说明</w:t>
      </w:r>
      <w:bookmarkEnd w:id="22"/>
      <w:bookmarkEnd w:id="23"/>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158.28万元，其中：一般公共预算财政拨款收入158.28</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24" w:name="_Toc15377207"/>
      <w:bookmarkStart w:id="25" w:name="_Toc15396605"/>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24"/>
      <w:bookmarkEnd w:id="25"/>
    </w:p>
    <w:p>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pPr>
        <w:ind w:firstLine="800" w:firstLineChars="250"/>
        <w:rPr>
          <w:rFonts w:hint="eastAsia" w:ascii="Times New Roman" w:hAnsi="Times New Roman" w:eastAsia="仿宋_GB2312" w:cs="仿宋_GB2312"/>
          <w:color w:val="auto"/>
          <w:sz w:val="32"/>
          <w:szCs w:val="32"/>
          <w:highlight w:val="none"/>
          <w:lang w:eastAsia="zh-CN"/>
        </w:rPr>
      </w:pPr>
    </w:p>
    <w:p>
      <w:pPr>
        <w:spacing w:line="600" w:lineRule="exact"/>
        <w:ind w:firstLine="640" w:firstLineChars="200"/>
        <w:outlineLvl w:val="1"/>
        <w:rPr>
          <w:rStyle w:val="29"/>
          <w:rFonts w:ascii="Times New Roman" w:hAnsi="Times New Roman" w:eastAsia="黑体"/>
          <w:b w:val="0"/>
          <w:color w:val="auto"/>
          <w:highlight w:val="none"/>
        </w:rPr>
      </w:pPr>
      <w:bookmarkStart w:id="26" w:name="_Toc15396606"/>
      <w:bookmarkStart w:id="27" w:name="_Toc15377208"/>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26"/>
      <w:bookmarkEnd w:id="27"/>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158.28</w:t>
      </w:r>
      <w:r>
        <w:rPr>
          <w:rFonts w:hint="eastAsia" w:ascii="Times New Roman" w:hAnsi="Times New Roman" w:eastAsia="仿宋_GB2312" w:cs="仿宋_GB2312"/>
          <w:color w:val="auto"/>
          <w:kern w:val="2"/>
          <w:sz w:val="32"/>
          <w:szCs w:val="32"/>
          <w:highlight w:val="none"/>
          <w:lang w:val="en-US" w:eastAsia="zh-CN" w:bidi="ar-SA"/>
        </w:rPr>
        <w:t>万元。与2023年度相比，财政拨款收入总计、支出总计</w:t>
      </w:r>
      <w:r>
        <w:rPr>
          <w:rFonts w:hint="eastAsia" w:ascii="Times New Roman" w:hAnsi="Times New Roman" w:eastAsia="仿宋_GB2312" w:cs="仿宋_GB2312"/>
          <w:color w:val="auto"/>
          <w:sz w:val="32"/>
          <w:szCs w:val="32"/>
          <w:highlight w:val="none"/>
        </w:rPr>
        <w:t>减</w:t>
      </w:r>
      <w:r>
        <w:rPr>
          <w:rFonts w:hint="eastAsia" w:eastAsia="仿宋_GB2312" w:cs="仿宋_GB2312"/>
          <w:color w:val="auto"/>
          <w:sz w:val="32"/>
          <w:szCs w:val="32"/>
          <w:highlight w:val="none"/>
          <w:lang w:val="en-US" w:eastAsia="zh-CN"/>
        </w:rPr>
        <w:t>6.08</w:t>
      </w:r>
      <w:r>
        <w:rPr>
          <w:rFonts w:hint="eastAsia" w:ascii="Times New Roman" w:hAnsi="Times New Roman" w:eastAsia="仿宋_GB2312" w:cs="仿宋_GB2312"/>
          <w:color w:val="auto"/>
          <w:sz w:val="32"/>
          <w:szCs w:val="32"/>
          <w:highlight w:val="none"/>
        </w:rPr>
        <w:t>万元，下降</w:t>
      </w:r>
      <w:r>
        <w:rPr>
          <w:rFonts w:hint="eastAsia" w:eastAsia="仿宋_GB2312" w:cs="仿宋_GB2312"/>
          <w:color w:val="auto"/>
          <w:sz w:val="32"/>
          <w:szCs w:val="32"/>
          <w:highlight w:val="none"/>
          <w:lang w:val="en-US" w:eastAsia="zh-CN"/>
        </w:rPr>
        <w:t>3.7</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人员调动</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0" w:firstLineChars="200"/>
        <w:outlineLvl w:val="1"/>
        <w:rPr>
          <w:rStyle w:val="29"/>
          <w:rFonts w:ascii="Times New Roman" w:hAnsi="Times New Roman" w:eastAsia="黑体"/>
          <w:b w:val="0"/>
          <w:color w:val="auto"/>
          <w:highlight w:val="none"/>
        </w:rPr>
      </w:pPr>
      <w:bookmarkStart w:id="28" w:name="_Toc15396607"/>
      <w:bookmarkStart w:id="29" w:name="_Toc15377209"/>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28"/>
      <w:bookmarkEnd w:id="29"/>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0" w:name="_Toc15377210"/>
      <w:r>
        <w:rPr>
          <w:rFonts w:hint="eastAsia" w:ascii="Times New Roman" w:hAnsi="Times New Roman" w:eastAsia="楷体_GB2312" w:cs="楷体_GB2312"/>
          <w:b/>
          <w:color w:val="auto"/>
          <w:sz w:val="32"/>
          <w:szCs w:val="32"/>
          <w:highlight w:val="none"/>
        </w:rPr>
        <w:t>（一）一般公共预算财政拨款支出决算总体情况</w:t>
      </w:r>
      <w:bookmarkEnd w:id="30"/>
    </w:p>
    <w:p>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kern w:val="2"/>
          <w:sz w:val="32"/>
          <w:szCs w:val="32"/>
          <w:highlight w:val="none"/>
          <w:lang w:val="en-US" w:eastAsia="zh-CN" w:bidi="ar-SA"/>
        </w:rPr>
        <w:t>%。与2023年度相比，一般公共预算财政拨款支出</w:t>
      </w:r>
      <w:r>
        <w:rPr>
          <w:rFonts w:hint="eastAsia" w:ascii="Times New Roman" w:hAnsi="Times New Roman" w:eastAsia="仿宋_GB2312" w:cs="仿宋_GB2312"/>
          <w:color w:val="auto"/>
          <w:kern w:val="2"/>
          <w:sz w:val="32"/>
          <w:szCs w:val="32"/>
          <w:highlight w:val="none"/>
          <w:lang w:val="en-US" w:eastAsia="zh-CN" w:bidi="ar-SA"/>
        </w:rPr>
        <w:t>总计</w:t>
      </w:r>
      <w:r>
        <w:rPr>
          <w:rFonts w:hint="eastAsia" w:ascii="Times New Roman" w:hAnsi="Times New Roman" w:eastAsia="仿宋_GB2312" w:cs="仿宋_GB2312"/>
          <w:color w:val="auto"/>
          <w:sz w:val="32"/>
          <w:szCs w:val="32"/>
          <w:highlight w:val="none"/>
        </w:rPr>
        <w:t>减</w:t>
      </w:r>
      <w:r>
        <w:rPr>
          <w:rFonts w:hint="eastAsia" w:eastAsia="仿宋_GB2312" w:cs="仿宋_GB2312"/>
          <w:color w:val="auto"/>
          <w:sz w:val="32"/>
          <w:szCs w:val="32"/>
          <w:highlight w:val="none"/>
          <w:lang w:val="en-US" w:eastAsia="zh-CN"/>
        </w:rPr>
        <w:t>6.08</w:t>
      </w:r>
      <w:r>
        <w:rPr>
          <w:rFonts w:hint="eastAsia" w:ascii="Times New Roman" w:hAnsi="Times New Roman" w:eastAsia="仿宋_GB2312" w:cs="仿宋_GB2312"/>
          <w:color w:val="auto"/>
          <w:sz w:val="32"/>
          <w:szCs w:val="32"/>
          <w:highlight w:val="none"/>
        </w:rPr>
        <w:t>万元，下降</w:t>
      </w:r>
      <w:r>
        <w:rPr>
          <w:rFonts w:hint="eastAsia" w:eastAsia="仿宋_GB2312" w:cs="仿宋_GB2312"/>
          <w:color w:val="auto"/>
          <w:sz w:val="32"/>
          <w:szCs w:val="32"/>
          <w:highlight w:val="none"/>
          <w:lang w:val="en-US" w:eastAsia="zh-CN"/>
        </w:rPr>
        <w:t>3.7</w:t>
      </w:r>
      <w:r>
        <w:rPr>
          <w:rFonts w:hint="eastAsia" w:ascii="Times New Roman" w:hAnsi="Times New Roman" w:eastAsia="仿宋_GB2312" w:cs="仿宋_GB2312"/>
          <w:color w:val="auto"/>
          <w:sz w:val="32"/>
          <w:szCs w:val="32"/>
          <w:highlight w:val="none"/>
        </w:rPr>
        <w:t>%。主要变动原因是</w:t>
      </w:r>
      <w:r>
        <w:rPr>
          <w:rFonts w:hint="eastAsia" w:eastAsia="仿宋_GB2312" w:cs="仿宋_GB2312"/>
          <w:color w:val="auto"/>
          <w:sz w:val="32"/>
          <w:szCs w:val="32"/>
          <w:highlight w:val="none"/>
          <w:lang w:eastAsia="zh-CN"/>
        </w:rPr>
        <w:t>人员调动</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1" w:name="_Toc15377211"/>
      <w:r>
        <w:rPr>
          <w:rFonts w:hint="eastAsia" w:ascii="Times New Roman" w:hAnsi="Times New Roman" w:eastAsia="楷体_GB2312" w:cs="楷体_GB2312"/>
          <w:b/>
          <w:color w:val="auto"/>
          <w:sz w:val="32"/>
          <w:szCs w:val="32"/>
          <w:highlight w:val="none"/>
        </w:rPr>
        <w:t>（二）一般公共预算财政拨款支出决算结构情况</w:t>
      </w:r>
      <w:bookmarkEnd w:id="31"/>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，主要用于以下方面</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一般公共服务支出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%；教育支出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%；科学技术支出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%；文化旅游体育与传媒支出</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%；社会保障和就业支出</w:t>
      </w:r>
      <w:r>
        <w:rPr>
          <w:rFonts w:hint="eastAsia" w:eastAsia="仿宋_GB2312" w:cs="仿宋_GB2312"/>
          <w:color w:val="auto"/>
          <w:kern w:val="2"/>
          <w:sz w:val="32"/>
          <w:szCs w:val="32"/>
          <w:highlight w:val="none"/>
          <w:lang w:val="en-US" w:eastAsia="zh-CN" w:bidi="ar-SA"/>
        </w:rPr>
        <w:t>142.29</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74.95</w:t>
      </w:r>
      <w:r>
        <w:rPr>
          <w:rFonts w:hint="eastAsia" w:ascii="Times New Roman" w:hAnsi="Times New Roman" w:eastAsia="仿宋_GB2312" w:cs="仿宋_GB2312"/>
          <w:color w:val="auto"/>
          <w:kern w:val="2"/>
          <w:sz w:val="32"/>
          <w:szCs w:val="32"/>
          <w:highlight w:val="none"/>
          <w:lang w:val="en-US" w:eastAsia="zh-CN" w:bidi="ar-SA"/>
        </w:rPr>
        <w:t>%；卫生健康支出</w:t>
      </w:r>
      <w:r>
        <w:rPr>
          <w:rFonts w:hint="eastAsia" w:eastAsia="仿宋_GB2312" w:cs="仿宋_GB2312"/>
          <w:color w:val="auto"/>
          <w:kern w:val="2"/>
          <w:sz w:val="32"/>
          <w:szCs w:val="32"/>
          <w:highlight w:val="none"/>
          <w:lang w:val="en-US" w:eastAsia="zh-CN" w:bidi="ar-SA"/>
        </w:rPr>
        <w:t>5</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3.16</w:t>
      </w:r>
      <w:r>
        <w:rPr>
          <w:rFonts w:hint="eastAsia" w:ascii="Times New Roman" w:hAnsi="Times New Roman" w:eastAsia="仿宋_GB2312" w:cs="仿宋_GB2312"/>
          <w:color w:val="auto"/>
          <w:kern w:val="2"/>
          <w:sz w:val="32"/>
          <w:szCs w:val="32"/>
          <w:highlight w:val="none"/>
          <w:lang w:val="en-US" w:eastAsia="zh-CN" w:bidi="ar-SA"/>
        </w:rPr>
        <w:t>%；住房保障支出</w:t>
      </w:r>
      <w:r>
        <w:rPr>
          <w:rFonts w:hint="eastAsia" w:eastAsia="仿宋_GB2312" w:cs="仿宋_GB2312"/>
          <w:color w:val="auto"/>
          <w:kern w:val="2"/>
          <w:sz w:val="32"/>
          <w:szCs w:val="32"/>
          <w:highlight w:val="none"/>
          <w:lang w:val="en-US" w:eastAsia="zh-CN" w:bidi="ar-SA"/>
        </w:rPr>
        <w:t>10.97</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6.94</w:t>
      </w:r>
      <w:r>
        <w:rPr>
          <w:rFonts w:hint="eastAsia" w:ascii="Times New Roman" w:hAnsi="Times New Roman" w:eastAsia="仿宋_GB2312" w:cs="仿宋_GB2312"/>
          <w:color w:val="auto"/>
          <w:kern w:val="2"/>
          <w:sz w:val="32"/>
          <w:szCs w:val="32"/>
          <w:highlight w:val="none"/>
          <w:lang w:val="en-US" w:eastAsia="zh-CN" w:bidi="ar-SA"/>
        </w:rPr>
        <w:t>%</w:t>
      </w:r>
      <w:r>
        <w:rPr>
          <w:rFonts w:hint="eastAsia"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2" w:name="_Toc15377212"/>
      <w:r>
        <w:rPr>
          <w:rFonts w:hint="eastAsia" w:ascii="Times New Roman" w:hAnsi="Times New Roman" w:eastAsia="楷体_GB2312" w:cs="楷体_GB2312"/>
          <w:b/>
          <w:color w:val="auto"/>
          <w:sz w:val="32"/>
          <w:szCs w:val="32"/>
          <w:highlight w:val="none"/>
        </w:rPr>
        <w:t>（三）一般公共预算财政拨款支出决算具体情况</w:t>
      </w:r>
      <w:bookmarkEnd w:id="32"/>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33" w:name="_Toc15377444"/>
      <w:bookmarkStart w:id="34" w:name="_Toc15378460"/>
      <w:bookmarkStart w:id="35" w:name="_Toc15377213"/>
      <w:r>
        <w:rPr>
          <w:rFonts w:hint="eastAsia" w:ascii="Times New Roman" w:hAnsi="Times New Roman"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%。其中：</w:t>
      </w:r>
      <w:bookmarkEnd w:id="33"/>
      <w:bookmarkEnd w:id="34"/>
      <w:bookmarkEnd w:id="35"/>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社会保障和就业（类）人力资源和社会保障管理事务（款）其他人力资源和社会保障管理事务支出（项）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118.63</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社会保障和就业（类）行政事业单位养老支出（款）机关事业单位基本养老保险缴费支出（项）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12.67</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社会保障和就业（类）行政事业单位养老支出（款）机关事业单位职业年金缴费支出（项）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7.78</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社会保障和就业（类）行政事业单位养老支出（款）其他行政事业单位养老支出项）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2.45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社会保障和就业（类）其他社会保障和就业支出（款）其他社会保障和就业支出</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0.75</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卫生健康（类）行政事业单位医疗（款）事业单位医疗（项）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4</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卫生健康（类）行政事业单位医疗（款）公务员医疗补助（项）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1</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numPr>
          <w:ilvl w:val="0"/>
          <w:numId w:val="2"/>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住房保障支出（类）住房改革支出（款）住房公积金（项）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支出决算为</w:t>
      </w:r>
      <w:r>
        <w:rPr>
          <w:rFonts w:hint="eastAsia" w:eastAsia="仿宋_GB2312" w:cs="仿宋_GB2312"/>
          <w:color w:val="auto"/>
          <w:kern w:val="2"/>
          <w:sz w:val="32"/>
          <w:szCs w:val="32"/>
          <w:highlight w:val="none"/>
          <w:lang w:val="en-US" w:eastAsia="zh-CN" w:bidi="ar-SA"/>
        </w:rPr>
        <w:t>10.97</w:t>
      </w:r>
      <w:r>
        <w:rPr>
          <w:rFonts w:hint="eastAsia" w:ascii="Times New Roman" w:hAnsi="Times New Roman" w:eastAsia="仿宋_GB2312" w:cs="仿宋_GB2312"/>
          <w:color w:val="auto"/>
          <w:kern w:val="2"/>
          <w:sz w:val="32"/>
          <w:szCs w:val="32"/>
          <w:highlight w:val="none"/>
          <w:lang w:val="en-US" w:eastAsia="zh-CN" w:bidi="ar-SA"/>
        </w:rPr>
        <w:t>万元，完成预算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w:t>
      </w:r>
    </w:p>
    <w:p>
      <w:pPr>
        <w:pStyle w:val="2"/>
        <w:rPr>
          <w:rFonts w:hint="eastAsia"/>
          <w:lang w:val="en-US" w:eastAsia="zh-CN"/>
        </w:rPr>
      </w:pPr>
    </w:p>
    <w:p>
      <w:pPr>
        <w:pStyle w:val="2"/>
        <w:rPr>
          <w:rFonts w:hint="eastAsia"/>
          <w:lang w:val="en-US" w:eastAsia="zh-CN"/>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pStyle w:val="2"/>
        <w:rPr>
          <w:rFonts w:hint="eastAsia" w:ascii="Times New Roman" w:hAnsi="Times New Roman" w:eastAsia="仿宋_GB2312" w:cs="仿宋_GB2312"/>
          <w:color w:val="auto"/>
          <w:kern w:val="2"/>
          <w:sz w:val="32"/>
          <w:szCs w:val="32"/>
          <w:highlight w:val="none"/>
          <w:lang w:val="en-US" w:eastAsia="zh-CN" w:bidi="ar-SA"/>
        </w:rPr>
      </w:pPr>
    </w:p>
    <w:p>
      <w:pPr>
        <w:pStyle w:val="3"/>
        <w:rPr>
          <w:rFonts w:hint="eastAsia"/>
          <w:lang w:val="en-US" w:eastAsia="zh-CN"/>
        </w:rPr>
      </w:pPr>
    </w:p>
    <w:p>
      <w:pPr>
        <w:tabs>
          <w:tab w:val="right" w:pos="8306"/>
        </w:tabs>
        <w:spacing w:line="600" w:lineRule="exact"/>
        <w:ind w:firstLine="640"/>
        <w:outlineLvl w:val="1"/>
        <w:rPr>
          <w:rStyle w:val="29"/>
          <w:rFonts w:ascii="Times New Roman" w:hAnsi="Times New Roman"/>
          <w:color w:val="auto"/>
          <w:highlight w:val="none"/>
        </w:rPr>
      </w:pPr>
      <w:bookmarkStart w:id="36" w:name="_Toc15396608"/>
      <w:bookmarkStart w:id="37" w:name="_Toc15377214"/>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36"/>
      <w:bookmarkEnd w:id="37"/>
      <w:r>
        <w:rPr>
          <w:rStyle w:val="29"/>
          <w:rFonts w:ascii="Times New Roman" w:hAnsi="Times New Roman" w:eastAsia="黑体"/>
          <w:b w:val="0"/>
          <w:color w:val="auto"/>
          <w:highlight w:val="none"/>
        </w:rPr>
        <w:tab/>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158.28</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142.52</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15.76</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pStyle w:val="2"/>
        <w:rPr>
          <w:rFonts w:hint="eastAsia"/>
          <w:lang w:val="en-US" w:eastAsia="zh-CN"/>
        </w:rPr>
      </w:pPr>
    </w:p>
    <w:p>
      <w:pPr>
        <w:spacing w:line="600" w:lineRule="exact"/>
        <w:ind w:firstLine="640"/>
        <w:outlineLvl w:val="1"/>
        <w:rPr>
          <w:rStyle w:val="29"/>
          <w:rFonts w:ascii="Times New Roman" w:hAnsi="Times New Roman" w:eastAsia="黑体"/>
          <w:b w:val="0"/>
          <w:color w:val="auto"/>
          <w:highlight w:val="none"/>
        </w:rPr>
      </w:pPr>
      <w:bookmarkStart w:id="38" w:name="_Toc15396609"/>
      <w:bookmarkStart w:id="39" w:name="_Toc15377215"/>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38"/>
      <w:bookmarkEnd w:id="39"/>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0" w:name="_Toc15377216"/>
      <w:r>
        <w:rPr>
          <w:rFonts w:hint="eastAsia" w:ascii="Times New Roman" w:hAnsi="Times New Roman" w:eastAsia="楷体_GB2312" w:cs="楷体_GB2312"/>
          <w:b/>
          <w:color w:val="auto"/>
          <w:sz w:val="32"/>
          <w:szCs w:val="32"/>
          <w:highlight w:val="none"/>
        </w:rPr>
        <w:t>（一）“三公”经费财政拨款支出决算总体情况说明</w:t>
      </w:r>
      <w:bookmarkEnd w:id="40"/>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较上年度</w:t>
      </w:r>
      <w:r>
        <w:rPr>
          <w:rFonts w:hint="eastAsia" w:eastAsia="仿宋_GB2312" w:cs="仿宋_GB2312"/>
          <w:color w:val="auto"/>
          <w:kern w:val="2"/>
          <w:sz w:val="32"/>
          <w:szCs w:val="32"/>
          <w:highlight w:val="none"/>
          <w:lang w:val="en-US" w:eastAsia="zh-CN" w:bidi="ar-SA"/>
        </w:rPr>
        <w:t>无变化。</w:t>
      </w:r>
      <w:r>
        <w:rPr>
          <w:rFonts w:hint="eastAsia" w:ascii="Times New Roman" w:hAnsi="Times New Roman" w:eastAsia="仿宋_GB2312" w:cs="仿宋_GB2312"/>
          <w:b/>
          <w:bCs/>
          <w:color w:val="auto"/>
          <w:kern w:val="2"/>
          <w:sz w:val="32"/>
          <w:szCs w:val="32"/>
          <w:highlight w:val="none"/>
          <w:lang w:val="en-US" w:eastAsia="zh-CN" w:bidi="ar-SA"/>
        </w:rPr>
        <w:t>（注：上述“预算”口径为全年预算数，包括一般公共预算和政府性基金预算财政拨款支出决算情况）</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1"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41"/>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2024年度“三公”经费财政拨款支出决算中，因公出国（境）费支出决算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万元，占**%；公务用车购置及运行维护费支出决算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万元，占**%；公务接待费支出决算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万元，占**%。具体情况如下：</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1.因公出国（境）经费支出**万元，完成预算**%。</w:t>
      </w:r>
      <w:r>
        <w:rPr>
          <w:rFonts w:hint="eastAsia" w:ascii="Times New Roman" w:hAnsi="Times New Roman" w:eastAsia="仿宋_GB2312" w:cs="仿宋_GB2312"/>
          <w:color w:val="auto"/>
          <w:kern w:val="2"/>
          <w:sz w:val="32"/>
          <w:szCs w:val="32"/>
          <w:highlight w:val="none"/>
          <w:lang w:val="en-US" w:eastAsia="zh-CN" w:bidi="ar-SA"/>
        </w:rPr>
        <w:t>全年安排因公出国（境）团</w:t>
      </w:r>
      <w:r>
        <w:rPr>
          <w:rFonts w:hint="eastAsia" w:ascii="仿宋_GB2312" w:hAnsi="仿宋_GB2312" w:eastAsia="仿宋_GB2312" w:cs="仿宋_GB2312"/>
          <w:color w:val="auto"/>
          <w:kern w:val="2"/>
          <w:sz w:val="32"/>
          <w:szCs w:val="32"/>
          <w:highlight w:val="none"/>
          <w:lang w:val="en-US" w:eastAsia="zh-CN" w:bidi="ar-SA"/>
        </w:rPr>
        <w:t>组</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w:t>
      </w:r>
      <w:r>
        <w:rPr>
          <w:rFonts w:hint="eastAsia" w:ascii="Times New Roman" w:hAnsi="Times New Roman" w:eastAsia="仿宋_GB2312" w:cs="仿宋_GB2312"/>
          <w:color w:val="auto"/>
          <w:kern w:val="2"/>
          <w:sz w:val="32"/>
          <w:szCs w:val="32"/>
          <w:highlight w:val="none"/>
          <w:lang w:val="en-US" w:eastAsia="zh-CN" w:bidi="ar-SA"/>
        </w:rPr>
        <w:t>。因公出国（境）支出决算比2023年</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2.公务用车购置及运行维护费支出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完成预算**%。</w:t>
      </w:r>
      <w:r>
        <w:rPr>
          <w:rFonts w:hint="eastAsia" w:ascii="Times New Roman" w:hAnsi="Times New Roman" w:eastAsia="仿宋_GB2312" w:cs="仿宋_GB2312"/>
          <w:color w:val="auto"/>
          <w:kern w:val="2"/>
          <w:sz w:val="32"/>
          <w:szCs w:val="32"/>
          <w:highlight w:val="none"/>
          <w:lang w:val="en-US" w:eastAsia="zh-CN" w:bidi="ar-SA"/>
        </w:rPr>
        <w:t>公务用车购置及运行维护费支出决算比2023年度</w:t>
      </w:r>
      <w:r>
        <w:rPr>
          <w:rFonts w:hint="eastAsia" w:eastAsia="仿宋_GB2312" w:cs="仿宋_GB2312"/>
          <w:color w:val="auto"/>
          <w:kern w:val="2"/>
          <w:sz w:val="32"/>
          <w:szCs w:val="32"/>
          <w:highlight w:val="none"/>
          <w:lang w:val="en-US" w:eastAsia="zh-CN" w:bidi="ar-SA"/>
        </w:rPr>
        <w:t>无变化。</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其中：公务用车购置支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万元。全年按规定更新购置公务用车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辆，其中：轿车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万元。截至2024年12月31日，单位共有公务用车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辆，其中：轿车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公务用车运行维护费支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万元。主要用于……（具体工作）所需的公务用车燃料费、维修费、过路过桥费、保险费等支出。</w:t>
      </w:r>
    </w:p>
    <w:p>
      <w:pPr>
        <w:numPr>
          <w:ilvl w:val="0"/>
          <w:numId w:val="3"/>
        </w:num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公务接待费支出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元，完成预算**%。</w:t>
      </w:r>
      <w:r>
        <w:rPr>
          <w:rFonts w:hint="eastAsia" w:ascii="Times New Roman" w:hAnsi="Times New Roman" w:eastAsia="仿宋_GB2312" w:cs="仿宋_GB2312"/>
          <w:color w:val="auto"/>
          <w:kern w:val="2"/>
          <w:sz w:val="32"/>
          <w:szCs w:val="32"/>
          <w:highlight w:val="none"/>
          <w:lang w:val="en-US" w:eastAsia="zh-CN" w:bidi="ar-SA"/>
        </w:rPr>
        <w:t>公务接待费支出决算比2023年度</w:t>
      </w:r>
      <w:r>
        <w:rPr>
          <w:rFonts w:hint="eastAsia" w:eastAsia="仿宋_GB2312" w:cs="仿宋_GB2312"/>
          <w:color w:val="auto"/>
          <w:kern w:val="2"/>
          <w:sz w:val="32"/>
          <w:szCs w:val="32"/>
          <w:highlight w:val="none"/>
          <w:lang w:val="en-US" w:eastAsia="zh-CN" w:bidi="ar-SA"/>
        </w:rPr>
        <w:t>无变化</w:t>
      </w:r>
      <w:r>
        <w:rPr>
          <w:rFonts w:hint="eastAsia" w:ascii="Times New Roman" w:hAnsi="Times New Roman" w:eastAsia="仿宋_GB2312" w:cs="仿宋_GB2312"/>
          <w:color w:val="auto"/>
          <w:kern w:val="2"/>
          <w:sz w:val="32"/>
          <w:szCs w:val="32"/>
          <w:highlight w:val="none"/>
          <w:lang w:val="en-US" w:eastAsia="zh-CN" w:bidi="ar-SA"/>
        </w:rPr>
        <w:t>国内公务接待支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元，主要用于……(执行公务、开展业务活动开支的交通费、住宿费、用餐费等)。国内公务接</w:t>
      </w:r>
      <w:r>
        <w:rPr>
          <w:rFonts w:hint="eastAsia" w:ascii="仿宋_GB2312" w:hAnsi="仿宋_GB2312" w:eastAsia="仿宋_GB2312" w:cs="仿宋_GB2312"/>
          <w:color w:val="auto"/>
          <w:kern w:val="2"/>
          <w:sz w:val="32"/>
          <w:szCs w:val="32"/>
          <w:highlight w:val="none"/>
          <w:lang w:val="en-US" w:eastAsia="zh-CN" w:bidi="ar-SA"/>
        </w:rPr>
        <w:t>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人次（不包括陪同人员），共计支出**万元，具体内容包括：……（接待具体项目、金额）。</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外事接待支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万元，主要用于……（具体项目）。外事接待</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批次，</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人次（不包括陪同人员），共计支出**万</w:t>
      </w:r>
      <w:r>
        <w:rPr>
          <w:rFonts w:hint="eastAsia" w:ascii="Times New Roman" w:hAnsi="Times New Roman" w:eastAsia="仿宋_GB2312" w:cs="仿宋_GB2312"/>
          <w:color w:val="auto"/>
          <w:kern w:val="2"/>
          <w:sz w:val="32"/>
          <w:szCs w:val="32"/>
          <w:highlight w:val="none"/>
          <w:lang w:val="en-US" w:eastAsia="zh-CN" w:bidi="ar-SA"/>
        </w:rPr>
        <w:t>元。</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42" w:name="_Toc15377218"/>
      <w:bookmarkStart w:id="43" w:name="_Toc15396610"/>
    </w:p>
    <w:p>
      <w:pPr>
        <w:spacing w:line="600" w:lineRule="exact"/>
        <w:ind w:firstLine="640"/>
        <w:outlineLvl w:val="1"/>
        <w:rPr>
          <w:rStyle w:val="29"/>
          <w:rFonts w:ascii="Times New Roman" w:hAnsi="Times New Roman" w:eastAsia="黑体"/>
          <w:color w:val="auto"/>
          <w:highlight w:val="none"/>
        </w:rPr>
      </w:pPr>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42"/>
      <w:bookmarkEnd w:id="43"/>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44" w:name="_Toc15396611"/>
      <w:bookmarkStart w:id="45" w:name="_Toc15377219"/>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44"/>
      <w:bookmarkEnd w:id="45"/>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无变化。</w:t>
      </w:r>
    </w:p>
    <w:p>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46" w:name="_Toc15396612"/>
      <w:bookmarkStart w:id="47" w:name="_Toc15377221"/>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46"/>
      <w:bookmarkEnd w:id="47"/>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8" w:name="_Toc15377222"/>
      <w:r>
        <w:rPr>
          <w:rFonts w:hint="eastAsia" w:ascii="Times New Roman" w:hAnsi="Times New Roman" w:eastAsia="楷体_GB2312" w:cs="楷体_GB2312"/>
          <w:b/>
          <w:color w:val="auto"/>
          <w:sz w:val="32"/>
          <w:szCs w:val="32"/>
          <w:highlight w:val="none"/>
        </w:rPr>
        <w:t>（一）机关运行经费支出情况</w:t>
      </w:r>
      <w:bookmarkEnd w:id="48"/>
    </w:p>
    <w:p>
      <w:pPr>
        <w:spacing w:line="600" w:lineRule="exact"/>
        <w:ind w:firstLine="640" w:firstLineChars="200"/>
        <w:outlineLvl w:val="2"/>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乐山市五通桥区石麟镇便民服务中心</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元，比2023年度</w:t>
      </w:r>
      <w:bookmarkStart w:id="49" w:name="_Toc15377223"/>
      <w:r>
        <w:rPr>
          <w:rFonts w:hint="eastAsia" w:eastAsia="仿宋_GB2312" w:cs="仿宋_GB2312"/>
          <w:color w:val="auto"/>
          <w:kern w:val="2"/>
          <w:sz w:val="32"/>
          <w:szCs w:val="32"/>
          <w:highlight w:val="none"/>
          <w:lang w:val="en-US" w:eastAsia="zh-CN" w:bidi="ar-SA"/>
        </w:rPr>
        <w:t>无变化</w:t>
      </w: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（二）政府采购支出情况</w:t>
      </w:r>
      <w:bookmarkEnd w:id="49"/>
    </w:p>
    <w:p>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乐山市五通桥区石麟镇便民服务中心</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万元。主要用于……（具体工作）。授予中小企业合同金额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50" w:name="_Toc15377224"/>
      <w:r>
        <w:rPr>
          <w:rFonts w:hint="eastAsia" w:ascii="Times New Roman" w:hAnsi="Times New Roman" w:eastAsia="楷体_GB2312" w:cs="楷体_GB2312"/>
          <w:b/>
          <w:color w:val="auto"/>
          <w:sz w:val="32"/>
          <w:szCs w:val="32"/>
          <w:highlight w:val="none"/>
        </w:rPr>
        <w:t>（三）国有资产占有使用情况</w:t>
      </w:r>
      <w:bookmarkEnd w:id="50"/>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乐山市五通桥区石麟镇便民服务中心</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辆，其他用车主要是用于……。单价100万元（含）以上设备（不含车辆）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（四）预算绩效管理情况</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根据预算绩效管理要求，***在2024年度预算编制阶段，组织对***（项目名称）等***个项目开展了预算事前绩效评估，对***个项目编制了绩效目标，预算执行过程中，选取***个项目开展绩效监控。</w:t>
      </w:r>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组织对2024年度一般公共预算、政府性基金预算、国有资本经营预算、社会保险基金预算以及资本资产、债券资金等全面开展绩效自评，形成***部门整体（含部门预算项目）绩效自评报告、***等专项预算项目绩效自评报告，其中，***部门整体（含部门预算项目）绩效自评得分为***分，绩效自评综述……；***专项预算项目绩效自评得分为***分，绩效自评综述……。绩效自评报告详见附件。</w:t>
      </w:r>
      <w:r>
        <w:rPr>
          <w:rFonts w:hint="eastAsia" w:ascii="Times New Roman" w:hAnsi="Times New Roman" w:eastAsia="仿宋_GB2312" w:cs="仿宋_GB2312"/>
          <w:b/>
          <w:bCs/>
          <w:color w:val="auto"/>
          <w:kern w:val="2"/>
          <w:sz w:val="32"/>
          <w:szCs w:val="32"/>
          <w:highlight w:val="none"/>
          <w:lang w:val="en-US" w:eastAsia="zh-CN" w:bidi="ar-SA"/>
        </w:rPr>
        <w:t>（</w:t>
      </w:r>
      <w:r>
        <w:rPr>
          <w:rFonts w:hint="eastAsia" w:eastAsia="仿宋_GB2312" w:cs="仿宋_GB2312"/>
          <w:b/>
          <w:bCs/>
          <w:color w:val="auto"/>
          <w:kern w:val="2"/>
          <w:sz w:val="32"/>
          <w:szCs w:val="32"/>
          <w:highlight w:val="none"/>
          <w:lang w:val="en-US" w:eastAsia="zh-CN" w:bidi="ar-SA"/>
        </w:rPr>
        <w:t>注：</w:t>
      </w:r>
      <w:r>
        <w:rPr>
          <w:rFonts w:hint="eastAsia" w:ascii="Times New Roman" w:hAnsi="Times New Roman" w:eastAsia="仿宋_GB2312" w:cs="仿宋_GB2312"/>
          <w:b/>
          <w:bCs/>
          <w:color w:val="auto"/>
          <w:kern w:val="2"/>
          <w:sz w:val="32"/>
          <w:szCs w:val="32"/>
          <w:highlight w:val="none"/>
          <w:lang w:val="en-US" w:eastAsia="zh-CN" w:bidi="ar-SA"/>
        </w:rPr>
        <w:t>如不涉及，可根据实际修改表述。）</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pStyle w:val="2"/>
        <w:rPr>
          <w:rFonts w:hint="eastAsia"/>
          <w:lang w:val="en-US" w:eastAsia="zh-CN"/>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51" w:name="_Toc15377225"/>
      <w:bookmarkStart w:id="52" w:name="_Toc15396613"/>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51"/>
      <w:bookmarkEnd w:id="52"/>
    </w:p>
    <w:p>
      <w:pPr>
        <w:spacing w:line="600" w:lineRule="exact"/>
        <w:jc w:val="left"/>
        <w:rPr>
          <w:rFonts w:ascii="Times New Roman" w:hAnsi="Times New Roman"/>
          <w:b/>
          <w:color w:val="auto"/>
          <w:sz w:val="44"/>
          <w:szCs w:val="44"/>
          <w:highlight w:val="none"/>
        </w:rPr>
      </w:pP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1.财政拨款收入：指单位从同级财政部门取得的财政预算资金。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2.事业收入：指事业单位开展专业业务活动及辅助活动取得的收入。如……（二级预算单位事业收入情况）等。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3.经营收入：指事业单位在专业业务活动及其辅助活动之外开展非独立核算经营活动取得的收入。如……（二级预算单位经营收入情况）等。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4.其他收入：指单位取得的除上述收入以外的各项收入。主要是……（收入类型）等。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5.使用非财政拨款结余（含专用结余）：指事业单位使用以前年度积累的非财政拨款结余弥补当年收支差额的金额。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6.年初结转和结余：指以前年度尚未完成、结转到本年按有关规定继续使用的资金。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7.结余分配：指事业单位按照会计制度规定缴纳的所得税、提取的专用结余以及转入非财政拨款结余的金额等。</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8.年末结转和结余：指单位按有关规定结转到下年或以后年度继续使用的资金。</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9.一般公共服务（类）……（款）……（项）：指……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10.外交（类）……（款）……（项）：指……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11.公共安全（类）……（款）……（项）：指……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12.教育（类）……（款）……（项）：指……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13.科学技术（类）……（款）……（项）：指……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14.文化旅游体育与传媒（类）……（款）……（项）：指……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15.社会保障和就业（类）……（款）……（项）：指……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16.卫生健康（类）……（款）……（项）：指……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17.节能环保（类）……（款）……（项）</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18.城乡社区（类）……（款）……（项）：指……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19.农林水（类）……（款）……（项）：指……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20.交通运输（类）……（款）……（项）：指……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21.资源勘探工业信息等（类）……（款）……（项）：指……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22.商业服务业（类）……（款）……（项）：指……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23.金融（类）……（款）……（项）：指……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24.自然资源海洋气象等（类）……（款）……（项）：指……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25.住房保障（类）……（款）……（项）：指……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26.粮油物资储备（类）……（款）……（项）：指……</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w:t>
      </w:r>
      <w:r>
        <w:rPr>
          <w:rFonts w:hint="eastAsia" w:eastAsia="仿宋_GB2312" w:cs="仿宋_GB2312"/>
          <w:b/>
          <w:bCs/>
          <w:color w:val="auto"/>
          <w:kern w:val="2"/>
          <w:sz w:val="32"/>
          <w:szCs w:val="32"/>
          <w:highlight w:val="none"/>
          <w:lang w:val="en-US" w:eastAsia="zh-CN" w:bidi="ar-SA"/>
        </w:rPr>
        <w:t>注：</w:t>
      </w:r>
      <w:r>
        <w:rPr>
          <w:rFonts w:hint="eastAsia" w:ascii="Times New Roman" w:hAnsi="Times New Roman" w:eastAsia="仿宋_GB2312" w:cs="仿宋_GB2312"/>
          <w:b/>
          <w:bCs/>
          <w:color w:val="auto"/>
          <w:kern w:val="2"/>
          <w:sz w:val="32"/>
          <w:szCs w:val="32"/>
          <w:highlight w:val="none"/>
          <w:lang w:val="en-US" w:eastAsia="zh-CN" w:bidi="ar-SA"/>
        </w:rPr>
        <w:t>解释本部门决算报表中涉及的全部功能分类科目至项级，不涉及的科目请自行删除。请参照</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202</w:t>
      </w:r>
      <w:r>
        <w:rPr>
          <w:rFonts w:hint="eastAsia" w:eastAsia="仿宋_GB2312" w:cs="仿宋_GB2312"/>
          <w:b/>
          <w:bCs/>
          <w:color w:val="auto"/>
          <w:kern w:val="2"/>
          <w:sz w:val="32"/>
          <w:szCs w:val="32"/>
          <w:highlight w:val="none"/>
          <w:lang w:val="en-US" w:eastAsia="zh-CN" w:bidi="ar-SA"/>
        </w:rPr>
        <w:t>4</w:t>
      </w:r>
      <w:r>
        <w:rPr>
          <w:rFonts w:hint="eastAsia" w:ascii="Times New Roman" w:hAnsi="Times New Roman" w:eastAsia="仿宋_GB2312" w:cs="仿宋_GB2312"/>
          <w:b/>
          <w:bCs/>
          <w:color w:val="auto"/>
          <w:kern w:val="2"/>
          <w:sz w:val="32"/>
          <w:szCs w:val="32"/>
          <w:highlight w:val="none"/>
          <w:lang w:val="en-US" w:eastAsia="zh-CN" w:bidi="ar-SA"/>
        </w:rPr>
        <w:t>年政府收支分类科目</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增减内容）</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27.基本支出：指为保障机构正常运转、完成日常工作任务而发生的人员支出和公用支出。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 xml:space="preserve">28.项目支出：指在基本支出之外为完成特定行政任务和事业发展目标所发生的支出。 </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29.经营支出：指事业单位在专业业务活动及其辅助活动之外开展非独立核算经营活动发生的支出。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30.</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三公</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31.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32.……</w:t>
      </w:r>
    </w:p>
    <w:p>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（注：名词解释部分请根据各部门实际列支情况罗列，并根据本部门职责职能增减名词解释内容）</w:t>
      </w:r>
    </w:p>
    <w:p>
      <w:pPr>
        <w:spacing w:line="600" w:lineRule="exact"/>
        <w:jc w:val="center"/>
        <w:rPr>
          <w:rStyle w:val="28"/>
          <w:rFonts w:hint="eastAsia" w:ascii="Times New Roman" w:hAnsi="Times New Roman" w:eastAsia="黑体"/>
          <w:b w:val="0"/>
          <w:color w:val="auto"/>
          <w:highlight w:val="none"/>
          <w:lang w:eastAsia="zh-CN"/>
        </w:rPr>
      </w:pPr>
      <w:bookmarkStart w:id="53" w:name="_Toc15377226"/>
      <w:r>
        <w:rPr>
          <w:rFonts w:hint="eastAsia" w:ascii="Times New Roman" w:hAnsi="Times New Roman" w:eastAsia="仿宋_GB2312" w:cs="仿宋_GB2312"/>
          <w:color w:val="auto"/>
          <w:kern w:val="2"/>
          <w:sz w:val="32"/>
          <w:szCs w:val="32"/>
          <w:highlight w:val="none"/>
          <w:lang w:val="en-US" w:eastAsia="zh-CN" w:bidi="ar-SA"/>
        </w:rPr>
        <w:br w:type="page"/>
      </w:r>
      <w:bookmarkStart w:id="54" w:name="_Toc15396614"/>
      <w:r>
        <w:rPr>
          <w:rFonts w:hint="eastAsia" w:ascii="Times New Roman" w:hAnsi="Times New Roman" w:eastAsia="黑体"/>
          <w:color w:val="auto"/>
          <w:sz w:val="44"/>
          <w:szCs w:val="44"/>
          <w:highlight w:val="none"/>
        </w:rPr>
        <w:t>第四部分</w:t>
      </w:r>
      <w:r>
        <w:rPr>
          <w:rFonts w:hint="eastAsia" w:ascii="Times New Roman" w:hAnsi="Times New Roman"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 xml:space="preserve"> 附件</w:t>
      </w:r>
      <w:bookmarkEnd w:id="54"/>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none"/>
        </w:rPr>
      </w:pPr>
    </w:p>
    <w:p>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方正小标宋简体"/>
          <w:color w:val="auto"/>
          <w:sz w:val="44"/>
          <w:szCs w:val="44"/>
          <w:highlight w:val="none"/>
          <w:lang w:val="en-US" w:eastAsia="zh-CN"/>
        </w:rPr>
      </w:pPr>
      <w:r>
        <w:rPr>
          <w:rFonts w:hint="eastAsia" w:ascii="Times New Roman" w:hAnsi="Times New Roman" w:eastAsia="黑体" w:cs="黑体"/>
          <w:color w:val="auto"/>
          <w:sz w:val="32"/>
          <w:szCs w:val="32"/>
          <w:highlight w:val="none"/>
        </w:rPr>
        <w:t>附件</w:t>
      </w:r>
      <w:r>
        <w:rPr>
          <w:rFonts w:hint="eastAsia" w:ascii="Times New Roman" w:hAnsi="Times New Roman" w:eastAsia="黑体" w:cs="黑体"/>
          <w:color w:val="auto"/>
          <w:sz w:val="32"/>
          <w:szCs w:val="32"/>
          <w:highlight w:val="none"/>
          <w:lang w:val="en-US" w:eastAsia="zh-CN"/>
        </w:rPr>
        <w:t>1</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none"/>
          <w:shd w:val="clear" w:color="auto" w:fill="FFFFFF"/>
        </w:rPr>
      </w:pP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yellow"/>
          <w:shd w:val="clear" w:color="auto" w:fill="FFFFFF"/>
        </w:rPr>
      </w:pPr>
      <w:r>
        <w:rPr>
          <w:rFonts w:hint="default" w:ascii="Times New Roman" w:hAnsi="Times New Roman" w:eastAsia="方正小标宋简体" w:cs="Times New Roman"/>
          <w:b w:val="0"/>
          <w:bCs/>
          <w:sz w:val="44"/>
          <w:szCs w:val="44"/>
          <w:highlight w:val="yellow"/>
          <w:shd w:val="clear" w:color="auto" w:fill="FFFFFF"/>
        </w:rPr>
        <w:t>部门</w:t>
      </w:r>
      <w:r>
        <w:rPr>
          <w:rFonts w:hint="default" w:ascii="Times New Roman" w:hAnsi="Times New Roman" w:eastAsia="方正小标宋简体" w:cs="Times New Roman"/>
          <w:b w:val="0"/>
          <w:bCs/>
          <w:sz w:val="44"/>
          <w:szCs w:val="44"/>
          <w:highlight w:val="yellow"/>
          <w:shd w:val="clear" w:color="auto" w:fill="FFFFFF"/>
          <w:lang w:eastAsia="zh-CN"/>
        </w:rPr>
        <w:t>预算</w:t>
      </w:r>
      <w:r>
        <w:rPr>
          <w:rFonts w:hint="default" w:ascii="Times New Roman" w:hAnsi="Times New Roman" w:eastAsia="方正小标宋简体" w:cs="Times New Roman"/>
          <w:b w:val="0"/>
          <w:bCs/>
          <w:sz w:val="44"/>
          <w:szCs w:val="44"/>
          <w:highlight w:val="yellow"/>
          <w:shd w:val="clear" w:color="auto" w:fill="FFFFFF"/>
        </w:rPr>
        <w:t>绩效</w:t>
      </w:r>
      <w:r>
        <w:rPr>
          <w:rFonts w:hint="eastAsia" w:ascii="Times New Roman" w:hAnsi="Times New Roman" w:eastAsia="方正小标宋简体" w:cs="Times New Roman"/>
          <w:b w:val="0"/>
          <w:bCs/>
          <w:sz w:val="44"/>
          <w:szCs w:val="44"/>
          <w:highlight w:val="yellow"/>
          <w:shd w:val="clear" w:color="auto" w:fill="FFFFFF"/>
          <w:lang w:eastAsia="zh-CN"/>
        </w:rPr>
        <w:t>评价</w:t>
      </w:r>
      <w:r>
        <w:rPr>
          <w:rFonts w:hint="default" w:ascii="Times New Roman" w:hAnsi="Times New Roman" w:eastAsia="方正小标宋简体" w:cs="Times New Roman"/>
          <w:b w:val="0"/>
          <w:bCs/>
          <w:sz w:val="44"/>
          <w:szCs w:val="44"/>
          <w:highlight w:val="yellow"/>
          <w:shd w:val="clear" w:color="auto" w:fill="FFFFFF"/>
        </w:rPr>
        <w:t>报告范本</w:t>
      </w:r>
    </w:p>
    <w:p>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仿宋_GB2312" w:cs="Times New Roman"/>
          <w:sz w:val="32"/>
          <w:szCs w:val="32"/>
          <w:highlight w:val="yellow"/>
          <w:shd w:val="clear" w:color="auto" w:fill="FFFFFF"/>
        </w:rPr>
      </w:pPr>
      <w:r>
        <w:rPr>
          <w:rFonts w:hint="default" w:ascii="Times New Roman" w:hAnsi="Times New Roman" w:eastAsia="仿宋_GB2312" w:cs="Times New Roman"/>
          <w:sz w:val="32"/>
          <w:szCs w:val="32"/>
          <w:highlight w:val="yellow"/>
          <w:shd w:val="clear" w:color="auto" w:fill="FFFFFF"/>
        </w:rPr>
        <w:t>（报告范围包括机关和下属单位）</w:t>
      </w:r>
    </w:p>
    <w:p>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yellow"/>
          <w:shd w:val="clear" w:color="auto" w:fill="FFFFFF"/>
        </w:rPr>
      </w:pP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eastAsia" w:ascii="Times New Roman" w:hAnsi="Times New Roman" w:eastAsia="黑体" w:cs="Times New Roman"/>
          <w:color w:val="000000"/>
          <w:kern w:val="0"/>
          <w:sz w:val="32"/>
          <w:szCs w:val="32"/>
          <w:highlight w:val="yellow"/>
          <w:shd w:val="clear" w:color="auto" w:fill="FFFFFF"/>
          <w:lang w:val="zh-CN"/>
        </w:rPr>
        <w:t>一、</w:t>
      </w:r>
      <w:r>
        <w:rPr>
          <w:rFonts w:hint="default" w:ascii="Times New Roman" w:hAnsi="Times New Roman" w:eastAsia="黑体" w:cs="Times New Roman"/>
          <w:color w:val="000000"/>
          <w:kern w:val="0"/>
          <w:sz w:val="32"/>
          <w:szCs w:val="32"/>
          <w:highlight w:val="yellow"/>
          <w:shd w:val="clear" w:color="auto" w:fill="FFFFFF"/>
          <w:lang w:val="zh-CN"/>
        </w:rPr>
        <w:t>部门（单位）基本情况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rPr>
      </w:pPr>
      <w:r>
        <w:rPr>
          <w:rFonts w:hint="eastAsia" w:ascii="Times New Roman" w:hAnsi="Times New Roman" w:eastAsia="楷体_GB2312" w:cs="楷体_GB2312"/>
          <w:b/>
          <w:color w:val="auto"/>
          <w:sz w:val="32"/>
          <w:szCs w:val="32"/>
          <w:highlight w:val="yellow"/>
          <w:lang w:val="zh-CN"/>
        </w:rPr>
        <w:t>（一）</w:t>
      </w:r>
      <w:r>
        <w:rPr>
          <w:rFonts w:hint="default" w:ascii="Times New Roman" w:hAnsi="Times New Roman" w:eastAsia="楷体_GB2312" w:cs="楷体_GB2312"/>
          <w:b/>
          <w:color w:val="auto"/>
          <w:sz w:val="32"/>
          <w:szCs w:val="32"/>
          <w:highlight w:val="yellow"/>
          <w:lang w:val="zh-CN"/>
        </w:rPr>
        <w:t>机构组成。</w:t>
      </w:r>
      <w:r>
        <w:rPr>
          <w:rFonts w:hint="eastAsia" w:ascii="Times New Roman" w:hAnsi="Times New Roman" w:eastAsia="仿宋_GB2312" w:cs="仿宋_GB2312"/>
          <w:color w:val="auto"/>
          <w:kern w:val="2"/>
          <w:sz w:val="32"/>
          <w:szCs w:val="32"/>
          <w:highlight w:val="yellow"/>
          <w:lang w:val="en-US" w:eastAsia="zh-CN" w:bidi="ar-SA"/>
        </w:rPr>
        <w:t>***内设</w:t>
      </w:r>
      <w:r>
        <w:rPr>
          <w:rFonts w:hint="default" w:ascii="Times New Roman" w:hAnsi="Times New Roman" w:eastAsia="仿宋_GB2312" w:cs="仿宋_GB2312"/>
          <w:color w:val="auto"/>
          <w:kern w:val="2"/>
          <w:sz w:val="32"/>
          <w:szCs w:val="32"/>
          <w:highlight w:val="yellow"/>
          <w:lang w:val="en-US" w:eastAsia="zh-CN" w:bidi="ar-SA"/>
        </w:rPr>
        <w:t>处室</w:t>
      </w:r>
      <w:r>
        <w:rPr>
          <w:rFonts w:hint="eastAsia" w:ascii="Times New Roman" w:hAnsi="Times New Roman" w:eastAsia="仿宋_GB2312" w:cs="仿宋_GB2312"/>
          <w:color w:val="auto"/>
          <w:kern w:val="2"/>
          <w:sz w:val="32"/>
          <w:szCs w:val="32"/>
          <w:highlight w:val="yellow"/>
          <w:lang w:val="en-US" w:eastAsia="zh-CN" w:bidi="ar-SA"/>
        </w:rPr>
        <w:t>及下属单位情况</w:t>
      </w:r>
      <w:r>
        <w:rPr>
          <w:rFonts w:hint="default"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zh-CN"/>
        </w:rPr>
      </w:pPr>
      <w:r>
        <w:rPr>
          <w:rFonts w:hint="default" w:ascii="Times New Roman" w:hAnsi="Times New Roman" w:eastAsia="楷体_GB2312" w:cs="楷体_GB2312"/>
          <w:b/>
          <w:color w:val="auto"/>
          <w:sz w:val="32"/>
          <w:szCs w:val="32"/>
          <w:highlight w:val="yellow"/>
          <w:lang w:val="zh-CN"/>
        </w:rPr>
        <w:t>（二）机构职能</w:t>
      </w:r>
      <w:r>
        <w:rPr>
          <w:rFonts w:hint="eastAsia" w:ascii="Times New Roman" w:hAnsi="Times New Roman" w:eastAsia="楷体_GB2312" w:cs="楷体_GB2312"/>
          <w:b/>
          <w:color w:val="auto"/>
          <w:sz w:val="32"/>
          <w:szCs w:val="32"/>
          <w:highlight w:val="yellow"/>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职责和功能。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cs="Times New Roman"/>
          <w:szCs w:val="32"/>
          <w:highlight w:val="yellow"/>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）人员概况</w:t>
      </w:r>
      <w:r>
        <w:rPr>
          <w:rFonts w:hint="eastAsia" w:ascii="Times New Roman" w:hAnsi="Times New Roman" w:eastAsia="楷体_GB2312" w:cs="Times New Roman"/>
          <w:b/>
          <w:bCs/>
          <w:color w:val="000000"/>
          <w:kern w:val="0"/>
          <w:sz w:val="32"/>
          <w:szCs w:val="32"/>
          <w:highlight w:val="yellow"/>
          <w:shd w:val="clear" w:color="auto" w:fill="FFFFFF"/>
          <w:lang w:val="zh-CN"/>
        </w:rPr>
        <w:t>。</w:t>
      </w:r>
      <w:r>
        <w:rPr>
          <w:rFonts w:hint="default" w:ascii="Times New Roman" w:hAnsi="Times New Roman" w:eastAsia="仿宋_GB2312" w:cs="Times New Roman"/>
          <w:sz w:val="32"/>
          <w:szCs w:val="32"/>
          <w:highlight w:val="yellow"/>
          <w:lang w:val="en-US" w:eastAsia="zh-CN"/>
        </w:rPr>
        <w:t>截至202</w:t>
      </w:r>
      <w:r>
        <w:rPr>
          <w:rFonts w:hint="eastAsia" w:ascii="Times New Roman" w:hAnsi="Times New Roman" w:eastAsia="仿宋_GB2312" w:cs="Times New Roman"/>
          <w:sz w:val="32"/>
          <w:szCs w:val="32"/>
          <w:highlight w:val="yellow"/>
          <w:lang w:val="en-US" w:eastAsia="zh-CN"/>
        </w:rPr>
        <w:t>4</w:t>
      </w:r>
      <w:r>
        <w:rPr>
          <w:rFonts w:hint="default" w:ascii="Times New Roman" w:hAnsi="Times New Roman" w:eastAsia="仿宋_GB2312" w:cs="Times New Roman"/>
          <w:sz w:val="32"/>
          <w:szCs w:val="32"/>
          <w:highlight w:val="yellow"/>
          <w:lang w:val="en-US" w:eastAsia="zh-CN"/>
        </w:rPr>
        <w:t>年末，</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Times New Roman"/>
          <w:sz w:val="32"/>
          <w:szCs w:val="32"/>
          <w:highlight w:val="yellow"/>
          <w:lang w:val="en-US" w:eastAsia="zh-CN"/>
        </w:rPr>
        <w:t>及下属单位编制</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年末实有人数</w:t>
      </w:r>
      <w:r>
        <w:rPr>
          <w:rFonts w:hint="eastAsia" w:ascii="Times New Roman" w:hAnsi="Times New Roman" w:eastAsia="仿宋_GB2312" w:cs="Times New Roman"/>
          <w:sz w:val="32"/>
          <w:szCs w:val="32"/>
          <w:highlight w:val="yellow"/>
          <w:lang w:val="en-US" w:eastAsia="zh-CN"/>
        </w:rPr>
        <w:t>情况。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二、部门资金收支情况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Cs w:val="32"/>
          <w:highlight w:val="yellow"/>
          <w:shd w:val="clear" w:color="auto" w:fill="FFFFFF"/>
          <w:lang w:val="en-US"/>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收入情况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2024年年初预算收入情况、决算报表收入情况。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cs="Times New Roman"/>
          <w:szCs w:val="32"/>
          <w:highlight w:val="yellow"/>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二</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支出情况</w:t>
      </w: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2024年年初预算支出情况、决算报表支出情况。</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b w:val="0"/>
          <w:bCs w:val="0"/>
          <w:color w:val="000000"/>
          <w:kern w:val="0"/>
          <w:szCs w:val="32"/>
          <w:highlight w:val="yellow"/>
          <w:shd w:val="clear" w:color="auto" w:fill="FFFFFF"/>
          <w:lang w:val="zh-CN" w:eastAsia="zh-CN"/>
        </w:rPr>
      </w:pPr>
      <w:r>
        <w:rPr>
          <w:rFonts w:hint="default" w:ascii="Times New Roman" w:hAnsi="Times New Roman" w:eastAsia="楷体_GB2312" w:cs="Times New Roman"/>
          <w:b/>
          <w:bCs/>
          <w:color w:val="000000"/>
          <w:kern w:val="0"/>
          <w:sz w:val="32"/>
          <w:szCs w:val="32"/>
          <w:highlight w:val="yellow"/>
          <w:shd w:val="clear" w:color="auto" w:fill="FFFFFF"/>
          <w:lang w:val="zh-CN"/>
        </w:rPr>
        <w:t>（</w:t>
      </w:r>
      <w:r>
        <w:rPr>
          <w:rFonts w:hint="eastAsia" w:ascii="Times New Roman" w:hAnsi="Times New Roman" w:eastAsia="楷体_GB2312" w:cs="Times New Roman"/>
          <w:b/>
          <w:bCs/>
          <w:color w:val="000000"/>
          <w:kern w:val="0"/>
          <w:sz w:val="32"/>
          <w:szCs w:val="32"/>
          <w:highlight w:val="yellow"/>
          <w:shd w:val="clear" w:color="auto" w:fill="FFFFFF"/>
          <w:lang w:val="zh-CN"/>
        </w:rPr>
        <w:t>三</w:t>
      </w:r>
      <w:r>
        <w:rPr>
          <w:rFonts w:hint="default" w:ascii="Times New Roman" w:hAnsi="Times New Roman" w:eastAsia="楷体_GB2312" w:cs="Times New Roman"/>
          <w:b/>
          <w:bCs/>
          <w:color w:val="000000"/>
          <w:kern w:val="0"/>
          <w:sz w:val="32"/>
          <w:szCs w:val="32"/>
          <w:highlight w:val="yellow"/>
          <w:shd w:val="clear" w:color="auto" w:fill="FFFFFF"/>
          <w:lang w:val="zh-CN"/>
        </w:rPr>
        <w:t>）结余分配和结转结余情况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仿宋_GB2312"/>
          <w:color w:val="auto"/>
          <w:kern w:val="2"/>
          <w:sz w:val="32"/>
          <w:szCs w:val="32"/>
          <w:highlight w:val="yellow"/>
          <w:lang w:val="en-US" w:eastAsia="zh-CN" w:bidi="ar-SA"/>
        </w:rPr>
        <w:t>***</w:t>
      </w:r>
      <w:r>
        <w:rPr>
          <w:rFonts w:hint="eastAsia" w:ascii="Times New Roman" w:hAnsi="Times New Roman" w:eastAsia="仿宋_GB2312" w:cs="Times New Roman"/>
          <w:sz w:val="32"/>
          <w:szCs w:val="32"/>
          <w:highlight w:val="yellow"/>
          <w:lang w:val="en-US" w:eastAsia="zh-CN"/>
        </w:rPr>
        <w:t>2024年决算报表</w:t>
      </w:r>
      <w:r>
        <w:rPr>
          <w:rFonts w:hint="default" w:ascii="Times New Roman" w:hAnsi="Times New Roman" w:eastAsia="仿宋_GB2312" w:cs="Times New Roman"/>
          <w:sz w:val="32"/>
          <w:szCs w:val="32"/>
          <w:highlight w:val="yellow"/>
          <w:lang w:val="en-US" w:eastAsia="zh-CN"/>
        </w:rPr>
        <w:t>结转结余</w:t>
      </w:r>
      <w:r>
        <w:rPr>
          <w:rFonts w:hint="eastAsia" w:ascii="Times New Roman" w:hAnsi="Times New Roman" w:eastAsia="仿宋_GB2312" w:cs="Times New Roman"/>
          <w:sz w:val="32"/>
          <w:szCs w:val="32"/>
          <w:highlight w:val="yellow"/>
          <w:lang w:val="en-US" w:eastAsia="zh-CN"/>
        </w:rPr>
        <w:t>情况</w:t>
      </w:r>
      <w:r>
        <w:rPr>
          <w:rFonts w:hint="default" w:ascii="Times New Roman" w:hAnsi="Times New Roman" w:eastAsia="仿宋_GB2312" w:cs="Times New Roman"/>
          <w:sz w:val="32"/>
          <w:szCs w:val="32"/>
          <w:highlight w:val="yellow"/>
          <w:lang w:val="en-US"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eastAsia="zh-CN"/>
        </w:rPr>
      </w:pPr>
      <w:r>
        <w:rPr>
          <w:rFonts w:hint="default" w:ascii="Times New Roman" w:hAnsi="Times New Roman" w:eastAsia="黑体" w:cs="Times New Roman"/>
          <w:color w:val="000000"/>
          <w:kern w:val="0"/>
          <w:sz w:val="32"/>
          <w:szCs w:val="32"/>
          <w:highlight w:val="yellow"/>
          <w:shd w:val="clear" w:color="auto" w:fill="FFFFFF"/>
          <w:lang w:val="zh-CN" w:eastAsia="zh-CN"/>
        </w:rPr>
        <w:t>三、部门预算绩效分析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（一）</w:t>
      </w:r>
      <w:r>
        <w:rPr>
          <w:rFonts w:hint="eastAsia" w:ascii="Times New Roman" w:hAnsi="Times New Roman" w:eastAsia="楷体_GB2312" w:cs="Times New Roman"/>
          <w:b/>
          <w:bCs/>
          <w:color w:val="000000"/>
          <w:kern w:val="0"/>
          <w:sz w:val="32"/>
          <w:szCs w:val="32"/>
          <w:highlight w:val="yellow"/>
          <w:shd w:val="clear" w:color="auto" w:fill="FFFFFF"/>
          <w:lang w:val="zh-CN"/>
        </w:rPr>
        <w:t>部门预算</w:t>
      </w:r>
      <w:r>
        <w:rPr>
          <w:rFonts w:hint="default" w:ascii="Times New Roman" w:hAnsi="Times New Roman" w:eastAsia="楷体_GB2312" w:cs="Times New Roman"/>
          <w:b/>
          <w:bCs/>
          <w:color w:val="000000"/>
          <w:kern w:val="0"/>
          <w:sz w:val="32"/>
          <w:szCs w:val="32"/>
          <w:highlight w:val="yellow"/>
          <w:shd w:val="clear" w:color="auto" w:fill="FFFFFF"/>
          <w:lang w:val="zh-CN"/>
        </w:rPr>
        <w:t>总体绩效分析。</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总体绩效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，依次包括履职效能、预算管理、财务管理、资产管理、采购管理等情况。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履职效能。部门整体绩效目标中选定3-5个核心职能目标，对职能目标完成效果情况绩效分析。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预算管理</w:t>
      </w:r>
      <w:r>
        <w:rPr>
          <w:rFonts w:hint="eastAsia" w:ascii="Times New Roman" w:hAnsi="Times New Roman" w:eastAsia="仿宋_GB2312" w:cs="仿宋_GB2312"/>
          <w:color w:val="auto"/>
          <w:kern w:val="2"/>
          <w:sz w:val="32"/>
          <w:szCs w:val="32"/>
          <w:highlight w:val="yellow"/>
          <w:lang w:val="zh-CN" w:eastAsia="zh-CN" w:bidi="ar-SA"/>
        </w:rPr>
        <w:t>。围绕预算编制质量、单位收入统筹、支出执行进度、预算年终结余、严控一般性支出</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default" w:ascii="Times New Roman" w:hAnsi="Times New Roman" w:eastAsia="仿宋_GB2312" w:cs="仿宋_GB2312"/>
          <w:color w:val="auto"/>
          <w:kern w:val="2"/>
          <w:sz w:val="32"/>
          <w:szCs w:val="32"/>
          <w:highlight w:val="yellow"/>
          <w:lang w:val="zh-CN" w:eastAsia="zh-CN" w:bidi="ar-SA"/>
        </w:rPr>
        <w:t>财务管理</w:t>
      </w:r>
      <w:r>
        <w:rPr>
          <w:rFonts w:hint="eastAsia" w:ascii="Times New Roman" w:hAnsi="Times New Roman" w:eastAsia="仿宋_GB2312" w:cs="仿宋_GB2312"/>
          <w:color w:val="auto"/>
          <w:kern w:val="2"/>
          <w:sz w:val="32"/>
          <w:szCs w:val="32"/>
          <w:highlight w:val="yellow"/>
          <w:lang w:val="zh-CN" w:eastAsia="zh-CN" w:bidi="ar-SA"/>
        </w:rPr>
        <w:t>。围绕财务管理制度、财务岗位设置、资金使用规范</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4.</w:t>
      </w:r>
      <w:r>
        <w:rPr>
          <w:rFonts w:hint="default" w:ascii="Times New Roman" w:hAnsi="Times New Roman" w:eastAsia="仿宋_GB2312" w:cs="仿宋_GB2312"/>
          <w:color w:val="auto"/>
          <w:kern w:val="2"/>
          <w:sz w:val="32"/>
          <w:szCs w:val="32"/>
          <w:highlight w:val="yellow"/>
          <w:lang w:val="zh-CN" w:eastAsia="zh-CN" w:bidi="ar-SA"/>
        </w:rPr>
        <w:t>资产管理</w:t>
      </w:r>
      <w:r>
        <w:rPr>
          <w:rFonts w:hint="eastAsia" w:ascii="Times New Roman" w:hAnsi="Times New Roman" w:eastAsia="仿宋_GB2312" w:cs="仿宋_GB2312"/>
          <w:color w:val="auto"/>
          <w:kern w:val="2"/>
          <w:sz w:val="32"/>
          <w:szCs w:val="32"/>
          <w:highlight w:val="yellow"/>
          <w:lang w:val="zh-CN" w:eastAsia="zh-CN" w:bidi="ar-SA"/>
        </w:rPr>
        <w:t>。围绕人均资产变化率、资产利用率、资产盘活率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5.</w:t>
      </w:r>
      <w:r>
        <w:rPr>
          <w:rFonts w:hint="default" w:ascii="Times New Roman" w:hAnsi="Times New Roman" w:eastAsia="仿宋_GB2312" w:cs="仿宋_GB2312"/>
          <w:color w:val="auto"/>
          <w:kern w:val="2"/>
          <w:sz w:val="32"/>
          <w:szCs w:val="32"/>
          <w:highlight w:val="yellow"/>
          <w:lang w:val="zh-CN" w:eastAsia="zh-CN" w:bidi="ar-SA"/>
        </w:rPr>
        <w:t>采购管理</w:t>
      </w:r>
      <w:r>
        <w:rPr>
          <w:rFonts w:hint="eastAsia" w:ascii="Times New Roman" w:hAnsi="Times New Roman" w:eastAsia="仿宋_GB2312" w:cs="仿宋_GB2312"/>
          <w:color w:val="auto"/>
          <w:kern w:val="2"/>
          <w:sz w:val="32"/>
          <w:szCs w:val="32"/>
          <w:highlight w:val="yellow"/>
          <w:lang w:val="zh-CN" w:eastAsia="zh-CN" w:bidi="ar-SA"/>
        </w:rPr>
        <w:t>。围绕支持中小企业发展、采购执行率</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en-US" w:eastAsia="zh-CN" w:bidi="ar-SA"/>
        </w:rPr>
      </w:pPr>
      <w:r>
        <w:rPr>
          <w:rFonts w:hint="default" w:ascii="Times New Roman" w:hAnsi="Times New Roman" w:eastAsia="楷体_GB2312" w:cs="Times New Roman"/>
          <w:b/>
          <w:bCs/>
          <w:color w:val="000000"/>
          <w:kern w:val="0"/>
          <w:sz w:val="32"/>
          <w:szCs w:val="32"/>
          <w:highlight w:val="yellow"/>
          <w:shd w:val="clear" w:color="auto" w:fill="FFFFFF"/>
          <w:lang w:val="zh-CN"/>
        </w:rPr>
        <w:t>（二）部门预算项目绩效分析。</w:t>
      </w:r>
      <w:r>
        <w:rPr>
          <w:rFonts w:hint="eastAsia" w:ascii="Times New Roman" w:hAnsi="Times New Roman" w:eastAsia="仿宋_GB2312" w:cs="仿宋_GB2312"/>
          <w:color w:val="auto"/>
          <w:kern w:val="2"/>
          <w:sz w:val="32"/>
          <w:szCs w:val="32"/>
          <w:highlight w:val="yellow"/>
          <w:lang w:val="zh-CN" w:eastAsia="zh-CN" w:bidi="ar-SA"/>
        </w:rPr>
        <w:t>填报以下数据，并</w:t>
      </w:r>
      <w:r>
        <w:rPr>
          <w:rFonts w:hint="default" w:ascii="Times New Roman" w:hAnsi="Times New Roman" w:eastAsia="仿宋_GB2312" w:cs="仿宋_GB2312"/>
          <w:color w:val="auto"/>
          <w:kern w:val="2"/>
          <w:sz w:val="32"/>
          <w:szCs w:val="32"/>
          <w:highlight w:val="yellow"/>
          <w:lang w:val="zh-CN" w:eastAsia="zh-CN" w:bidi="ar-SA"/>
        </w:rPr>
        <w:t>根据部门预算绩效评价指标体系</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项目绩效</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涉及</w:t>
      </w:r>
      <w:r>
        <w:rPr>
          <w:rFonts w:hint="eastAsia" w:ascii="Times New Roman" w:hAnsi="Times New Roman" w:eastAsia="仿宋_GB2312" w:cs="仿宋_GB2312"/>
          <w:color w:val="auto"/>
          <w:kern w:val="2"/>
          <w:sz w:val="32"/>
          <w:szCs w:val="32"/>
          <w:highlight w:val="yellow"/>
          <w:lang w:val="zh-CN" w:eastAsia="zh-CN" w:bidi="ar-SA"/>
        </w:rPr>
        <w:t>二、三级</w:t>
      </w:r>
      <w:r>
        <w:rPr>
          <w:rFonts w:hint="default" w:ascii="Times New Roman" w:hAnsi="Times New Roman" w:eastAsia="仿宋_GB2312" w:cs="仿宋_GB2312"/>
          <w:color w:val="auto"/>
          <w:kern w:val="2"/>
          <w:sz w:val="32"/>
          <w:szCs w:val="32"/>
          <w:highlight w:val="yellow"/>
          <w:lang w:val="zh-CN" w:eastAsia="zh-CN" w:bidi="ar-SA"/>
        </w:rPr>
        <w:t>指标进行</w:t>
      </w:r>
      <w:r>
        <w:rPr>
          <w:rFonts w:hint="eastAsia" w:ascii="Times New Roman" w:hAnsi="Times New Roman" w:eastAsia="仿宋_GB2312" w:cs="仿宋_GB2312"/>
          <w:color w:val="auto"/>
          <w:kern w:val="2"/>
          <w:sz w:val="32"/>
          <w:szCs w:val="32"/>
          <w:highlight w:val="yellow"/>
          <w:lang w:val="zh-CN" w:eastAsia="zh-CN" w:bidi="ar-SA"/>
        </w:rPr>
        <w:t>逐项</w:t>
      </w:r>
      <w:r>
        <w:rPr>
          <w:rFonts w:hint="default" w:ascii="Times New Roman" w:hAnsi="Times New Roman" w:eastAsia="仿宋_GB2312" w:cs="仿宋_GB2312"/>
          <w:color w:val="auto"/>
          <w:kern w:val="2"/>
          <w:sz w:val="32"/>
          <w:szCs w:val="32"/>
          <w:highlight w:val="yellow"/>
          <w:lang w:val="zh-CN" w:eastAsia="zh-CN" w:bidi="ar-SA"/>
        </w:rPr>
        <w:t>绩效分析</w:t>
      </w:r>
      <w:r>
        <w:rPr>
          <w:rFonts w:hint="eastAsia" w:ascii="Times New Roman" w:hAnsi="Times New Roman" w:eastAsia="仿宋_GB2312" w:cs="仿宋_GB2312"/>
          <w:color w:val="auto"/>
          <w:kern w:val="2"/>
          <w:sz w:val="32"/>
          <w:szCs w:val="32"/>
          <w:highlight w:val="yellow"/>
          <w:lang w:val="zh-CN" w:eastAsia="zh-CN" w:bidi="ar-SA"/>
        </w:rPr>
        <w:t>并评分</w:t>
      </w:r>
      <w:r>
        <w:rPr>
          <w:rFonts w:hint="default" w:ascii="Times New Roman" w:hAnsi="Times New Roman" w:eastAsia="仿宋_GB2312" w:cs="仿宋_GB2312"/>
          <w:color w:val="auto"/>
          <w:kern w:val="2"/>
          <w:sz w:val="32"/>
          <w:szCs w:val="32"/>
          <w:highlight w:val="yellow"/>
          <w:lang w:val="zh-CN" w:eastAsia="zh-CN" w:bidi="ar-SA"/>
        </w:rPr>
        <w:t>，依次包括项目</w:t>
      </w:r>
      <w:r>
        <w:rPr>
          <w:rFonts w:hint="default" w:ascii="Times New Roman" w:hAnsi="Times New Roman" w:eastAsia="仿宋_GB2312" w:cs="仿宋_GB2312"/>
          <w:color w:val="auto"/>
          <w:kern w:val="2"/>
          <w:sz w:val="32"/>
          <w:szCs w:val="32"/>
          <w:highlight w:val="yellow"/>
          <w:lang w:val="en-US" w:eastAsia="zh-CN" w:bidi="ar-SA"/>
        </w:rPr>
        <w:t>决策、项目执行、目标实现等情况</w:t>
      </w:r>
      <w:r>
        <w:rPr>
          <w:rFonts w:hint="eastAsia" w:ascii="Times New Roman" w:hAnsi="Times New Roman" w:eastAsia="仿宋_GB2312" w:cs="仿宋_GB2312"/>
          <w:color w:val="auto"/>
          <w:kern w:val="2"/>
          <w:sz w:val="32"/>
          <w:szCs w:val="32"/>
          <w:highlight w:val="yellow"/>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常年项目绩效分析。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yellow"/>
          <w:lang w:val="zh-CN" w:eastAsia="zh-CN" w:bidi="ar-SA"/>
        </w:rPr>
      </w:pPr>
      <w:r>
        <w:rPr>
          <w:rFonts w:hint="default" w:ascii="Times New Roman" w:hAnsi="Times New Roman" w:eastAsia="仿宋_GB2312" w:cs="仿宋_GB2312"/>
          <w:color w:val="auto"/>
          <w:kern w:val="2"/>
          <w:sz w:val="32"/>
          <w:szCs w:val="32"/>
          <w:highlight w:val="yellow"/>
          <w:lang w:val="en-US" w:eastAsia="zh-CN" w:bidi="ar-SA"/>
        </w:rPr>
        <w:t>阶段</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一次性</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en-US" w:eastAsia="zh-CN" w:bidi="ar-SA"/>
        </w:rPr>
        <w:t>项目绩效分析。</w:t>
      </w:r>
      <w:r>
        <w:rPr>
          <w:rFonts w:hint="default" w:ascii="Times New Roman" w:hAnsi="Times New Roman" w:eastAsia="仿宋_GB2312" w:cs="仿宋_GB2312"/>
          <w:color w:val="auto"/>
          <w:kern w:val="2"/>
          <w:sz w:val="32"/>
          <w:szCs w:val="32"/>
          <w:highlight w:val="yellow"/>
          <w:lang w:val="zh-CN" w:eastAsia="zh-CN" w:bidi="ar-SA"/>
        </w:rPr>
        <w:t>该类项目总数</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个，涉及预算总金额</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万元，1</w:t>
      </w:r>
      <w:r>
        <w:rPr>
          <w:rFonts w:hint="eastAsia" w:ascii="Times New Roman" w:hAnsi="Times New Roman" w:eastAsia="仿宋_GB2312" w:cs="仿宋_GB2312"/>
          <w:color w:val="auto"/>
          <w:kern w:val="2"/>
          <w:sz w:val="32"/>
          <w:szCs w:val="32"/>
          <w:highlight w:val="yellow"/>
          <w:lang w:val="zh-CN" w:eastAsia="zh-CN" w:bidi="ar-SA"/>
        </w:rPr>
        <w:t>—</w:t>
      </w:r>
      <w:r>
        <w:rPr>
          <w:rFonts w:hint="default" w:ascii="Times New Roman" w:hAnsi="Times New Roman" w:eastAsia="仿宋_GB2312" w:cs="仿宋_GB2312"/>
          <w:color w:val="auto"/>
          <w:kern w:val="2"/>
          <w:sz w:val="32"/>
          <w:szCs w:val="32"/>
          <w:highlight w:val="yellow"/>
          <w:lang w:val="zh-CN" w:eastAsia="zh-CN" w:bidi="ar-SA"/>
        </w:rPr>
        <w:t>1</w:t>
      </w:r>
      <w:r>
        <w:rPr>
          <w:rFonts w:hint="default" w:ascii="Times New Roman" w:hAnsi="Times New Roman" w:eastAsia="仿宋_GB2312" w:cs="仿宋_GB2312"/>
          <w:color w:val="auto"/>
          <w:kern w:val="2"/>
          <w:sz w:val="32"/>
          <w:szCs w:val="32"/>
          <w:highlight w:val="yellow"/>
          <w:lang w:val="en-US" w:eastAsia="zh-CN" w:bidi="ar-SA"/>
        </w:rPr>
        <w:t>2</w:t>
      </w:r>
      <w:r>
        <w:rPr>
          <w:rFonts w:hint="default" w:ascii="Times New Roman" w:hAnsi="Times New Roman" w:eastAsia="仿宋_GB2312" w:cs="仿宋_GB2312"/>
          <w:color w:val="auto"/>
          <w:kern w:val="2"/>
          <w:sz w:val="32"/>
          <w:szCs w:val="32"/>
          <w:highlight w:val="yellow"/>
          <w:lang w:val="zh-CN" w:eastAsia="zh-CN" w:bidi="ar-SA"/>
        </w:rPr>
        <w:t>月预算执行总体进度为</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%，其中：预算结余率大于</w:t>
      </w:r>
      <w:r>
        <w:rPr>
          <w:rFonts w:hint="default" w:ascii="Times New Roman" w:hAnsi="Times New Roman" w:eastAsia="仿宋_GB2312" w:cs="仿宋_GB2312"/>
          <w:color w:val="auto"/>
          <w:kern w:val="2"/>
          <w:sz w:val="32"/>
          <w:szCs w:val="32"/>
          <w:highlight w:val="yellow"/>
          <w:lang w:val="en-US" w:eastAsia="zh-CN" w:bidi="ar-SA"/>
        </w:rPr>
        <w:t>10%</w:t>
      </w:r>
      <w:r>
        <w:rPr>
          <w:rFonts w:hint="default" w:ascii="Times New Roman" w:hAnsi="Times New Roman" w:eastAsia="仿宋_GB2312" w:cs="仿宋_GB2312"/>
          <w:color w:val="auto"/>
          <w:kern w:val="2"/>
          <w:sz w:val="32"/>
          <w:szCs w:val="32"/>
          <w:highlight w:val="yellow"/>
          <w:lang w:val="zh-CN" w:eastAsia="zh-CN" w:bidi="ar-SA"/>
        </w:rPr>
        <w:t>的项目共计</w:t>
      </w:r>
      <w:r>
        <w:rPr>
          <w:rFonts w:hint="eastAsia" w:ascii="Times New Roman" w:hAnsi="Times New Roman" w:eastAsia="仿宋_GB2312" w:cs="仿宋_GB2312"/>
          <w:color w:val="auto"/>
          <w:kern w:val="2"/>
          <w:sz w:val="32"/>
          <w:szCs w:val="32"/>
          <w:highlight w:val="yellow"/>
          <w:lang w:val="en-US" w:eastAsia="zh-CN" w:bidi="ar-SA"/>
        </w:rPr>
        <w:t>***</w:t>
      </w:r>
      <w:r>
        <w:rPr>
          <w:rFonts w:hint="default" w:ascii="Times New Roman" w:hAnsi="Times New Roman" w:eastAsia="仿宋_GB2312" w:cs="仿宋_GB2312"/>
          <w:color w:val="auto"/>
          <w:kern w:val="2"/>
          <w:sz w:val="32"/>
          <w:szCs w:val="32"/>
          <w:highlight w:val="yellow"/>
          <w:lang w:val="zh-CN" w:eastAsia="zh-CN" w:bidi="ar-SA"/>
        </w:rPr>
        <w:t>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1.</w:t>
      </w:r>
      <w:r>
        <w:rPr>
          <w:rFonts w:hint="eastAsia" w:ascii="Times New Roman" w:hAnsi="Times New Roman" w:eastAsia="仿宋_GB2312" w:cs="仿宋_GB2312"/>
          <w:color w:val="auto"/>
          <w:kern w:val="2"/>
          <w:sz w:val="32"/>
          <w:szCs w:val="32"/>
          <w:highlight w:val="yellow"/>
          <w:lang w:val="zh-CN" w:eastAsia="zh-CN" w:bidi="ar-SA"/>
        </w:rPr>
        <w:t>项目决策。围绕决策程序、目标设置、项目入库</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2.项目执行</w:t>
      </w:r>
      <w:r>
        <w:rPr>
          <w:rFonts w:hint="eastAsia" w:ascii="Times New Roman" w:hAnsi="Times New Roman" w:eastAsia="仿宋_GB2312" w:cs="仿宋_GB2312"/>
          <w:color w:val="auto"/>
          <w:kern w:val="2"/>
          <w:sz w:val="32"/>
          <w:szCs w:val="32"/>
          <w:highlight w:val="yellow"/>
          <w:lang w:val="zh-CN" w:eastAsia="zh-CN" w:bidi="ar-SA"/>
        </w:rPr>
        <w:t>。围绕资金执行同向、项目调整、执行结果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eastAsia" w:ascii="Times New Roman" w:hAnsi="Times New Roman" w:eastAsia="仿宋_GB2312" w:cs="仿宋_GB2312"/>
          <w:color w:val="auto"/>
          <w:kern w:val="2"/>
          <w:sz w:val="32"/>
          <w:szCs w:val="32"/>
          <w:highlight w:val="yellow"/>
          <w:lang w:val="zh-CN" w:eastAsia="zh-CN" w:bidi="ar-SA"/>
        </w:rPr>
      </w:pPr>
      <w:r>
        <w:rPr>
          <w:rFonts w:hint="eastAsia" w:ascii="Times New Roman" w:hAnsi="Times New Roman" w:eastAsia="仿宋_GB2312" w:cs="仿宋_GB2312"/>
          <w:color w:val="auto"/>
          <w:kern w:val="2"/>
          <w:sz w:val="32"/>
          <w:szCs w:val="32"/>
          <w:highlight w:val="yellow"/>
          <w:lang w:val="en-US" w:eastAsia="zh-CN" w:bidi="ar-SA"/>
        </w:rPr>
        <w:t>3.</w:t>
      </w:r>
      <w:r>
        <w:rPr>
          <w:rFonts w:hint="eastAsia" w:ascii="Times New Roman" w:hAnsi="Times New Roman" w:eastAsia="仿宋_GB2312" w:cs="仿宋_GB2312"/>
          <w:color w:val="auto"/>
          <w:kern w:val="2"/>
          <w:sz w:val="32"/>
          <w:szCs w:val="32"/>
          <w:highlight w:val="yellow"/>
          <w:lang w:val="zh-CN" w:eastAsia="zh-CN" w:bidi="ar-SA"/>
        </w:rPr>
        <w:t>目标实现。围绕目标完成、目标偏离、实现效果</w:t>
      </w:r>
      <w:r>
        <w:rPr>
          <w:rFonts w:hint="default" w:ascii="Times New Roman" w:hAnsi="Times New Roman" w:eastAsia="仿宋_GB2312" w:cs="仿宋_GB2312"/>
          <w:color w:val="auto"/>
          <w:kern w:val="2"/>
          <w:sz w:val="32"/>
          <w:szCs w:val="32"/>
          <w:highlight w:val="yellow"/>
          <w:lang w:val="zh-CN" w:eastAsia="zh-CN" w:bidi="ar-SA"/>
        </w:rPr>
        <w:t>进行绩效分析</w:t>
      </w:r>
      <w:r>
        <w:rPr>
          <w:rFonts w:hint="eastAsia" w:ascii="Times New Roman" w:hAnsi="Times New Roman" w:eastAsia="仿宋_GB2312" w:cs="仿宋_GB2312"/>
          <w:color w:val="auto"/>
          <w:kern w:val="2"/>
          <w:sz w:val="32"/>
          <w:szCs w:val="32"/>
          <w:highlight w:val="yellow"/>
          <w:lang w:val="zh-CN" w:eastAsia="zh-CN" w:bidi="ar-SA"/>
        </w:rPr>
        <w:t>。</w:t>
      </w:r>
    </w:p>
    <w:p>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yellow"/>
          <w:lang w:val="en-US" w:eastAsia="zh-CN"/>
        </w:rPr>
        <w:t>省级部门对2024年度一般公共预算、政府性基金预算、国有资本经营预算安排的常年项目、阶段项目绩效目标完成情况，以及债券资金、政府购买服务有关情况进行梳理阐述</w:t>
      </w:r>
      <w:r>
        <w:rPr>
          <w:rFonts w:hint="eastAsia" w:ascii="Times New Roman" w:hAnsi="Times New Roman" w:eastAsia="仿宋_GB2312" w:cs="Times New Roman"/>
          <w:sz w:val="32"/>
          <w:szCs w:val="32"/>
          <w:highlight w:val="yellow"/>
          <w:lang w:val="en-US" w:eastAsia="zh-CN"/>
        </w:rPr>
        <w:t>。</w:t>
      </w:r>
    </w:p>
    <w:p>
      <w:pPr>
        <w:keepNext w:val="0"/>
        <w:keepLines w:val="0"/>
        <w:pageBreakBefore w:val="0"/>
        <w:widowControl w:val="0"/>
        <w:kinsoku/>
        <w:wordWrap/>
        <w:overflowPunct/>
        <w:topLinePunct w:val="0"/>
        <w:autoSpaceDE/>
        <w:autoSpaceDN/>
        <w:bidi w:val="0"/>
        <w:snapToGrid w:val="0"/>
        <w:spacing w:line="600" w:lineRule="exact"/>
        <w:ind w:firstLine="643" w:firstLineChars="200"/>
        <w:textAlignment w:val="auto"/>
        <w:rPr>
          <w:rFonts w:hint="default" w:ascii="Times New Roman" w:hAnsi="Times New Roman" w:eastAsia="仿宋_GB2312" w:cs="Times New Roman"/>
          <w:sz w:val="32"/>
          <w:szCs w:val="32"/>
          <w:highlight w:val="yellow"/>
          <w:u w:val="none"/>
          <w:lang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eastAsia="楷体_GB2312" w:cs="Times New Roman"/>
          <w:b/>
          <w:bCs/>
          <w:color w:val="000000"/>
          <w:kern w:val="0"/>
          <w:sz w:val="32"/>
          <w:szCs w:val="32"/>
          <w:highlight w:val="yellow"/>
          <w:shd w:val="clear" w:color="auto" w:fill="FFFFFF"/>
          <w:lang w:val="en-US" w:eastAsia="zh-CN"/>
        </w:rPr>
        <w:t>三</w:t>
      </w:r>
      <w:r>
        <w:rPr>
          <w:rFonts w:hint="default" w:ascii="Times New Roman" w:hAnsi="Times New Roman" w:eastAsia="楷体_GB2312" w:cs="Times New Roman"/>
          <w:b/>
          <w:bCs/>
          <w:color w:val="000000"/>
          <w:kern w:val="0"/>
          <w:sz w:val="32"/>
          <w:szCs w:val="32"/>
          <w:highlight w:val="yellow"/>
          <w:shd w:val="clear" w:color="auto" w:fill="FFFFFF"/>
          <w:lang w:val="zh-CN" w:eastAsia="zh-CN"/>
        </w:rPr>
        <w:t>）绩效结果应用情况</w:t>
      </w:r>
      <w:r>
        <w:rPr>
          <w:rFonts w:hint="eastAsia" w:ascii="Times New Roman" w:hAnsi="Times New Roman" w:eastAsia="楷体_GB2312" w:cs="Times New Roman"/>
          <w:b/>
          <w:bCs/>
          <w:color w:val="000000"/>
          <w:kern w:val="0"/>
          <w:sz w:val="32"/>
          <w:szCs w:val="32"/>
          <w:highlight w:val="yellow"/>
          <w:shd w:val="clear" w:color="auto" w:fill="FFFFFF"/>
          <w:lang w:val="zh-CN" w:eastAsia="zh-CN"/>
        </w:rPr>
        <w:t>。</w:t>
      </w:r>
      <w:r>
        <w:rPr>
          <w:rFonts w:hint="eastAsia" w:ascii="Times New Roman" w:hAnsi="Times New Roman" w:eastAsia="仿宋_GB2312" w:cs="Times New Roman"/>
          <w:sz w:val="32"/>
          <w:szCs w:val="32"/>
          <w:highlight w:val="yellow"/>
          <w:u w:val="none"/>
          <w:lang w:val="zh-CN" w:eastAsia="zh-CN" w:bidi="ar"/>
        </w:rPr>
        <w:t>围绕内部应用情况、</w:t>
      </w:r>
      <w:r>
        <w:rPr>
          <w:rFonts w:hint="default" w:ascii="Times New Roman" w:hAnsi="Times New Roman" w:eastAsia="仿宋_GB2312" w:cs="Times New Roman"/>
          <w:sz w:val="32"/>
          <w:szCs w:val="32"/>
          <w:highlight w:val="yellow"/>
          <w:u w:val="none"/>
          <w:lang w:val="zh-CN" w:eastAsia="zh-CN" w:bidi="ar"/>
        </w:rPr>
        <w:t>信息公开情况</w:t>
      </w:r>
      <w:r>
        <w:rPr>
          <w:rFonts w:hint="eastAsia" w:ascii="Times New Roman" w:hAnsi="Times New Roman" w:eastAsia="仿宋_GB2312" w:cs="Times New Roman"/>
          <w:sz w:val="32"/>
          <w:szCs w:val="32"/>
          <w:highlight w:val="yellow"/>
          <w:u w:val="none"/>
          <w:lang w:val="zh-CN" w:eastAsia="zh-CN" w:bidi="ar"/>
        </w:rPr>
        <w:t>、</w:t>
      </w:r>
      <w:r>
        <w:rPr>
          <w:rFonts w:hint="default" w:ascii="Times New Roman" w:hAnsi="Times New Roman" w:eastAsia="仿宋_GB2312" w:cs="Times New Roman"/>
          <w:sz w:val="32"/>
          <w:szCs w:val="32"/>
          <w:highlight w:val="yellow"/>
          <w:u w:val="none"/>
          <w:lang w:val="zh-CN" w:eastAsia="zh-CN" w:bidi="ar"/>
        </w:rPr>
        <w:t>整改反馈情况</w:t>
      </w:r>
      <w:r>
        <w:rPr>
          <w:rFonts w:hint="eastAsia" w:ascii="Times New Roman" w:hAnsi="Times New Roman" w:eastAsia="仿宋_GB2312" w:cs="Times New Roman"/>
          <w:sz w:val="32"/>
          <w:szCs w:val="32"/>
          <w:highlight w:val="yellow"/>
          <w:u w:val="none"/>
          <w:lang w:val="zh-CN" w:eastAsia="zh-CN" w:bidi="ar"/>
        </w:rPr>
        <w:t>进行分析。</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yellow"/>
          <w:shd w:val="clear" w:color="auto" w:fill="FFFFFF"/>
          <w:lang w:val="zh-CN"/>
        </w:rPr>
      </w:pPr>
      <w:r>
        <w:rPr>
          <w:rFonts w:hint="default" w:ascii="Times New Roman" w:hAnsi="Times New Roman" w:eastAsia="黑体" w:cs="Times New Roman"/>
          <w:color w:val="000000"/>
          <w:kern w:val="0"/>
          <w:sz w:val="32"/>
          <w:szCs w:val="32"/>
          <w:highlight w:val="yellow"/>
          <w:shd w:val="clear" w:color="auto" w:fill="FFFFFF"/>
          <w:lang w:val="zh-CN" w:eastAsia="zh-CN"/>
        </w:rPr>
        <w:t>四、</w:t>
      </w:r>
      <w:r>
        <w:rPr>
          <w:rFonts w:hint="default" w:ascii="Times New Roman" w:hAnsi="Times New Roman" w:eastAsia="黑体" w:cs="Times New Roman"/>
          <w:color w:val="000000"/>
          <w:kern w:val="0"/>
          <w:sz w:val="32"/>
          <w:szCs w:val="32"/>
          <w:highlight w:val="yellow"/>
          <w:shd w:val="clear" w:color="auto" w:fill="FFFFFF"/>
          <w:lang w:val="zh-CN"/>
        </w:rPr>
        <w:t>评价结论及建议</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（一）评价结论。</w:t>
      </w:r>
      <w:r>
        <w:rPr>
          <w:rFonts w:hint="eastAsia" w:ascii="Times New Roman" w:hAnsi="Times New Roman" w:eastAsia="仿宋_GB2312" w:cs="Times New Roman"/>
          <w:sz w:val="32"/>
          <w:szCs w:val="32"/>
          <w:highlight w:val="yellow"/>
          <w:u w:val="none"/>
          <w:lang w:val="en-US" w:eastAsia="zh-CN" w:bidi="ar"/>
        </w:rPr>
        <w:t>简要阐述部门预算绩效自评总体结论，其中必须包含自评得分。</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US"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rPr>
        <w:t>（二）存在问题。</w:t>
      </w:r>
      <w:r>
        <w:rPr>
          <w:rFonts w:hint="eastAsia" w:ascii="Times New Roman" w:hAnsi="Times New Roman" w:eastAsia="仿宋_GB2312" w:cs="Times New Roman"/>
          <w:sz w:val="32"/>
          <w:szCs w:val="32"/>
          <w:highlight w:val="yellow"/>
          <w:u w:val="none"/>
          <w:lang w:val="en-US" w:eastAsia="zh-CN" w:bidi="ar"/>
        </w:rPr>
        <w:t>简要阐述部门预算绩效自评发现的主要问题。</w:t>
      </w:r>
    </w:p>
    <w:p>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Times New Roman"/>
          <w:sz w:val="32"/>
          <w:szCs w:val="32"/>
          <w:highlight w:val="yellow"/>
          <w:u w:val="none"/>
          <w:lang w:val="en" w:eastAsia="zh-CN" w:bidi="ar"/>
        </w:rPr>
      </w:pPr>
      <w:r>
        <w:rPr>
          <w:rFonts w:hint="default" w:ascii="Times New Roman" w:hAnsi="Times New Roman" w:eastAsia="楷体_GB2312" w:cs="Times New Roman"/>
          <w:b/>
          <w:bCs/>
          <w:color w:val="000000"/>
          <w:kern w:val="0"/>
          <w:sz w:val="32"/>
          <w:szCs w:val="32"/>
          <w:highlight w:val="yellow"/>
          <w:shd w:val="clear" w:color="auto" w:fill="FFFFFF"/>
          <w:lang w:val="zh-CN" w:eastAsia="zh-CN"/>
        </w:rPr>
        <w:t>（三）改进建议。</w:t>
      </w:r>
      <w:r>
        <w:rPr>
          <w:rFonts w:hint="eastAsia" w:ascii="Times New Roman" w:hAnsi="Times New Roman" w:eastAsia="仿宋_GB2312" w:cs="Times New Roman"/>
          <w:sz w:val="32"/>
          <w:szCs w:val="32"/>
          <w:highlight w:val="yellow"/>
          <w:u w:val="none"/>
          <w:lang w:val="en-US" w:eastAsia="zh-CN" w:bidi="ar"/>
        </w:rPr>
        <w:t>简要阐述</w:t>
      </w:r>
      <w:bookmarkStart w:id="55" w:name="_Hlk110546638"/>
      <w:r>
        <w:rPr>
          <w:rFonts w:hint="eastAsia" w:ascii="Times New Roman" w:hAnsi="Times New Roman" w:eastAsia="仿宋_GB2312" w:cs="Times New Roman"/>
          <w:sz w:val="32"/>
          <w:szCs w:val="32"/>
          <w:highlight w:val="yellow"/>
          <w:u w:val="none"/>
          <w:lang w:val="en" w:eastAsia="zh-CN" w:bidi="ar"/>
        </w:rPr>
        <w:t>预算安排、完善政策、改进管理等方面的</w:t>
      </w:r>
      <w:r>
        <w:rPr>
          <w:rFonts w:hint="eastAsia" w:ascii="Times New Roman" w:hAnsi="Times New Roman" w:eastAsia="仿宋_GB2312" w:cs="Times New Roman"/>
          <w:sz w:val="32"/>
          <w:szCs w:val="32"/>
          <w:highlight w:val="yellow"/>
          <w:u w:val="none"/>
          <w:lang w:val="en-US" w:eastAsia="zh-CN" w:bidi="ar"/>
        </w:rPr>
        <w:t>措施</w:t>
      </w:r>
      <w:r>
        <w:rPr>
          <w:rFonts w:hint="eastAsia" w:ascii="Times New Roman" w:hAnsi="Times New Roman" w:eastAsia="仿宋_GB2312" w:cs="Times New Roman"/>
          <w:sz w:val="32"/>
          <w:szCs w:val="32"/>
          <w:highlight w:val="yellow"/>
          <w:u w:val="none"/>
          <w:lang w:val="en" w:eastAsia="zh-CN" w:bidi="ar"/>
        </w:rPr>
        <w:t>建议，其中</w:t>
      </w:r>
      <w:r>
        <w:rPr>
          <w:rFonts w:hint="eastAsia" w:ascii="Times New Roman" w:hAnsi="Times New Roman" w:eastAsia="仿宋_GB2312" w:cs="Times New Roman"/>
          <w:sz w:val="32"/>
          <w:szCs w:val="32"/>
          <w:highlight w:val="yellow"/>
          <w:u w:val="none"/>
          <w:lang w:val="en-US" w:eastAsia="zh-CN" w:bidi="ar"/>
        </w:rPr>
        <w:t>必须对应评价发现的主要问题一一提出措施建议。</w:t>
      </w:r>
    </w:p>
    <w:bookmarkEnd w:id="55"/>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highlight w:val="yellow"/>
          <w:u w:val="none"/>
          <w:lang w:val="zh-CN" w:eastAsia="zh-CN" w:bidi="ar"/>
        </w:rPr>
      </w:pPr>
      <w:r>
        <w:rPr>
          <w:rFonts w:hint="eastAsia" w:ascii="Times New Roman" w:hAnsi="Times New Roman" w:eastAsia="仿宋_GB2312" w:cs="Times New Roman"/>
          <w:kern w:val="2"/>
          <w:sz w:val="32"/>
          <w:szCs w:val="32"/>
          <w:highlight w:val="yellow"/>
          <w:u w:val="none"/>
          <w:lang w:val="zh-CN" w:eastAsia="zh-CN" w:bidi="ar"/>
        </w:rPr>
        <w:t>附表：</w:t>
      </w:r>
      <w:r>
        <w:rPr>
          <w:rFonts w:hint="eastAsia" w:ascii="Times New Roman" w:hAnsi="Times New Roman" w:eastAsia="仿宋_GB2312" w:cs="Times New Roman"/>
          <w:kern w:val="2"/>
          <w:sz w:val="32"/>
          <w:szCs w:val="32"/>
          <w:highlight w:val="yellow"/>
          <w:u w:val="none"/>
          <w:lang w:val="en-US" w:eastAsia="zh-CN" w:bidi="ar"/>
        </w:rPr>
        <w:t>部门预算项目支出绩效自评表（2024年度）</w:t>
      </w:r>
    </w:p>
    <w:p>
      <w:pPr>
        <w:pStyle w:val="3"/>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（注：按照绩效自评工作安排，各部门已在预算管理一体化系统绩效自评模块上传“部门预算项目支出绩效自评表（2024年度）”，该表格应作为附表予以公开）</w:t>
      </w:r>
    </w:p>
    <w:p>
      <w:pPr>
        <w:pStyle w:val="3"/>
        <w:keepNext w:val="0"/>
        <w:keepLines w:val="0"/>
        <w:pageBreakBefore w:val="0"/>
        <w:numPr>
          <w:ilvl w:val="0"/>
          <w:numId w:val="0"/>
        </w:numPr>
        <w:kinsoku/>
        <w:wordWrap/>
        <w:overflowPunct/>
        <w:topLinePunct w:val="0"/>
        <w:autoSpaceDE/>
        <w:autoSpaceDN/>
        <w:bidi w:val="0"/>
        <w:spacing w:line="560" w:lineRule="exact"/>
        <w:textAlignment w:val="auto"/>
        <w:rPr>
          <w:rFonts w:hint="eastAsia" w:ascii="Times New Roman" w:hAnsi="Times New Roman" w:cs="Times New Roman"/>
          <w:sz w:val="32"/>
          <w:szCs w:val="32"/>
          <w:highlight w:val="yellow"/>
          <w:lang w:val="zh-CN" w:eastAsia="zh-CN"/>
        </w:rPr>
      </w:pPr>
    </w:p>
    <w:p>
      <w:pPr>
        <w:pStyle w:val="8"/>
        <w:rPr>
          <w:rFonts w:hint="eastAsia" w:ascii="Times New Roman" w:hAnsi="Times New Roman" w:cs="宋体"/>
          <w:color w:val="FF0000"/>
          <w:kern w:val="0"/>
          <w:sz w:val="32"/>
          <w:szCs w:val="32"/>
          <w:highlight w:val="yellow"/>
          <w:shd w:val="clear" w:color="auto" w:fill="FFFFFF"/>
          <w:lang w:val="zh-CN"/>
        </w:rPr>
      </w:pPr>
    </w:p>
    <w:p>
      <w:pPr>
        <w:rPr>
          <w:rFonts w:hint="eastAsia" w:ascii="Times New Roman" w:hAnsi="Times New Roman" w:eastAsia="黑体" w:cs="黑体"/>
          <w:color w:val="auto"/>
          <w:kern w:val="0"/>
          <w:sz w:val="32"/>
          <w:szCs w:val="32"/>
          <w:highlight w:val="yellow"/>
          <w:shd w:val="clear" w:color="auto" w:fill="FFFFFF"/>
          <w:lang w:val="zh-CN"/>
        </w:rPr>
      </w:pPr>
      <w:r>
        <w:rPr>
          <w:rFonts w:hint="eastAsia" w:ascii="Times New Roman" w:hAnsi="Times New Roman" w:eastAsia="黑体" w:cs="黑体"/>
          <w:color w:val="auto"/>
          <w:kern w:val="0"/>
          <w:sz w:val="32"/>
          <w:szCs w:val="32"/>
          <w:highlight w:val="yellow"/>
          <w:shd w:val="clear" w:color="auto" w:fill="FFFFFF"/>
          <w:lang w:val="zh-CN"/>
        </w:rPr>
        <w:br w:type="page"/>
      </w:r>
    </w:p>
    <w:p>
      <w:pPr>
        <w:pStyle w:val="8"/>
        <w:rPr>
          <w:rFonts w:hint="eastAsia" w:ascii="Times New Roman" w:hAnsi="Times New Roman" w:eastAsia="黑体" w:cs="黑体"/>
          <w:color w:val="auto"/>
          <w:sz w:val="32"/>
          <w:szCs w:val="32"/>
          <w:highlight w:val="yellow"/>
          <w:lang w:val="en-US" w:eastAsia="zh-CN"/>
        </w:rPr>
      </w:pPr>
      <w:r>
        <w:rPr>
          <w:rFonts w:hint="eastAsia" w:ascii="Times New Roman" w:hAnsi="Times New Roman" w:eastAsia="黑体" w:cs="黑体"/>
          <w:color w:val="auto"/>
          <w:kern w:val="0"/>
          <w:sz w:val="32"/>
          <w:szCs w:val="32"/>
          <w:highlight w:val="yellow"/>
          <w:shd w:val="clear" w:color="auto" w:fill="FFFFFF"/>
          <w:lang w:val="zh-CN"/>
        </w:rPr>
        <w:t>附件</w:t>
      </w:r>
      <w:r>
        <w:rPr>
          <w:rFonts w:hint="eastAsia" w:ascii="Times New Roman" w:hAnsi="Times New Roman" w:eastAsia="黑体" w:cs="黑体"/>
          <w:color w:val="auto"/>
          <w:kern w:val="0"/>
          <w:sz w:val="32"/>
          <w:szCs w:val="32"/>
          <w:highlight w:val="yellow"/>
          <w:shd w:val="clear" w:color="auto" w:fill="FFFFFF"/>
          <w:lang w:val="en-US" w:eastAsia="zh-CN"/>
        </w:rPr>
        <w:t>2</w:t>
      </w: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p>
    <w:p>
      <w:pPr>
        <w:pStyle w:val="34"/>
        <w:keepNext w:val="0"/>
        <w:keepLines w:val="0"/>
        <w:pageBreakBefore w:val="0"/>
        <w:widowControl w:val="0"/>
        <w:kinsoku/>
        <w:wordWrap/>
        <w:overflowPunct/>
        <w:topLinePunct w:val="0"/>
        <w:autoSpaceDE/>
        <w:autoSpaceDN/>
        <w:bidi w:val="0"/>
        <w:spacing w:line="578" w:lineRule="exact"/>
        <w:ind w:left="0" w:leftChars="0"/>
        <w:jc w:val="center"/>
        <w:textAlignment w:val="auto"/>
        <w:rPr>
          <w:rFonts w:hint="eastAsia" w:ascii="Times New Roman" w:hAnsi="Times New Roman" w:eastAsia="方正小标宋简体" w:cs="方正小标宋简体"/>
          <w:color w:val="auto"/>
          <w:kern w:val="2"/>
          <w:sz w:val="44"/>
          <w:szCs w:val="44"/>
          <w:highlight w:val="yellow"/>
          <w:lang w:val="en-US" w:eastAsia="zh-CN"/>
        </w:rPr>
      </w:pPr>
      <w:r>
        <w:rPr>
          <w:rFonts w:hint="eastAsia" w:ascii="Times New Roman" w:hAnsi="Times New Roman" w:eastAsia="方正小标宋简体" w:cs="方正小标宋简体"/>
          <w:color w:val="auto"/>
          <w:kern w:val="2"/>
          <w:sz w:val="44"/>
          <w:szCs w:val="44"/>
          <w:highlight w:val="yellow"/>
          <w:lang w:val="en-US" w:eastAsia="zh-CN"/>
        </w:rPr>
        <w:t>专项预算项目绩效评价报告范本</w:t>
      </w:r>
    </w:p>
    <w:p>
      <w:pPr>
        <w:pStyle w:val="34"/>
        <w:keepNext w:val="0"/>
        <w:keepLines w:val="0"/>
        <w:pageBreakBefore w:val="0"/>
        <w:widowControl w:val="0"/>
        <w:kinsoku/>
        <w:wordWrap/>
        <w:overflowPunct/>
        <w:topLinePunct w:val="0"/>
        <w:autoSpaceDE/>
        <w:autoSpaceDN/>
        <w:bidi w:val="0"/>
        <w:spacing w:line="578" w:lineRule="exact"/>
        <w:ind w:left="0" w:leftChars="0" w:firstLine="640"/>
        <w:jc w:val="center"/>
        <w:textAlignment w:val="auto"/>
        <w:rPr>
          <w:rFonts w:ascii="Times New Roman" w:hAnsi="Times New Roman"/>
          <w:color w:val="auto"/>
          <w:kern w:val="2"/>
          <w:sz w:val="32"/>
          <w:szCs w:val="32"/>
          <w:highlight w:val="yellow"/>
        </w:rPr>
      </w:pP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eastAsia="黑体"/>
          <w:sz w:val="32"/>
          <w:szCs w:val="32"/>
          <w:highlight w:val="yellow"/>
          <w:lang w:val="zh-CN"/>
        </w:rPr>
      </w:pPr>
      <w:r>
        <w:rPr>
          <w:rFonts w:hint="eastAsia" w:ascii="Times New Roman" w:hAnsi="Times New Roman" w:eastAsia="黑体"/>
          <w:sz w:val="32"/>
          <w:szCs w:val="32"/>
          <w:highlight w:val="yellow"/>
        </w:rPr>
        <w:t>一、</w:t>
      </w:r>
      <w:r>
        <w:rPr>
          <w:rFonts w:hint="eastAsia" w:ascii="Times New Roman" w:hAnsi="Times New Roman" w:eastAsia="黑体"/>
          <w:sz w:val="32"/>
          <w:szCs w:val="32"/>
          <w:highlight w:val="yellow"/>
          <w:lang w:val="zh-CN"/>
        </w:rPr>
        <w:t>项目概况</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color w:val="auto"/>
          <w:kern w:val="0"/>
          <w:sz w:val="32"/>
          <w:szCs w:val="32"/>
          <w:highlight w:val="yellow"/>
          <w:u w:val="none"/>
          <w:shd w:val="clear" w:color="auto" w:fill="FFFFFF"/>
          <w:lang w:val="zh-CN"/>
        </w:rPr>
      </w:pPr>
      <w:r>
        <w:rPr>
          <w:rFonts w:hint="eastAsia" w:ascii="Times New Roman" w:hAnsi="Times New Roman" w:eastAsia="楷体_GB2312"/>
          <w:b/>
          <w:color w:val="auto"/>
          <w:sz w:val="32"/>
          <w:szCs w:val="32"/>
          <w:highlight w:val="yellow"/>
          <w:u w:val="none"/>
          <w:lang w:val="zh-CN"/>
        </w:rPr>
        <w:t>（一）设立背景及基本情况。</w:t>
      </w:r>
      <w:r>
        <w:rPr>
          <w:rFonts w:hint="eastAsia" w:ascii="Times New Roman" w:hAnsi="Times New Roman" w:eastAsia="仿宋_GB2312" w:cs="仿宋_GB2312"/>
          <w:b w:val="0"/>
          <w:bCs w:val="0"/>
          <w:kern w:val="0"/>
          <w:position w:val="0"/>
          <w:sz w:val="32"/>
          <w:szCs w:val="32"/>
          <w:highlight w:val="yellow"/>
          <w:lang w:val="en-US" w:eastAsia="zh-CN" w:bidi="ar-SA"/>
        </w:rPr>
        <w:t>项目设立原因及背景，</w:t>
      </w:r>
      <w:r>
        <w:rPr>
          <w:rFonts w:hint="eastAsia" w:ascii="Times New Roman" w:hAnsi="Times New Roman" w:eastAsia="仿宋_GB2312" w:cs="仿宋_GB2312"/>
          <w:b w:val="0"/>
          <w:bCs w:val="0"/>
          <w:kern w:val="0"/>
          <w:position w:val="0"/>
          <w:sz w:val="32"/>
          <w:szCs w:val="32"/>
          <w:highlight w:val="yellow"/>
          <w:lang w:val="zh-CN" w:eastAsia="zh-CN" w:bidi="ar-SA"/>
        </w:rPr>
        <w:t>项目立项、资金申报的依据，项目主要内容</w:t>
      </w: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ascii="Times New Roman" w:hAnsi="Times New Roman" w:eastAsia="仿宋_GB2312" w:cs="仿宋_GB2312"/>
          <w:b w:val="0"/>
          <w:bCs w:val="0"/>
          <w:kern w:val="0"/>
          <w:position w:val="0"/>
          <w:sz w:val="32"/>
          <w:szCs w:val="32"/>
          <w:highlight w:val="yellow"/>
          <w:lang w:val="zh-CN" w:eastAsia="zh-CN" w:bidi="ar-SA"/>
        </w:rPr>
        <w:t>主管部门职能</w:t>
      </w:r>
      <w:r>
        <w:rPr>
          <w:rFonts w:hint="eastAsia" w:ascii="Times New Roman" w:hAnsi="Times New Roman" w:eastAsia="仿宋_GB2312" w:cs="仿宋_GB2312"/>
          <w:color w:val="auto"/>
          <w:kern w:val="0"/>
          <w:sz w:val="32"/>
          <w:szCs w:val="32"/>
          <w:highlight w:val="yellow"/>
          <w:u w:val="none"/>
          <w:shd w:val="clear" w:color="auto" w:fill="FFFFFF"/>
          <w:lang w:val="zh-CN"/>
        </w:rPr>
        <w:t>。</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w:t>
      </w:r>
      <w:r>
        <w:rPr>
          <w:rFonts w:hint="eastAsia" w:ascii="Times New Roman" w:hAnsi="Times New Roman" w:eastAsia="楷体_GB2312" w:cs="Times New Roman"/>
          <w:b/>
          <w:color w:val="auto"/>
          <w:sz w:val="32"/>
          <w:szCs w:val="32"/>
          <w:highlight w:val="yellow"/>
          <w:u w:val="none"/>
          <w:lang w:val="zh-CN"/>
        </w:rPr>
        <w:t>二）</w:t>
      </w:r>
      <w:r>
        <w:rPr>
          <w:rFonts w:hint="default" w:ascii="Times New Roman" w:hAnsi="Times New Roman" w:eastAsia="楷体_GB2312" w:cs="Times New Roman"/>
          <w:b/>
          <w:color w:val="auto"/>
          <w:sz w:val="32"/>
          <w:szCs w:val="32"/>
          <w:highlight w:val="yellow"/>
          <w:u w:val="none"/>
          <w:lang w:val="en-US" w:eastAsia="zh-CN"/>
        </w:rPr>
        <w:t>实施目的及支持方向</w:t>
      </w:r>
      <w:r>
        <w:rPr>
          <w:rFonts w:hint="eastAsia" w:ascii="Times New Roman" w:hAnsi="Times New Roman" w:eastAsia="楷体_GB2312" w:cs="Times New Roman"/>
          <w:b/>
          <w:color w:val="auto"/>
          <w:sz w:val="32"/>
          <w:szCs w:val="32"/>
          <w:highlight w:val="yellow"/>
          <w:u w:val="none"/>
          <w:lang w:val="en-US" w:eastAsia="zh-CN"/>
        </w:rPr>
        <w:t>。</w:t>
      </w:r>
      <w:r>
        <w:rPr>
          <w:rFonts w:hint="eastAsia" w:ascii="Times New Roman" w:hAnsi="Times New Roman" w:eastAsia="仿宋_GB2312" w:cs="仿宋_GB2312"/>
          <w:b w:val="0"/>
          <w:bCs w:val="0"/>
          <w:kern w:val="0"/>
          <w:position w:val="0"/>
          <w:sz w:val="32"/>
          <w:szCs w:val="32"/>
          <w:highlight w:val="yellow"/>
          <w:lang w:val="en-US" w:eastAsia="zh-CN" w:bidi="ar-SA"/>
        </w:rPr>
        <w:t>项目资金</w:t>
      </w:r>
      <w:r>
        <w:rPr>
          <w:rFonts w:hint="eastAsia" w:ascii="Times New Roman" w:hAnsi="Times New Roman" w:eastAsia="仿宋_GB2312" w:cs="仿宋_GB2312"/>
          <w:b w:val="0"/>
          <w:bCs w:val="0"/>
          <w:kern w:val="0"/>
          <w:position w:val="0"/>
          <w:sz w:val="32"/>
          <w:szCs w:val="32"/>
          <w:highlight w:val="yellow"/>
          <w:lang w:val="zh-CN" w:eastAsia="zh-CN" w:bidi="ar-SA"/>
        </w:rPr>
        <w:t>管理办法制定情况，项目实施目的和主要工作任务，项目支持方向。</w:t>
      </w:r>
    </w:p>
    <w:p>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left="0" w:leftChars="0" w:firstLine="643" w:firstLineChars="200"/>
        <w:contextualSpacing/>
        <w:jc w:val="left"/>
        <w:textAlignment w:val="auto"/>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（三）</w:t>
      </w:r>
      <w:r>
        <w:rPr>
          <w:rFonts w:hint="default" w:ascii="Times New Roman" w:hAnsi="Times New Roman" w:eastAsia="楷体_GB2312" w:cs="Times New Roman"/>
          <w:b/>
          <w:color w:val="auto"/>
          <w:sz w:val="32"/>
          <w:szCs w:val="32"/>
          <w:highlight w:val="yellow"/>
          <w:u w:val="none"/>
          <w:lang w:val="en-US" w:eastAsia="zh-CN"/>
        </w:rPr>
        <w:t>预算安排及分配管理</w:t>
      </w:r>
      <w:r>
        <w:rPr>
          <w:rFonts w:hint="eastAsia" w:ascii="Times New Roman" w:hAnsi="Times New Roman" w:eastAsia="楷体_GB2312" w:cs="Times New Roman"/>
          <w:b/>
          <w:color w:val="auto"/>
          <w:sz w:val="32"/>
          <w:szCs w:val="32"/>
          <w:highlight w:val="yellow"/>
          <w:u w:val="none"/>
          <w:lang w:val="zh-CN" w:eastAsia="zh-CN"/>
        </w:rPr>
        <w:t>。</w:t>
      </w:r>
      <w:r>
        <w:rPr>
          <w:rFonts w:hint="eastAsia" w:ascii="Times New Roman" w:hAnsi="Times New Roman" w:eastAsia="仿宋_GB2312" w:cs="仿宋_GB2312"/>
          <w:b w:val="0"/>
          <w:bCs w:val="0"/>
          <w:kern w:val="0"/>
          <w:position w:val="0"/>
          <w:sz w:val="32"/>
          <w:szCs w:val="32"/>
          <w:highlight w:val="yellow"/>
          <w:lang w:val="zh-CN" w:eastAsia="zh-CN" w:bidi="ar-SA"/>
        </w:rPr>
        <w:t>项目预算安排情况，项目资金分配原则及考虑因素，项目资金分配情况。</w:t>
      </w:r>
    </w:p>
    <w:p>
      <w:pPr>
        <w:keepNext w:val="0"/>
        <w:keepLines w:val="0"/>
        <w:pageBreakBefore w:val="0"/>
        <w:kinsoku/>
        <w:wordWrap/>
        <w:overflowPunct/>
        <w:topLinePunct w:val="0"/>
        <w:autoSpaceDE/>
        <w:autoSpaceDN/>
        <w:bidi w:val="0"/>
        <w:adjustRightInd w:val="0"/>
        <w:snapToGrid w:val="0"/>
        <w:spacing w:line="578" w:lineRule="exact"/>
        <w:ind w:left="0" w:leftChars="0" w:firstLine="643" w:firstLineChars="200"/>
        <w:textAlignment w:val="auto"/>
        <w:rPr>
          <w:rFonts w:hint="default"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eastAsia="zh-CN"/>
        </w:rPr>
        <w:t>（四）项目绩效目标设置。</w:t>
      </w:r>
      <w:r>
        <w:rPr>
          <w:rFonts w:hint="eastAsia" w:ascii="Times New Roman" w:hAnsi="Times New Roman" w:eastAsia="仿宋_GB2312" w:cs="仿宋_GB2312"/>
          <w:b w:val="0"/>
          <w:bCs w:val="0"/>
          <w:kern w:val="0"/>
          <w:position w:val="0"/>
          <w:sz w:val="32"/>
          <w:szCs w:val="32"/>
          <w:highlight w:val="yellow"/>
          <w:lang w:val="zh-CN" w:eastAsia="zh-CN" w:bidi="ar-SA"/>
        </w:rPr>
        <w:t>项目整体、区域和具体绩效目标设置情况，项目自评工作开展情况。</w:t>
      </w:r>
    </w:p>
    <w:p>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textAlignment w:val="auto"/>
        <w:outlineLvl w:val="9"/>
        <w:rPr>
          <w:rFonts w:hint="eastAsia" w:ascii="Times New Roman" w:hAnsi="Times New Roman" w:eastAsia="黑体"/>
          <w:sz w:val="32"/>
          <w:szCs w:val="32"/>
          <w:highlight w:val="yellow"/>
          <w:lang w:eastAsia="zh-CN"/>
        </w:rPr>
      </w:pPr>
      <w:r>
        <w:rPr>
          <w:rFonts w:hint="eastAsia" w:ascii="Times New Roman" w:hAnsi="Times New Roman" w:eastAsia="黑体"/>
          <w:sz w:val="32"/>
          <w:szCs w:val="32"/>
          <w:highlight w:val="yellow"/>
        </w:rPr>
        <w:t>二、</w:t>
      </w:r>
      <w:r>
        <w:rPr>
          <w:rFonts w:hint="eastAsia" w:ascii="Times New Roman" w:hAnsi="Times New Roman" w:eastAsia="黑体"/>
          <w:sz w:val="32"/>
          <w:szCs w:val="32"/>
          <w:highlight w:val="yellow"/>
          <w:lang w:eastAsia="zh-CN"/>
        </w:rPr>
        <w:t>评价实施</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（一）评价目的。</w:t>
      </w:r>
      <w:r>
        <w:rPr>
          <w:rFonts w:hint="eastAsia" w:ascii="Times New Roman" w:hAnsi="Times New Roman" w:eastAsia="仿宋_GB2312" w:cs="仿宋_GB2312"/>
          <w:b w:val="0"/>
          <w:bCs w:val="0"/>
          <w:kern w:val="0"/>
          <w:position w:val="0"/>
          <w:sz w:val="32"/>
          <w:szCs w:val="32"/>
          <w:highlight w:val="yellow"/>
          <w:lang w:val="zh-CN" w:eastAsia="zh-CN" w:bidi="ar-SA"/>
        </w:rPr>
        <w:t>通过项目绩效自评要实现的目的。</w:t>
      </w:r>
    </w:p>
    <w:p>
      <w:pPr>
        <w:keepNext w:val="0"/>
        <w:keepLines w:val="0"/>
        <w:pageBreakBefore w:val="0"/>
        <w:widowControl w:val="0"/>
        <w:kinsoku/>
        <w:wordWrap/>
        <w:overflowPunct/>
        <w:topLinePunct w:val="0"/>
        <w:autoSpaceDE/>
        <w:autoSpaceDN/>
        <w:bidi w:val="0"/>
        <w:adjustRightInd w:val="0"/>
        <w:snapToGrid w:val="0"/>
        <w:spacing w:line="578" w:lineRule="exact"/>
        <w:ind w:left="0" w:leftChars="0" w:firstLine="643" w:firstLineChars="20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（二）预设问题及评价重点。</w:t>
      </w:r>
      <w:r>
        <w:rPr>
          <w:rFonts w:hint="eastAsia" w:ascii="Times New Roman" w:hAnsi="Times New Roman" w:eastAsia="仿宋_GB2312" w:cs="仿宋_GB2312"/>
          <w:b w:val="0"/>
          <w:bCs w:val="0"/>
          <w:kern w:val="0"/>
          <w:position w:val="0"/>
          <w:sz w:val="32"/>
          <w:szCs w:val="32"/>
          <w:highlight w:val="yellow"/>
          <w:lang w:val="zh-CN" w:eastAsia="zh-CN" w:bidi="ar-SA"/>
        </w:rPr>
        <w:t>按照绩效评价指标体系，对资金支出使用全过程及其实施效果进行综合评价和判断。</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楷体_GB2312"/>
          <w:b/>
          <w:color w:val="auto"/>
          <w:sz w:val="32"/>
          <w:szCs w:val="32"/>
          <w:highlight w:val="yellow"/>
          <w:u w:val="none"/>
          <w:lang w:val="zh-CN"/>
        </w:rPr>
      </w:pPr>
      <w:r>
        <w:rPr>
          <w:rFonts w:hint="eastAsia" w:ascii="Times New Roman" w:hAnsi="Times New Roman" w:eastAsia="楷体_GB2312"/>
          <w:b/>
          <w:color w:val="auto"/>
          <w:sz w:val="32"/>
          <w:szCs w:val="32"/>
          <w:highlight w:val="yellow"/>
          <w:u w:val="none"/>
          <w:lang w:val="zh-CN"/>
        </w:rPr>
        <w:t>（三）评价选点。</w:t>
      </w:r>
      <w:r>
        <w:rPr>
          <w:rFonts w:hint="eastAsia" w:ascii="Times New Roman" w:hAnsi="Times New Roman" w:eastAsia="仿宋_GB2312" w:cs="仿宋_GB2312"/>
          <w:b w:val="0"/>
          <w:color w:val="auto"/>
          <w:kern w:val="0"/>
          <w:sz w:val="32"/>
          <w:szCs w:val="32"/>
          <w:highlight w:val="yellow"/>
          <w:u w:val="none"/>
          <w:lang w:val="zh-CN"/>
        </w:rPr>
        <w:t>项目绩效自评所抽样点位情况。每个专项预算项目应选取专项资金分配涉及市县总数的20%、总计不超过20个的市县点位进行实地踏勘，且点位清单应作为自评附表。</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b/>
          <w:color w:val="auto"/>
          <w:sz w:val="32"/>
          <w:szCs w:val="32"/>
          <w:highlight w:val="yellow"/>
          <w:u w:val="none"/>
          <w:lang w:val="zh-CN"/>
        </w:rPr>
        <w:t>（四）评价方法。</w:t>
      </w:r>
      <w:r>
        <w:rPr>
          <w:rFonts w:hint="eastAsia" w:ascii="Times New Roman" w:hAnsi="Times New Roman" w:eastAsia="仿宋_GB2312" w:cs="仿宋_GB2312"/>
          <w:b w:val="0"/>
          <w:bCs w:val="0"/>
          <w:kern w:val="0"/>
          <w:position w:val="0"/>
          <w:sz w:val="32"/>
          <w:szCs w:val="32"/>
          <w:highlight w:val="yellow"/>
          <w:lang w:val="zh-CN" w:eastAsia="zh-CN" w:bidi="ar-SA"/>
        </w:rPr>
        <w:t>根据项目情况和评价重点，用来收集相关材料和开展具体评价的方法。包括：采用成本效益分析法、标杆管理法、案卷研究法、单位自评法、实地勘察法、问卷调查法、座谈调研法等多种方法。</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Times New Roman"/>
          <w:bCs/>
          <w:highlight w:val="yellow"/>
          <w:lang w:eastAsia="zh-CN"/>
        </w:rPr>
      </w:pPr>
      <w:r>
        <w:rPr>
          <w:rFonts w:hint="eastAsia" w:ascii="Times New Roman" w:hAnsi="Times New Roman" w:eastAsia="楷体_GB2312"/>
          <w:b/>
          <w:color w:val="auto"/>
          <w:sz w:val="32"/>
          <w:szCs w:val="32"/>
          <w:highlight w:val="yellow"/>
          <w:u w:val="none"/>
          <w:lang w:val="zh-CN"/>
        </w:rPr>
        <w:t>（五）评价组织。</w:t>
      </w:r>
      <w:r>
        <w:rPr>
          <w:rFonts w:hint="eastAsia" w:ascii="Times New Roman" w:hAnsi="Times New Roman" w:eastAsia="仿宋_GB2312" w:cs="仿宋_GB2312"/>
          <w:b w:val="0"/>
          <w:bCs w:val="0"/>
          <w:kern w:val="0"/>
          <w:position w:val="0"/>
          <w:sz w:val="32"/>
          <w:szCs w:val="32"/>
          <w:highlight w:val="yellow"/>
          <w:lang w:val="zh-CN" w:eastAsia="zh-CN" w:bidi="ar-SA"/>
        </w:rPr>
        <w:t>评价组人员构成和职责分工。</w:t>
      </w:r>
    </w:p>
    <w:p>
      <w:pPr>
        <w:keepNext w:val="0"/>
        <w:keepLines w:val="0"/>
        <w:pageBreakBefore w:val="0"/>
        <w:kinsoku/>
        <w:wordWrap/>
        <w:overflowPunct/>
        <w:topLinePunct w:val="0"/>
        <w:autoSpaceDE/>
        <w:autoSpaceDN/>
        <w:bidi w:val="0"/>
        <w:adjustRightInd w:val="0"/>
        <w:snapToGrid w:val="0"/>
        <w:spacing w:line="578" w:lineRule="exact"/>
        <w:ind w:firstLine="640" w:firstLineChars="200"/>
        <w:textAlignment w:val="auto"/>
        <w:rPr>
          <w:rFonts w:ascii="Times New Roman" w:hAnsi="Times New Roman"/>
          <w:color w:val="auto"/>
          <w:sz w:val="32"/>
          <w:szCs w:val="32"/>
          <w:highlight w:val="yellow"/>
          <w:u w:val="none"/>
          <w:lang w:val="zh-CN"/>
        </w:rPr>
      </w:pPr>
      <w:r>
        <w:rPr>
          <w:rFonts w:hint="eastAsia" w:ascii="Times New Roman" w:hAnsi="Times New Roman" w:eastAsia="黑体"/>
          <w:color w:val="auto"/>
          <w:sz w:val="32"/>
          <w:szCs w:val="32"/>
          <w:highlight w:val="yellow"/>
          <w:u w:val="none"/>
        </w:rPr>
        <w:t>三、</w:t>
      </w:r>
      <w:r>
        <w:rPr>
          <w:rFonts w:hint="eastAsia" w:ascii="Times New Roman" w:hAnsi="Times New Roman" w:eastAsia="黑体"/>
          <w:color w:val="auto"/>
          <w:sz w:val="32"/>
          <w:szCs w:val="32"/>
          <w:highlight w:val="yellow"/>
          <w:u w:val="none"/>
          <w:lang w:eastAsia="zh-CN"/>
        </w:rPr>
        <w:t>绩效分析</w:t>
      </w:r>
      <w:r>
        <w:rPr>
          <w:rFonts w:hint="eastAsia" w:ascii="Times New Roman" w:hAnsi="Times New Roman"/>
          <w:color w:val="auto"/>
          <w:sz w:val="32"/>
          <w:szCs w:val="32"/>
          <w:highlight w:val="yellow"/>
          <w:u w:val="none"/>
          <w:lang w:val="zh-CN"/>
        </w:rPr>
        <w:tab/>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default"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zh-CN" w:eastAsia="zh-CN" w:bidi="ar-SA"/>
        </w:rPr>
        <w:t>项目</w:t>
      </w:r>
      <w:r>
        <w:rPr>
          <w:rFonts w:hint="default" w:ascii="Times New Roman" w:hAnsi="Times New Roman" w:eastAsia="仿宋_GB2312" w:cs="仿宋_GB2312"/>
          <w:b w:val="0"/>
          <w:bCs w:val="0"/>
          <w:kern w:val="0"/>
          <w:position w:val="0"/>
          <w:sz w:val="32"/>
          <w:szCs w:val="32"/>
          <w:highlight w:val="yellow"/>
          <w:lang w:val="zh-CN" w:eastAsia="zh-CN" w:bidi="ar-SA"/>
        </w:rPr>
        <w:t>预算绩效评价指标体系</w:t>
      </w:r>
      <w:r>
        <w:rPr>
          <w:rFonts w:hint="eastAsia" w:ascii="Times New Roman" w:hAnsi="Times New Roman" w:eastAsia="仿宋_GB2312" w:cs="仿宋_GB2312"/>
          <w:b w:val="0"/>
          <w:bCs w:val="0"/>
          <w:kern w:val="0"/>
          <w:position w:val="0"/>
          <w:sz w:val="32"/>
          <w:szCs w:val="32"/>
          <w:highlight w:val="yellow"/>
          <w:lang w:val="zh-CN" w:eastAsia="zh-CN" w:bidi="ar-SA"/>
        </w:rPr>
        <w:t>通用指标、专用指标、个性指标</w:t>
      </w:r>
      <w:r>
        <w:rPr>
          <w:rFonts w:hint="default" w:ascii="Times New Roman" w:hAnsi="Times New Roman" w:eastAsia="仿宋_GB2312" w:cs="仿宋_GB2312"/>
          <w:b w:val="0"/>
          <w:bCs w:val="0"/>
          <w:kern w:val="0"/>
          <w:position w:val="0"/>
          <w:sz w:val="32"/>
          <w:szCs w:val="32"/>
          <w:highlight w:val="yellow"/>
          <w:lang w:val="zh-CN" w:eastAsia="zh-CN" w:bidi="ar-SA"/>
        </w:rPr>
        <w:t>涉及</w:t>
      </w:r>
      <w:r>
        <w:rPr>
          <w:rFonts w:hint="eastAsia" w:ascii="Times New Roman" w:hAnsi="Times New Roman" w:eastAsia="仿宋_GB2312" w:cs="仿宋_GB2312"/>
          <w:b w:val="0"/>
          <w:bCs w:val="0"/>
          <w:kern w:val="0"/>
          <w:position w:val="0"/>
          <w:sz w:val="32"/>
          <w:szCs w:val="32"/>
          <w:highlight w:val="yellow"/>
          <w:lang w:val="zh-CN" w:eastAsia="zh-CN" w:bidi="ar-SA"/>
        </w:rPr>
        <w:t>二、三级</w:t>
      </w:r>
      <w:r>
        <w:rPr>
          <w:rFonts w:hint="default" w:ascii="Times New Roman" w:hAnsi="Times New Roman" w:eastAsia="仿宋_GB2312" w:cs="仿宋_GB2312"/>
          <w:b w:val="0"/>
          <w:bCs w:val="0"/>
          <w:kern w:val="0"/>
          <w:position w:val="0"/>
          <w:sz w:val="32"/>
          <w:szCs w:val="32"/>
          <w:highlight w:val="yellow"/>
          <w:lang w:val="zh-CN" w:eastAsia="zh-CN" w:bidi="ar-SA"/>
        </w:rPr>
        <w:t>指标进行</w:t>
      </w:r>
      <w:r>
        <w:rPr>
          <w:rFonts w:hint="eastAsia" w:ascii="Times New Roman" w:hAnsi="Times New Roman" w:eastAsia="仿宋_GB2312" w:cs="仿宋_GB2312"/>
          <w:b w:val="0"/>
          <w:bCs w:val="0"/>
          <w:kern w:val="0"/>
          <w:position w:val="0"/>
          <w:sz w:val="32"/>
          <w:szCs w:val="32"/>
          <w:highlight w:val="yellow"/>
          <w:lang w:val="zh-CN" w:eastAsia="zh-CN" w:bidi="ar-SA"/>
        </w:rPr>
        <w:t>逐项</w:t>
      </w:r>
      <w:r>
        <w:rPr>
          <w:rFonts w:hint="default" w:ascii="Times New Roman" w:hAnsi="Times New Roman" w:eastAsia="仿宋_GB2312" w:cs="仿宋_GB2312"/>
          <w:b w:val="0"/>
          <w:bCs w:val="0"/>
          <w:kern w:val="0"/>
          <w:position w:val="0"/>
          <w:sz w:val="32"/>
          <w:szCs w:val="32"/>
          <w:highlight w:val="yellow"/>
          <w:lang w:val="zh-CN" w:eastAsia="zh-CN" w:bidi="ar-SA"/>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并评分</w:t>
      </w:r>
      <w:r>
        <w:rPr>
          <w:rFonts w:hint="eastAsia" w:ascii="Times New Roman" w:hAnsi="Times New Roman" w:eastAsia="仿宋_GB2312" w:cs="仿宋_GB2312"/>
          <w:b w:val="0"/>
          <w:bCs w:val="0"/>
          <w:kern w:val="0"/>
          <w:position w:val="0"/>
          <w:sz w:val="32"/>
          <w:szCs w:val="32"/>
          <w:highlight w:val="yellow"/>
          <w:lang w:val="en-US" w:eastAsia="zh-CN" w:bidi="ar-SA"/>
        </w:rPr>
        <w:t>。</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楷体_GB2312" w:cs="Times New Roman"/>
          <w:b/>
          <w:color w:val="auto"/>
          <w:sz w:val="32"/>
          <w:szCs w:val="32"/>
          <w:highlight w:val="yellow"/>
          <w:u w:val="none"/>
          <w:lang w:val="en-US" w:eastAsia="zh-CN"/>
        </w:rPr>
      </w:pPr>
      <w:r>
        <w:rPr>
          <w:rFonts w:hint="eastAsia" w:ascii="Times New Roman" w:hAnsi="Times New Roman" w:eastAsia="楷体_GB2312" w:cs="Times New Roman"/>
          <w:b/>
          <w:color w:val="auto"/>
          <w:sz w:val="32"/>
          <w:szCs w:val="32"/>
          <w:highlight w:val="yellow"/>
          <w:u w:val="none"/>
          <w:lang w:val="zh-CN"/>
        </w:rPr>
        <w:t>（一）</w:t>
      </w:r>
      <w:r>
        <w:rPr>
          <w:rFonts w:hint="eastAsia" w:ascii="Times New Roman" w:hAnsi="Times New Roman" w:eastAsia="楷体_GB2312" w:cs="Times New Roman"/>
          <w:b/>
          <w:color w:val="auto"/>
          <w:sz w:val="32"/>
          <w:szCs w:val="32"/>
          <w:highlight w:val="yellow"/>
          <w:u w:val="none"/>
          <w:lang w:val="en-US" w:eastAsia="zh-CN"/>
        </w:rPr>
        <w:t>通用指标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w:t>
      </w:r>
      <w:r>
        <w:rPr>
          <w:rFonts w:hint="eastAsia" w:ascii="Times New Roman" w:hAnsi="Times New Roman" w:eastAsia="仿宋_GB2312" w:cs="仿宋_GB2312"/>
          <w:b w:val="0"/>
          <w:bCs w:val="0"/>
          <w:kern w:val="0"/>
          <w:position w:val="0"/>
          <w:sz w:val="32"/>
          <w:szCs w:val="32"/>
          <w:highlight w:val="yellow"/>
          <w:lang w:val="zh-CN" w:eastAsia="zh-CN" w:bidi="ar-SA"/>
        </w:rPr>
        <w:t>项目决策。围绕决策程序、规划论证、资金投向进行绩效分析。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项目管理。围绕制度办法、分配管理、绩效监管进行绩效分析。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3.项目实施。</w:t>
      </w:r>
      <w:r>
        <w:rPr>
          <w:rFonts w:hint="eastAsia" w:ascii="Times New Roman" w:hAnsi="Times New Roman" w:eastAsia="仿宋_GB2312" w:cs="仿宋_GB2312"/>
          <w:b w:val="0"/>
          <w:bCs w:val="0"/>
          <w:kern w:val="0"/>
          <w:position w:val="0"/>
          <w:sz w:val="32"/>
          <w:szCs w:val="32"/>
          <w:highlight w:val="yellow"/>
          <w:lang w:val="zh-CN" w:eastAsia="zh-CN" w:bidi="ar-SA"/>
        </w:rPr>
        <w:t>围绕预算执行、资金使用进行绩效分析。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4.项目结果。围绕</w:t>
      </w:r>
      <w:r>
        <w:rPr>
          <w:rFonts w:hint="eastAsia" w:ascii="Times New Roman" w:hAnsi="Times New Roman" w:eastAsia="仿宋_GB2312" w:cs="仿宋_GB2312"/>
          <w:b w:val="0"/>
          <w:bCs w:val="0"/>
          <w:kern w:val="0"/>
          <w:position w:val="0"/>
          <w:sz w:val="32"/>
          <w:szCs w:val="32"/>
          <w:highlight w:val="yellow"/>
          <w:lang w:val="zh-CN" w:eastAsia="zh-CN" w:bidi="ar-SA"/>
        </w:rPr>
        <w:t>目标完成、完成时效进行绩效分析。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zh-CN" w:eastAsia="zh-CN" w:bidi="ar-SA"/>
        </w:rPr>
      </w:pPr>
      <w:r>
        <w:rPr>
          <w:rFonts w:hint="eastAsia" w:ascii="Times New Roman" w:hAnsi="Times New Roman" w:eastAsia="楷体_GB2312" w:cs="Times New Roman"/>
          <w:b/>
          <w:color w:val="auto"/>
          <w:sz w:val="32"/>
          <w:szCs w:val="32"/>
          <w:highlight w:val="yellow"/>
          <w:u w:val="none"/>
          <w:lang w:val="zh-CN"/>
        </w:rPr>
        <w:t>（二）</w:t>
      </w:r>
      <w:r>
        <w:rPr>
          <w:rFonts w:hint="eastAsia" w:ascii="Times New Roman" w:hAnsi="Times New Roman" w:eastAsia="楷体_GB2312" w:cs="Times New Roman"/>
          <w:b/>
          <w:color w:val="auto"/>
          <w:sz w:val="32"/>
          <w:szCs w:val="32"/>
          <w:highlight w:val="yellow"/>
          <w:u w:val="none"/>
          <w:lang w:val="en-US" w:eastAsia="zh-CN"/>
        </w:rPr>
        <w:t>专用指标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w:t>
      </w:r>
      <w:r>
        <w:rPr>
          <w:rFonts w:hint="eastAsia" w:ascii="Times New Roman" w:hAnsi="Times New Roman" w:eastAsia="仿宋_GB2312" w:cs="仿宋_GB2312"/>
          <w:b w:val="0"/>
          <w:bCs w:val="0"/>
          <w:kern w:val="0"/>
          <w:position w:val="0"/>
          <w:sz w:val="32"/>
          <w:szCs w:val="32"/>
          <w:highlight w:val="yellow"/>
          <w:lang w:val="en-US" w:eastAsia="zh-CN" w:bidi="ar-SA"/>
        </w:rPr>
        <w:t>专项预算项目资金支持对象选择所属指标进行绩效分析。支持对象</w:t>
      </w:r>
      <w:r>
        <w:rPr>
          <w:rFonts w:hint="eastAsia" w:ascii="Times New Roman" w:hAnsi="Times New Roman" w:eastAsia="仿宋_GB2312" w:cs="仿宋_GB2312"/>
          <w:b w:val="0"/>
          <w:bCs w:val="0"/>
          <w:kern w:val="0"/>
          <w:position w:val="0"/>
          <w:sz w:val="32"/>
          <w:szCs w:val="32"/>
          <w:highlight w:val="yellow"/>
          <w:lang w:val="zh-CN" w:eastAsia="zh-CN" w:bidi="ar-SA"/>
        </w:rPr>
        <w:t>包括产业发展、民生保障、基础设施、行政运转等方面。</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1.产业发展。围绕符合性、成长性、经济性进行绩效分析。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2.</w:t>
      </w:r>
      <w:r>
        <w:rPr>
          <w:rFonts w:hint="eastAsia" w:ascii="Times New Roman" w:hAnsi="Times New Roman" w:eastAsia="仿宋_GB2312" w:cs="仿宋_GB2312"/>
          <w:b w:val="0"/>
          <w:bCs w:val="0"/>
          <w:kern w:val="0"/>
          <w:position w:val="0"/>
          <w:sz w:val="32"/>
          <w:szCs w:val="32"/>
          <w:highlight w:val="yellow"/>
          <w:lang w:val="zh-CN" w:eastAsia="zh-CN" w:bidi="ar-SA"/>
        </w:rPr>
        <w:t>民生保障。</w:t>
      </w:r>
      <w:r>
        <w:rPr>
          <w:rFonts w:hint="eastAsia" w:ascii="Times New Roman" w:hAnsi="Times New Roman" w:eastAsia="仿宋_GB2312" w:cs="仿宋_GB2312"/>
          <w:b w:val="0"/>
          <w:bCs w:val="0"/>
          <w:kern w:val="0"/>
          <w:position w:val="0"/>
          <w:sz w:val="32"/>
          <w:szCs w:val="32"/>
          <w:highlight w:val="yellow"/>
          <w:lang w:val="en-US" w:eastAsia="zh-CN" w:bidi="ar-SA"/>
        </w:rPr>
        <w:t>围绕区域均衡性、对象精准性、标准合理性、群众满意度进行绩效分析。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3.基础设施。在建项目围绕工程进度和资金拨付进行绩效分析；建成项目围绕项目验收、功能实现、后续管护进行</w:t>
      </w:r>
      <w:r>
        <w:rPr>
          <w:rFonts w:hint="eastAsia" w:ascii="Times New Roman" w:hAnsi="Times New Roman" w:eastAsia="仿宋_GB2312" w:cs="仿宋_GB2312"/>
          <w:b w:val="0"/>
          <w:bCs w:val="0"/>
          <w:kern w:val="0"/>
          <w:position w:val="0"/>
          <w:sz w:val="32"/>
          <w:szCs w:val="32"/>
          <w:highlight w:val="yellow"/>
          <w:lang w:val="zh-CN" w:eastAsia="zh-CN" w:bidi="ar-SA"/>
        </w:rPr>
        <w:t>绩效分析。</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4.</w:t>
      </w:r>
      <w:r>
        <w:rPr>
          <w:rFonts w:hint="eastAsia" w:ascii="Times New Roman" w:hAnsi="Times New Roman" w:eastAsia="仿宋_GB2312" w:cs="仿宋_GB2312"/>
          <w:b w:val="0"/>
          <w:bCs w:val="0"/>
          <w:kern w:val="0"/>
          <w:position w:val="0"/>
          <w:sz w:val="32"/>
          <w:szCs w:val="32"/>
          <w:highlight w:val="yellow"/>
          <w:lang w:val="zh-CN" w:eastAsia="zh-CN" w:bidi="ar-SA"/>
        </w:rPr>
        <w:t>行政运转。围绕用途合规性、程序合规性、标准合规性进行绩效分析。</w:t>
      </w:r>
    </w:p>
    <w:p>
      <w:pPr>
        <w:keepNext w:val="0"/>
        <w:keepLines w:val="0"/>
        <w:pageBreakBefore w:val="0"/>
        <w:widowControl w:val="0"/>
        <w:kinsoku/>
        <w:wordWrap/>
        <w:overflowPunct/>
        <w:topLinePunct w:val="0"/>
        <w:autoSpaceDE/>
        <w:autoSpaceDN/>
        <w:bidi w:val="0"/>
        <w:adjustRightInd/>
        <w:snapToGrid/>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楷体_GB2312" w:cs="Times New Roman"/>
          <w:b/>
          <w:color w:val="auto"/>
          <w:sz w:val="32"/>
          <w:szCs w:val="32"/>
          <w:highlight w:val="yellow"/>
          <w:u w:val="none"/>
          <w:lang w:val="zh-CN"/>
        </w:rPr>
        <w:t>（三）</w:t>
      </w:r>
      <w:r>
        <w:rPr>
          <w:rFonts w:hint="eastAsia" w:ascii="Times New Roman" w:hAnsi="Times New Roman" w:eastAsia="楷体_GB2312" w:cs="Times New Roman"/>
          <w:b/>
          <w:color w:val="auto"/>
          <w:sz w:val="32"/>
          <w:szCs w:val="32"/>
          <w:highlight w:val="yellow"/>
          <w:u w:val="none"/>
          <w:lang w:val="en-US" w:eastAsia="zh-CN"/>
        </w:rPr>
        <w:t>个性指标</w:t>
      </w:r>
      <w:r>
        <w:rPr>
          <w:rFonts w:hint="default" w:ascii="Times New Roman" w:hAnsi="Times New Roman" w:eastAsia="楷体_GB2312" w:cs="Times New Roman"/>
          <w:b/>
          <w:bCs/>
          <w:color w:val="000000"/>
          <w:kern w:val="0"/>
          <w:sz w:val="32"/>
          <w:szCs w:val="32"/>
          <w:highlight w:val="yellow"/>
          <w:shd w:val="clear" w:color="auto" w:fill="FFFFFF"/>
          <w:lang w:val="zh-CN"/>
        </w:rPr>
        <w:t>绩效分析。</w:t>
      </w:r>
      <w:r>
        <w:rPr>
          <w:rFonts w:hint="eastAsia" w:ascii="Times New Roman" w:hAnsi="Times New Roman" w:eastAsia="仿宋_GB2312" w:cs="仿宋_GB2312"/>
          <w:b w:val="0"/>
          <w:bCs w:val="0"/>
          <w:kern w:val="0"/>
          <w:position w:val="0"/>
          <w:sz w:val="32"/>
          <w:szCs w:val="32"/>
          <w:highlight w:val="yellow"/>
          <w:lang w:val="zh-CN" w:eastAsia="zh-CN" w:bidi="ar-SA"/>
        </w:rPr>
        <w:t>根据项目个性自行设定部分指标，反映该项指标执行完成情况。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四、评价结论</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简要阐述专项预算项目绩效自评总体结论，包含评价总分、</w:t>
      </w:r>
      <w:r>
        <w:rPr>
          <w:rFonts w:hint="eastAsia" w:ascii="Times New Roman" w:hAnsi="Times New Roman" w:eastAsia="仿宋_GB2312" w:cs="仿宋_GB2312"/>
          <w:b w:val="0"/>
          <w:bCs w:val="0"/>
          <w:kern w:val="0"/>
          <w:position w:val="0"/>
          <w:sz w:val="32"/>
          <w:szCs w:val="32"/>
          <w:highlight w:val="yellow"/>
          <w:lang w:val="zh-CN" w:eastAsia="zh-CN" w:bidi="ar-SA"/>
        </w:rPr>
        <w:t>项目实施情况。</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en-US" w:eastAsia="zh-CN" w:bidi="ar-SA"/>
        </w:rPr>
      </w:pPr>
      <w:r>
        <w:rPr>
          <w:rFonts w:hint="eastAsia" w:ascii="黑体" w:hAnsi="黑体" w:eastAsia="黑体" w:cs="黑体"/>
          <w:b w:val="0"/>
          <w:bCs w:val="0"/>
          <w:kern w:val="0"/>
          <w:position w:val="0"/>
          <w:sz w:val="32"/>
          <w:szCs w:val="32"/>
          <w:highlight w:val="yellow"/>
          <w:lang w:val="en-US" w:eastAsia="zh-CN" w:bidi="ar-SA"/>
        </w:rPr>
        <w:t>五、存在主要问题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简要阐述专项预算项目绩效自评发现的主要问题。</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黑体" w:hAnsi="黑体" w:eastAsia="黑体" w:cs="黑体"/>
          <w:b w:val="0"/>
          <w:bCs w:val="0"/>
          <w:kern w:val="0"/>
          <w:position w:val="0"/>
          <w:sz w:val="32"/>
          <w:szCs w:val="32"/>
          <w:highlight w:val="yellow"/>
          <w:lang w:val="zh-CN" w:eastAsia="zh-CN" w:bidi="ar-SA"/>
        </w:rPr>
      </w:pPr>
      <w:r>
        <w:rPr>
          <w:rFonts w:hint="eastAsia" w:ascii="黑体" w:hAnsi="黑体" w:eastAsia="黑体" w:cs="黑体"/>
          <w:b w:val="0"/>
          <w:bCs w:val="0"/>
          <w:kern w:val="0"/>
          <w:position w:val="0"/>
          <w:sz w:val="32"/>
          <w:szCs w:val="32"/>
          <w:highlight w:val="yellow"/>
          <w:lang w:val="zh-CN" w:eastAsia="zh-CN" w:bidi="ar-SA"/>
        </w:rPr>
        <w:t>六、改进建议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简要阐述专项预算项目在</w:t>
      </w:r>
      <w:r>
        <w:rPr>
          <w:rFonts w:hint="eastAsia" w:ascii="Times New Roman" w:hAnsi="Times New Roman" w:eastAsia="仿宋_GB2312" w:cs="仿宋_GB2312"/>
          <w:b w:val="0"/>
          <w:bCs w:val="0"/>
          <w:kern w:val="0"/>
          <w:position w:val="0"/>
          <w:sz w:val="32"/>
          <w:szCs w:val="32"/>
          <w:highlight w:val="yellow"/>
          <w:lang w:val="en" w:eastAsia="zh-CN" w:bidi="ar-SA"/>
        </w:rPr>
        <w:t>预算安排、完善政策、改进管理等方面的</w:t>
      </w:r>
      <w:r>
        <w:rPr>
          <w:rFonts w:hint="eastAsia" w:ascii="Times New Roman" w:hAnsi="Times New Roman" w:eastAsia="仿宋_GB2312" w:cs="仿宋_GB2312"/>
          <w:b w:val="0"/>
          <w:bCs w:val="0"/>
          <w:kern w:val="0"/>
          <w:position w:val="0"/>
          <w:sz w:val="32"/>
          <w:szCs w:val="32"/>
          <w:highlight w:val="yellow"/>
          <w:lang w:val="en-US" w:eastAsia="zh-CN" w:bidi="ar-SA"/>
        </w:rPr>
        <w:t>措施</w:t>
      </w:r>
      <w:r>
        <w:rPr>
          <w:rFonts w:hint="eastAsia" w:ascii="Times New Roman" w:hAnsi="Times New Roman" w:eastAsia="仿宋_GB2312" w:cs="仿宋_GB2312"/>
          <w:b w:val="0"/>
          <w:bCs w:val="0"/>
          <w:kern w:val="0"/>
          <w:position w:val="0"/>
          <w:sz w:val="32"/>
          <w:szCs w:val="32"/>
          <w:highlight w:val="yellow"/>
          <w:lang w:val="en" w:eastAsia="zh-CN" w:bidi="ar-SA"/>
        </w:rPr>
        <w:t>建议，其中</w:t>
      </w:r>
      <w:r>
        <w:rPr>
          <w:rFonts w:hint="eastAsia" w:ascii="Times New Roman" w:hAnsi="Times New Roman" w:eastAsia="仿宋_GB2312" w:cs="仿宋_GB2312"/>
          <w:b w:val="0"/>
          <w:bCs w:val="0"/>
          <w:kern w:val="0"/>
          <w:position w:val="0"/>
          <w:sz w:val="32"/>
          <w:szCs w:val="32"/>
          <w:highlight w:val="yellow"/>
          <w:lang w:val="en-US" w:eastAsia="zh-CN" w:bidi="ar-SA"/>
        </w:rPr>
        <w:t>必须对应评价发现的主要问题一一提出措施建议。</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r>
        <w:rPr>
          <w:rFonts w:hint="eastAsia" w:ascii="Times New Roman" w:hAnsi="Times New Roman" w:eastAsia="仿宋_GB2312" w:cs="仿宋_GB2312"/>
          <w:b w:val="0"/>
          <w:bCs w:val="0"/>
          <w:kern w:val="0"/>
          <w:position w:val="0"/>
          <w:sz w:val="32"/>
          <w:szCs w:val="32"/>
          <w:highlight w:val="yellow"/>
          <w:lang w:val="en-US" w:eastAsia="zh-CN" w:bidi="ar-SA"/>
        </w:rPr>
        <w:t>（</w:t>
      </w:r>
      <w:r>
        <w:rPr>
          <w:rFonts w:hint="eastAsia" w:eastAsia="仿宋_GB2312" w:cs="仿宋_GB2312"/>
          <w:b w:val="0"/>
          <w:bCs w:val="0"/>
          <w:kern w:val="0"/>
          <w:position w:val="0"/>
          <w:sz w:val="32"/>
          <w:szCs w:val="32"/>
          <w:highlight w:val="yellow"/>
          <w:lang w:val="en-US" w:eastAsia="zh-CN" w:bidi="ar-SA"/>
        </w:rPr>
        <w:t>注：</w:t>
      </w:r>
      <w:r>
        <w:rPr>
          <w:rFonts w:hint="eastAsia" w:ascii="Times New Roman" w:hAnsi="Times New Roman" w:eastAsia="仿宋_GB2312" w:cs="仿宋_GB2312"/>
          <w:b w:val="0"/>
          <w:bCs w:val="0"/>
          <w:kern w:val="0"/>
          <w:position w:val="0"/>
          <w:sz w:val="32"/>
          <w:szCs w:val="32"/>
          <w:highlight w:val="yellow"/>
          <w:lang w:val="en-US" w:eastAsia="zh-CN" w:bidi="ar-SA"/>
        </w:rPr>
        <w:t>以上绩效自评报告，除涉密敏感内容外，原则上都应予以公开）</w:t>
      </w: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p>
    <w:p>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yellow"/>
          <w:lang w:val="en-US" w:eastAsia="zh-CN" w:bidi="ar-SA"/>
        </w:rPr>
      </w:pPr>
      <w:bookmarkStart w:id="56" w:name="_Toc15396618"/>
      <w:r>
        <w:rPr>
          <w:rFonts w:hint="eastAsia" w:ascii="Times New Roman" w:hAnsi="Times New Roman" w:eastAsia="仿宋_GB2312" w:cs="仿宋_GB2312"/>
          <w:b w:val="0"/>
          <w:bCs w:val="0"/>
          <w:kern w:val="0"/>
          <w:position w:val="0"/>
          <w:sz w:val="32"/>
          <w:szCs w:val="32"/>
          <w:highlight w:val="yellow"/>
          <w:lang w:val="en-US" w:eastAsia="zh-CN" w:bidi="ar-SA"/>
        </w:rPr>
        <w:br w:type="page"/>
      </w:r>
    </w:p>
    <w:p>
      <w:pPr>
        <w:widowControl/>
        <w:jc w:val="center"/>
        <w:rPr>
          <w:rFonts w:hint="eastAsia" w:ascii="Times New Roman" w:hAnsi="Times New Roman" w:eastAsia="仿宋"/>
          <w:b w:val="0"/>
          <w:color w:val="auto"/>
          <w:highlight w:val="none"/>
        </w:rPr>
      </w:pPr>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53"/>
      <w:bookmarkEnd w:id="56"/>
      <w:bookmarkStart w:id="57" w:name="_Toc1539661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bookmarkEnd w:id="57"/>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8" w:name="_Toc15396620"/>
      <w:r>
        <w:rPr>
          <w:rFonts w:hint="eastAsia" w:ascii="Times New Roman" w:hAnsi="Times New Roman" w:eastAsia="仿宋_GB2312" w:cs="仿宋_GB2312"/>
          <w:color w:val="auto"/>
          <w:sz w:val="32"/>
          <w:szCs w:val="32"/>
          <w:highlight w:val="none"/>
        </w:rPr>
        <w:t>二、收入决算表</w:t>
      </w:r>
      <w:bookmarkEnd w:id="58"/>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9" w:name="_Toc15396621"/>
      <w:r>
        <w:rPr>
          <w:rFonts w:hint="eastAsia" w:ascii="Times New Roman" w:hAnsi="Times New Roman" w:eastAsia="仿宋_GB2312" w:cs="仿宋_GB2312"/>
          <w:color w:val="auto"/>
          <w:sz w:val="32"/>
          <w:szCs w:val="32"/>
          <w:highlight w:val="none"/>
        </w:rPr>
        <w:t>三、支出决算表</w:t>
      </w:r>
      <w:bookmarkEnd w:id="59"/>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0" w:name="_Toc15396622"/>
      <w:r>
        <w:rPr>
          <w:rFonts w:hint="eastAsia" w:ascii="Times New Roman" w:hAnsi="Times New Roman" w:eastAsia="仿宋_GB2312" w:cs="仿宋_GB2312"/>
          <w:color w:val="auto"/>
          <w:sz w:val="32"/>
          <w:szCs w:val="32"/>
          <w:highlight w:val="none"/>
        </w:rPr>
        <w:t>四、财政拨款收入支出决算总表</w:t>
      </w:r>
      <w:bookmarkEnd w:id="60"/>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1" w:name="_Toc15396623"/>
      <w:r>
        <w:rPr>
          <w:rFonts w:hint="eastAsia" w:ascii="Times New Roman" w:hAnsi="Times New Roman" w:eastAsia="仿宋_GB2312" w:cs="仿宋_GB2312"/>
          <w:color w:val="auto"/>
          <w:sz w:val="32"/>
          <w:szCs w:val="32"/>
          <w:highlight w:val="none"/>
        </w:rPr>
        <w:t>五、财政拨款支出决算明细表</w:t>
      </w:r>
      <w:bookmarkEnd w:id="61"/>
      <w:bookmarkStart w:id="62" w:name="_Toc1539662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bookmarkEnd w:id="62"/>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3" w:name="_Toc15396625"/>
      <w:r>
        <w:rPr>
          <w:rFonts w:hint="eastAsia" w:ascii="Times New Roman" w:hAnsi="Times New Roman" w:eastAsia="仿宋_GB2312" w:cs="仿宋_GB2312"/>
          <w:color w:val="auto"/>
          <w:sz w:val="32"/>
          <w:szCs w:val="32"/>
          <w:highlight w:val="none"/>
        </w:rPr>
        <w:t>七、一般公共预算财政拨款支出决算明细表</w:t>
      </w:r>
      <w:bookmarkEnd w:id="63"/>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4" w:name="_Toc15396626"/>
      <w:r>
        <w:rPr>
          <w:rFonts w:hint="eastAsia" w:ascii="Times New Roman" w:hAnsi="Times New Roman" w:eastAsia="仿宋_GB2312" w:cs="仿宋_GB2312"/>
          <w:color w:val="auto"/>
          <w:sz w:val="32"/>
          <w:szCs w:val="32"/>
          <w:highlight w:val="none"/>
        </w:rPr>
        <w:t>八、一般公共预算财政拨款基本支出决算表</w:t>
      </w:r>
      <w:bookmarkEnd w:id="64"/>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5" w:name="_Toc15396627"/>
      <w:r>
        <w:rPr>
          <w:rFonts w:hint="eastAsia" w:ascii="Times New Roman" w:hAnsi="Times New Roman" w:eastAsia="仿宋_GB2312" w:cs="仿宋_GB2312"/>
          <w:color w:val="auto"/>
          <w:sz w:val="32"/>
          <w:szCs w:val="32"/>
          <w:highlight w:val="none"/>
        </w:rPr>
        <w:t>九、一般公共预算财政拨款项目支出决算表</w:t>
      </w:r>
      <w:bookmarkEnd w:id="65"/>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6" w:name="_Toc15396628"/>
      <w:r>
        <w:rPr>
          <w:rFonts w:hint="eastAsia" w:ascii="Times New Roman" w:hAnsi="Times New Roman" w:eastAsia="仿宋_GB2312" w:cs="仿宋_GB2312"/>
          <w:color w:val="auto"/>
          <w:sz w:val="32"/>
          <w:szCs w:val="32"/>
          <w:highlight w:val="none"/>
        </w:rPr>
        <w:t>十、</w:t>
      </w:r>
      <w:bookmarkEnd w:id="66"/>
      <w:r>
        <w:rPr>
          <w:rFonts w:hint="eastAsia" w:ascii="Times New Roman" w:hAnsi="Times New Roman" w:eastAsia="仿宋_GB2312" w:cs="仿宋_GB2312"/>
          <w:color w:val="auto"/>
          <w:sz w:val="32"/>
          <w:szCs w:val="32"/>
          <w:highlight w:val="none"/>
        </w:rPr>
        <w:t>政府性基金预算财政拨款收入支出决算表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7" w:name="_Toc15396629"/>
      <w:r>
        <w:rPr>
          <w:rFonts w:hint="eastAsia" w:ascii="Times New Roman" w:hAnsi="Times New Roman" w:eastAsia="仿宋_GB2312" w:cs="仿宋_GB2312"/>
          <w:color w:val="auto"/>
          <w:sz w:val="32"/>
          <w:szCs w:val="32"/>
          <w:highlight w:val="none"/>
        </w:rPr>
        <w:t>十一、</w:t>
      </w:r>
      <w:bookmarkEnd w:id="67"/>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8" w:name="_Toc15396630"/>
      <w:r>
        <w:rPr>
          <w:rFonts w:hint="eastAsia" w:ascii="Times New Roman" w:hAnsi="Times New Roman" w:eastAsia="仿宋_GB2312" w:cs="仿宋_GB2312"/>
          <w:color w:val="auto"/>
          <w:sz w:val="32"/>
          <w:szCs w:val="32"/>
          <w:highlight w:val="none"/>
        </w:rPr>
        <w:t>十二、</w:t>
      </w:r>
      <w:bookmarkEnd w:id="68"/>
      <w:r>
        <w:rPr>
          <w:rFonts w:hint="eastAsia" w:ascii="Times New Roman" w:hAnsi="Times New Roman" w:eastAsia="仿宋_GB2312" w:cs="仿宋_GB2312"/>
          <w:color w:val="auto"/>
          <w:sz w:val="32"/>
          <w:szCs w:val="32"/>
          <w:highlight w:val="none"/>
          <w:lang w:eastAsia="zh-CN"/>
        </w:rPr>
        <w:t>国有资本经营预算财政拨款支出决算表</w:t>
      </w:r>
    </w:p>
    <w:p>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69" w:name="_Toc15396631"/>
      <w:r>
        <w:rPr>
          <w:rFonts w:hint="eastAsia" w:ascii="Times New Roman" w:hAnsi="Times New Roman" w:eastAsia="仿宋_GB2312" w:cs="仿宋_GB2312"/>
          <w:color w:val="auto"/>
          <w:sz w:val="32"/>
          <w:szCs w:val="32"/>
          <w:highlight w:val="none"/>
        </w:rPr>
        <w:t>十三、</w:t>
      </w:r>
      <w:bookmarkEnd w:id="69"/>
      <w:r>
        <w:rPr>
          <w:rFonts w:hint="eastAsia" w:ascii="Times New Roman" w:hAnsi="Times New Roman" w:eastAsia="仿宋_GB2312" w:cs="仿宋_GB2312"/>
          <w:color w:val="auto"/>
          <w:sz w:val="32"/>
          <w:szCs w:val="32"/>
          <w:highlight w:val="none"/>
          <w:lang w:eastAsia="zh-CN"/>
        </w:rPr>
        <w:t>财政拨款“三公”经费支出决算表</w:t>
      </w:r>
    </w:p>
    <w:p>
      <w:pPr>
        <w:rPr>
          <w:rFonts w:hint="eastAsia" w:ascii="Times New Roman" w:hAnsi="Times New Roman"/>
          <w:lang w:eastAsia="zh-CN"/>
        </w:rPr>
      </w:pPr>
    </w:p>
    <w:sectPr>
      <w:footerReference r:id="rId6" w:type="first"/>
      <w:footerReference r:id="rId5" w:type="default"/>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D75BCC"/>
    <w:multiLevelType w:val="singleLevel"/>
    <w:tmpl w:val="99D75BCC"/>
    <w:lvl w:ilvl="0" w:tentative="0">
      <w:start w:val="1"/>
      <w:numFmt w:val="decimal"/>
      <w:lvlText w:val="%1."/>
      <w:lvlJc w:val="left"/>
      <w:pPr>
        <w:tabs>
          <w:tab w:val="left" w:pos="312"/>
        </w:tabs>
      </w:pPr>
    </w:lvl>
  </w:abstractNum>
  <w:abstractNum w:abstractNumId="1">
    <w:nsid w:val="1E87EBD8"/>
    <w:multiLevelType w:val="singleLevel"/>
    <w:tmpl w:val="1E87EBD8"/>
    <w:lvl w:ilvl="0" w:tentative="0">
      <w:start w:val="3"/>
      <w:numFmt w:val="decimal"/>
      <w:lvlText w:val="%1."/>
      <w:lvlJc w:val="left"/>
      <w:pPr>
        <w:tabs>
          <w:tab w:val="left" w:pos="312"/>
        </w:tabs>
      </w:pPr>
    </w:lvl>
  </w:abstractNum>
  <w:abstractNum w:abstractNumId="2">
    <w:nsid w:val="69C882AA"/>
    <w:multiLevelType w:val="singleLevel"/>
    <w:tmpl w:val="69C882AA"/>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916F1E"/>
    <w:rsid w:val="061E35DE"/>
    <w:rsid w:val="066E0107"/>
    <w:rsid w:val="07996F6E"/>
    <w:rsid w:val="07DFD8BA"/>
    <w:rsid w:val="09867E8F"/>
    <w:rsid w:val="0A2032A3"/>
    <w:rsid w:val="0CA8290A"/>
    <w:rsid w:val="0D35B1ED"/>
    <w:rsid w:val="0E254B6B"/>
    <w:rsid w:val="0F98263C"/>
    <w:rsid w:val="101860EC"/>
    <w:rsid w:val="101F47CC"/>
    <w:rsid w:val="10C055FF"/>
    <w:rsid w:val="11694EBD"/>
    <w:rsid w:val="11772AA4"/>
    <w:rsid w:val="118107EC"/>
    <w:rsid w:val="12E24EE2"/>
    <w:rsid w:val="13D50BC4"/>
    <w:rsid w:val="14B17F78"/>
    <w:rsid w:val="165E0673"/>
    <w:rsid w:val="16B831D5"/>
    <w:rsid w:val="16BB723D"/>
    <w:rsid w:val="17E50567"/>
    <w:rsid w:val="186504BB"/>
    <w:rsid w:val="19A445FC"/>
    <w:rsid w:val="1BE8440E"/>
    <w:rsid w:val="1D155CEE"/>
    <w:rsid w:val="1D1638FE"/>
    <w:rsid w:val="1E312DEB"/>
    <w:rsid w:val="1E740ACF"/>
    <w:rsid w:val="1FF35744"/>
    <w:rsid w:val="1FF6BC77"/>
    <w:rsid w:val="2186353C"/>
    <w:rsid w:val="23860B96"/>
    <w:rsid w:val="240371BF"/>
    <w:rsid w:val="244F3473"/>
    <w:rsid w:val="24C97D99"/>
    <w:rsid w:val="25A718F0"/>
    <w:rsid w:val="25BB59F6"/>
    <w:rsid w:val="260F557C"/>
    <w:rsid w:val="26970054"/>
    <w:rsid w:val="281408E2"/>
    <w:rsid w:val="29FD04D3"/>
    <w:rsid w:val="2BFF7BC6"/>
    <w:rsid w:val="2C8A61B5"/>
    <w:rsid w:val="2DF04E50"/>
    <w:rsid w:val="2E586DFA"/>
    <w:rsid w:val="2F040D46"/>
    <w:rsid w:val="2F6B035B"/>
    <w:rsid w:val="2FAE5751"/>
    <w:rsid w:val="2FB1A395"/>
    <w:rsid w:val="2FD9A7D8"/>
    <w:rsid w:val="2FDBF714"/>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77608CA"/>
    <w:rsid w:val="486A6C7A"/>
    <w:rsid w:val="4A627F82"/>
    <w:rsid w:val="4B0E749A"/>
    <w:rsid w:val="4B2477C4"/>
    <w:rsid w:val="4B4F25DA"/>
    <w:rsid w:val="4BE068DB"/>
    <w:rsid w:val="4D577224"/>
    <w:rsid w:val="4DBF1CEB"/>
    <w:rsid w:val="4DF0007C"/>
    <w:rsid w:val="4EAB630A"/>
    <w:rsid w:val="4ECE2238"/>
    <w:rsid w:val="4F833267"/>
    <w:rsid w:val="4FE9BD67"/>
    <w:rsid w:val="4FFB052F"/>
    <w:rsid w:val="537E6D0A"/>
    <w:rsid w:val="53F74C96"/>
    <w:rsid w:val="55170BA8"/>
    <w:rsid w:val="553218C9"/>
    <w:rsid w:val="567E1AA5"/>
    <w:rsid w:val="56E16E00"/>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BF3928"/>
    <w:rsid w:val="63B3701E"/>
    <w:rsid w:val="647F5392"/>
    <w:rsid w:val="65E66580"/>
    <w:rsid w:val="664B1D71"/>
    <w:rsid w:val="664B4E8E"/>
    <w:rsid w:val="67277B67"/>
    <w:rsid w:val="67AA3209"/>
    <w:rsid w:val="689C6254"/>
    <w:rsid w:val="698D0931"/>
    <w:rsid w:val="6A7FE5F3"/>
    <w:rsid w:val="6B053271"/>
    <w:rsid w:val="6BDD78B3"/>
    <w:rsid w:val="6C4A05C8"/>
    <w:rsid w:val="6C8742B8"/>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DEEEC2"/>
    <w:rsid w:val="75E32345"/>
    <w:rsid w:val="76E3355F"/>
    <w:rsid w:val="76FF5125"/>
    <w:rsid w:val="776F6FFA"/>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unhideWhenUsed/>
    <w:qFormat/>
    <w:uiPriority w:val="99"/>
    <w:pPr>
      <w:ind w:firstLine="420" w:firstLineChars="200"/>
    </w:pPr>
  </w:style>
  <w:style w:type="paragraph" w:styleId="4">
    <w:name w:val="Body Text Indent"/>
    <w:basedOn w:val="1"/>
    <w:next w:val="3"/>
    <w:qFormat/>
    <w:uiPriority w:val="0"/>
    <w:pPr>
      <w:spacing w:after="120"/>
      <w:ind w:leftChars="200"/>
    </w:pPr>
    <w:rPr>
      <w:rFonts w:ascii="仿宋_GB2312"/>
      <w:szCs w:val="32"/>
    </w:rPr>
  </w:style>
  <w:style w:type="paragraph" w:styleId="8">
    <w:name w:val="Body Text"/>
    <w:basedOn w:val="1"/>
    <w:link w:val="25"/>
    <w:qFormat/>
    <w:uiPriority w:val="99"/>
    <w:pPr>
      <w:spacing w:beforeLines="30"/>
    </w:pPr>
    <w:rPr>
      <w:rFonts w:ascii="仿宋_GB2312" w:eastAsia="仿宋_GB2312"/>
      <w:kern w:val="0"/>
      <w:sz w:val="30"/>
    </w:r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1"/>
    <w:semiHidden/>
    <w:unhideWhenUsed/>
    <w:qFormat/>
    <w:uiPriority w:val="99"/>
    <w:rPr>
      <w:sz w:val="18"/>
      <w:szCs w:val="18"/>
    </w:rPr>
  </w:style>
  <w:style w:type="paragraph" w:styleId="11">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2"/>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1"/>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8"/>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5"/>
    <w:qFormat/>
    <w:uiPriority w:val="9"/>
    <w:rPr>
      <w:rFonts w:ascii="Times New Roman" w:hAnsi="Times New Roman"/>
      <w:b/>
      <w:bCs/>
      <w:kern w:val="44"/>
      <w:sz w:val="44"/>
      <w:szCs w:val="44"/>
    </w:rPr>
  </w:style>
  <w:style w:type="character" w:customStyle="1" w:styleId="29">
    <w:name w:val="标题 2 Char"/>
    <w:basedOn w:val="16"/>
    <w:link w:val="6"/>
    <w:qFormat/>
    <w:uiPriority w:val="9"/>
    <w:rPr>
      <w:rFonts w:asciiTheme="majorHAnsi" w:hAnsiTheme="majorHAnsi" w:eastAsiaTheme="majorEastAsia" w:cstheme="majorBidi"/>
      <w:b/>
      <w:bCs/>
      <w:kern w:val="2"/>
      <w:sz w:val="32"/>
      <w:szCs w:val="32"/>
    </w:rPr>
  </w:style>
  <w:style w:type="paragraph" w:customStyle="1" w:styleId="30">
    <w:name w:val="TOC 标题1"/>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10"/>
    <w:semiHidden/>
    <w:qFormat/>
    <w:uiPriority w:val="99"/>
    <w:rPr>
      <w:rFonts w:ascii="Times New Roman" w:hAnsi="Times New Roman"/>
      <w:kern w:val="2"/>
      <w:sz w:val="18"/>
      <w:szCs w:val="18"/>
    </w:rPr>
  </w:style>
  <w:style w:type="character" w:customStyle="1" w:styleId="32">
    <w:name w:val="标题 3 Char"/>
    <w:basedOn w:val="16"/>
    <w:link w:val="7"/>
    <w:qFormat/>
    <w:uiPriority w:val="9"/>
    <w:rPr>
      <w:rFonts w:ascii="Times New Roman" w:hAnsi="Times New Roman"/>
      <w:b/>
      <w:bCs/>
      <w:kern w:val="2"/>
      <w:sz w:val="32"/>
      <w:szCs w:val="32"/>
    </w:rPr>
  </w:style>
  <w:style w:type="paragraph" w:customStyle="1" w:styleId="33">
    <w:name w:val="TOC Heading"/>
    <w:basedOn w:val="5"/>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23</Pages>
  <Words>1299</Words>
  <Characters>7410</Characters>
  <Lines>61</Lines>
  <Paragraphs>17</Paragraphs>
  <TotalTime>3</TotalTime>
  <ScaleCrop>false</ScaleCrop>
  <LinksUpToDate>false</LinksUpToDate>
  <CharactersWithSpaces>8692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Administrator</cp:lastModifiedBy>
  <cp:lastPrinted>2025-08-06T17:34:00Z</cp:lastPrinted>
  <dcterms:modified xsi:type="dcterms:W3CDTF">2025-10-29T06:48:50Z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04787F2533EB45DC91BCDE4AB213247F</vt:lpwstr>
  </property>
</Properties>
</file>