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rPr>
          <w:rFonts w:hint="eastAsia" w:ascii="Times New Roman" w:hAnsi="Times New Roman" w:eastAsia="方正小标宋简体" w:cs="Times New Roman"/>
          <w:color w:val="auto"/>
          <w:kern w:val="2"/>
          <w:sz w:val="72"/>
          <w:szCs w:val="72"/>
          <w:highlight w:val="none"/>
          <w:lang w:val="en-US" w:eastAsia="zh-CN" w:bidi="ar-SA"/>
        </w:rPr>
      </w:pPr>
      <w:bookmarkStart w:id="0" w:name="_Toc15396475"/>
      <w:bookmarkStart w:id="1" w:name="_Toc15377425"/>
      <w:bookmarkStart w:id="2" w:name="_Toc15378441"/>
      <w:bookmarkStart w:id="3" w:name="_Toc15396597"/>
      <w:bookmarkStart w:id="4" w:name="_Toc15377193"/>
      <w:bookmarkStart w:id="5" w:name="_Toc15306267"/>
    </w:p>
    <w:p>
      <w:pPr>
        <w:pStyle w:val="8"/>
        <w:rPr>
          <w:rFonts w:hint="eastAsia" w:ascii="Times New Roman" w:hAnsi="Times New Roman" w:eastAsia="方正小标宋简体" w:cs="Times New Roman"/>
          <w:color w:val="auto"/>
          <w:kern w:val="2"/>
          <w:sz w:val="72"/>
          <w:szCs w:val="72"/>
          <w:highlight w:val="none"/>
          <w:lang w:val="en-US" w:eastAsia="zh-CN" w:bidi="ar-SA"/>
        </w:rPr>
      </w:pPr>
    </w:p>
    <w:p>
      <w:pPr>
        <w:pStyle w:val="8"/>
        <w:rPr>
          <w:rFonts w:hint="eastAsia" w:ascii="Times New Roman" w:hAnsi="Times New Roman" w:eastAsia="方正小标宋简体" w:cs="Times New Roman"/>
          <w:color w:val="auto"/>
          <w:kern w:val="2"/>
          <w:sz w:val="72"/>
          <w:szCs w:val="72"/>
          <w:highlight w:val="none"/>
          <w:lang w:val="en-US" w:eastAsia="zh-CN" w:bidi="ar-SA"/>
        </w:rPr>
      </w:pPr>
    </w:p>
    <w:p>
      <w:pPr>
        <w:pStyle w:val="8"/>
        <w:jc w:val="center"/>
        <w:rPr>
          <w:rFonts w:hint="eastAsia" w:ascii="Times New Roman" w:hAnsi="Times New Roman" w:eastAsia="方正小标宋简体" w:cs="Times New Roman"/>
          <w:color w:val="auto"/>
          <w:kern w:val="2"/>
          <w:sz w:val="44"/>
          <w:szCs w:val="44"/>
          <w:highlight w:val="none"/>
          <w:lang w:val="en-US" w:eastAsia="zh-CN" w:bidi="ar-SA"/>
        </w:rPr>
      </w:pPr>
      <w:r>
        <w:rPr>
          <w:rFonts w:hint="eastAsia" w:ascii="Times New Roman" w:hAnsi="Times New Roman" w:eastAsia="方正小标宋简体" w:cs="Times New Roman"/>
          <w:color w:val="auto"/>
          <w:kern w:val="2"/>
          <w:sz w:val="44"/>
          <w:szCs w:val="44"/>
          <w:highlight w:val="none"/>
          <w:lang w:val="en-US" w:eastAsia="zh-CN" w:bidi="ar-SA"/>
        </w:rPr>
        <w:t>2024年度省级部门（单位）决算</w:t>
      </w:r>
    </w:p>
    <w:p>
      <w:pPr>
        <w:pStyle w:val="8"/>
        <w:jc w:val="center"/>
        <w:rPr>
          <w:rFonts w:hint="default" w:ascii="Times New Roman" w:hAnsi="Times New Roman" w:eastAsia="方正小标宋简体" w:cs="Times New Roman"/>
          <w:color w:val="auto"/>
          <w:kern w:val="2"/>
          <w:sz w:val="44"/>
          <w:szCs w:val="44"/>
          <w:highlight w:val="none"/>
          <w:lang w:val="en-US" w:eastAsia="zh-CN" w:bidi="ar-SA"/>
        </w:rPr>
      </w:pPr>
      <w:r>
        <w:rPr>
          <w:rFonts w:hint="eastAsia" w:ascii="Times New Roman" w:hAnsi="Times New Roman" w:eastAsia="方正小标宋简体" w:cs="Times New Roman"/>
          <w:color w:val="auto"/>
          <w:kern w:val="2"/>
          <w:sz w:val="44"/>
          <w:szCs w:val="44"/>
          <w:highlight w:val="none"/>
          <w:lang w:val="en-US" w:eastAsia="zh-CN" w:bidi="ar-SA"/>
        </w:rPr>
        <w:t>公开文字说明</w:t>
      </w:r>
    </w:p>
    <w:p>
      <w:pPr>
        <w:spacing w:line="600" w:lineRule="exact"/>
        <w:jc w:val="center"/>
        <w:outlineLvl w:val="0"/>
        <w:rPr>
          <w:rFonts w:ascii="Times New Roman" w:hAnsi="Times New Roman" w:eastAsia="方正小标宋简体"/>
          <w:color w:val="auto"/>
          <w:sz w:val="72"/>
          <w:szCs w:val="72"/>
          <w:highlight w:val="none"/>
        </w:rPr>
      </w:pPr>
    </w:p>
    <w:p>
      <w:pPr>
        <w:pStyle w:val="19"/>
        <w:rPr>
          <w:rFonts w:ascii="Times New Roman" w:hAnsi="Times New Roman"/>
        </w:rPr>
        <w:sectPr>
          <w:headerReference r:id="rId3" w:type="default"/>
          <w:footerReference r:id="rId4" w:type="default"/>
          <w:pgSz w:w="11906" w:h="16838"/>
          <w:pgMar w:top="1440" w:right="1800" w:bottom="1440" w:left="1800" w:header="851" w:footer="992" w:gutter="0"/>
          <w:pgNumType w:fmt="numberInDash" w:start="1"/>
          <w:cols w:space="425" w:num="1"/>
          <w:titlePg/>
          <w:docGrid w:type="lines" w:linePitch="312" w:charSpace="0"/>
        </w:sectPr>
      </w:pPr>
    </w:p>
    <w:p>
      <w:pPr>
        <w:rPr>
          <w:rFonts w:ascii="Times New Roman" w:hAnsi="Times New Roman"/>
        </w:rPr>
      </w:pPr>
    </w:p>
    <w:p>
      <w:pPr>
        <w:pStyle w:val="8"/>
        <w:jc w:val="center"/>
        <w:rPr>
          <w:rFonts w:hint="eastAsia" w:ascii="Times New Roman" w:hAnsi="Times New Roman" w:eastAsia="方正小标宋简体" w:cs="Times New Roman"/>
          <w:color w:val="auto"/>
          <w:kern w:val="2"/>
          <w:sz w:val="44"/>
          <w:szCs w:val="44"/>
          <w:highlight w:val="none"/>
          <w:lang w:val="en-US" w:eastAsia="zh-CN" w:bidi="ar-SA"/>
        </w:rPr>
      </w:pPr>
    </w:p>
    <w:p>
      <w:pPr>
        <w:pStyle w:val="8"/>
        <w:jc w:val="center"/>
        <w:rPr>
          <w:rFonts w:hint="eastAsia" w:ascii="Times New Roman" w:hAnsi="Times New Roman" w:eastAsia="方正小标宋简体" w:cs="Times New Roman"/>
          <w:color w:val="auto"/>
          <w:kern w:val="2"/>
          <w:sz w:val="44"/>
          <w:szCs w:val="44"/>
          <w:highlight w:val="none"/>
          <w:lang w:val="en-US" w:eastAsia="zh-CN" w:bidi="ar-SA"/>
        </w:rPr>
      </w:pPr>
    </w:p>
    <w:p>
      <w:pPr>
        <w:pStyle w:val="8"/>
        <w:jc w:val="center"/>
        <w:rPr>
          <w:rFonts w:hint="eastAsia" w:ascii="Times New Roman" w:hAnsi="Times New Roman" w:eastAsia="方正小标宋简体" w:cs="Times New Roman"/>
          <w:color w:val="auto"/>
          <w:kern w:val="2"/>
          <w:sz w:val="44"/>
          <w:szCs w:val="44"/>
          <w:highlight w:val="none"/>
          <w:lang w:val="en-US" w:eastAsia="zh-CN" w:bidi="ar-SA"/>
        </w:rPr>
      </w:pPr>
    </w:p>
    <w:p>
      <w:pPr>
        <w:pStyle w:val="8"/>
        <w:jc w:val="center"/>
        <w:rPr>
          <w:rFonts w:hint="eastAsia" w:ascii="Times New Roman" w:hAnsi="Times New Roman" w:eastAsia="方正小标宋简体" w:cs="Times New Roman"/>
          <w:color w:val="auto"/>
          <w:kern w:val="2"/>
          <w:sz w:val="44"/>
          <w:szCs w:val="44"/>
          <w:highlight w:val="none"/>
          <w:lang w:val="en-US" w:eastAsia="zh-CN" w:bidi="ar-SA"/>
        </w:rPr>
      </w:pPr>
    </w:p>
    <w:bookmarkEnd w:id="0"/>
    <w:bookmarkEnd w:id="1"/>
    <w:bookmarkEnd w:id="2"/>
    <w:bookmarkEnd w:id="3"/>
    <w:bookmarkEnd w:id="4"/>
    <w:p>
      <w:pPr>
        <w:pStyle w:val="8"/>
        <w:jc w:val="center"/>
        <w:rPr>
          <w:rFonts w:hint="eastAsia" w:ascii="Times New Roman" w:hAnsi="Times New Roman" w:eastAsia="方正小标宋简体" w:cs="Times New Roman"/>
          <w:color w:val="auto"/>
          <w:kern w:val="2"/>
          <w:sz w:val="44"/>
          <w:szCs w:val="44"/>
          <w:highlight w:val="none"/>
          <w:lang w:val="en-US" w:eastAsia="zh-CN" w:bidi="ar-SA"/>
        </w:rPr>
      </w:pPr>
      <w:bookmarkStart w:id="6" w:name="_Toc15396598"/>
      <w:bookmarkStart w:id="7" w:name="_Toc15377426"/>
      <w:bookmarkStart w:id="8" w:name="_Toc15396476"/>
      <w:bookmarkStart w:id="9" w:name="_Toc15377194"/>
      <w:bookmarkStart w:id="10" w:name="_Toc15378442"/>
      <w:r>
        <w:rPr>
          <w:rFonts w:hint="eastAsia" w:ascii="Times New Roman" w:hAnsi="Times New Roman" w:eastAsia="方正小标宋简体" w:cs="Times New Roman"/>
          <w:color w:val="auto"/>
          <w:kern w:val="2"/>
          <w:sz w:val="44"/>
          <w:szCs w:val="44"/>
          <w:highlight w:val="none"/>
          <w:lang w:val="en-US" w:eastAsia="zh-CN" w:bidi="ar-SA"/>
        </w:rPr>
        <w:t>2024年度四川省</w:t>
      </w:r>
      <w:bookmarkEnd w:id="5"/>
      <w:bookmarkStart w:id="11" w:name="_Toc15306268"/>
      <w:r>
        <w:rPr>
          <w:rFonts w:hint="eastAsia" w:ascii="Times New Roman" w:hAnsi="Times New Roman" w:eastAsia="方正小标宋简体" w:cs="Times New Roman"/>
          <w:color w:val="auto"/>
          <w:kern w:val="2"/>
          <w:sz w:val="44"/>
          <w:szCs w:val="44"/>
          <w:highlight w:val="none"/>
          <w:lang w:val="en-US" w:eastAsia="zh-CN" w:bidi="ar-SA"/>
        </w:rPr>
        <w:t>乐山市五通桥区石麟镇文化旅游服务中心部门决算</w:t>
      </w:r>
      <w:bookmarkEnd w:id="6"/>
      <w:bookmarkEnd w:id="7"/>
      <w:bookmarkEnd w:id="8"/>
      <w:bookmarkEnd w:id="9"/>
      <w:bookmarkEnd w:id="10"/>
      <w:bookmarkEnd w:id="11"/>
    </w:p>
    <w:p>
      <w:pPr>
        <w:widowControl/>
        <w:jc w:val="center"/>
        <w:rPr>
          <w:rFonts w:ascii="Times New Roman" w:hAnsi="Times New Roman" w:eastAsia="黑体"/>
          <w:color w:val="auto"/>
          <w:sz w:val="48"/>
          <w:szCs w:val="48"/>
          <w:highlight w:val="none"/>
        </w:rPr>
      </w:pPr>
      <w:r>
        <w:rPr>
          <w:rFonts w:ascii="Times New Roman" w:hAnsi="Times New Roman" w:eastAsia="方正小标宋简体"/>
          <w:color w:val="auto"/>
          <w:sz w:val="36"/>
          <w:szCs w:val="36"/>
          <w:highlight w:val="none"/>
        </w:rPr>
        <w:br w:type="page"/>
      </w:r>
      <w:r>
        <w:rPr>
          <w:rFonts w:hint="eastAsia" w:ascii="Times New Roman" w:hAnsi="Times New Roman" w:eastAsia="黑体"/>
          <w:color w:val="auto"/>
          <w:sz w:val="48"/>
          <w:szCs w:val="48"/>
          <w:highlight w:val="none"/>
        </w:rPr>
        <w:t>目录</w:t>
      </w:r>
    </w:p>
    <w:p>
      <w:pPr>
        <w:widowControl/>
        <w:jc w:val="center"/>
        <w:rPr>
          <w:rFonts w:ascii="Times New Roman" w:hAnsi="Times New Roman" w:eastAsia="黑体" w:cstheme="minorBidi"/>
          <w:color w:val="auto"/>
          <w:sz w:val="28"/>
          <w:szCs w:val="28"/>
          <w:highlight w:val="none"/>
        </w:rPr>
      </w:pPr>
    </w:p>
    <w:p>
      <w:pPr>
        <w:pStyle w:val="13"/>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公开时间：20</w:t>
      </w:r>
      <w:r>
        <w:rPr>
          <w:rFonts w:hint="eastAsia" w:ascii="Times New Roman" w:hAnsi="Times New Roman" w:eastAsia="仿宋_GB2312" w:cs="仿宋_GB2312"/>
          <w:color w:val="auto"/>
          <w:sz w:val="32"/>
          <w:szCs w:val="32"/>
          <w:highlight w:val="none"/>
          <w:lang w:val="en-US" w:eastAsia="zh-CN"/>
        </w:rPr>
        <w:t>24</w:t>
      </w:r>
      <w:r>
        <w:rPr>
          <w:rFonts w:hint="eastAsia" w:ascii="Times New Roman" w:hAnsi="Times New Roman" w:eastAsia="仿宋_GB2312" w:cs="仿宋_GB2312"/>
          <w:color w:val="auto"/>
          <w:sz w:val="32"/>
          <w:szCs w:val="32"/>
          <w:highlight w:val="none"/>
        </w:rPr>
        <w:t>年</w:t>
      </w:r>
      <w:r>
        <w:rPr>
          <w:rFonts w:hint="eastAsia" w:ascii="Times New Roman" w:hAnsi="Times New Roman" w:eastAsia="仿宋_GB2312" w:cs="仿宋_GB2312"/>
          <w:color w:val="auto"/>
          <w:sz w:val="32"/>
          <w:szCs w:val="32"/>
          <w:highlight w:val="none"/>
          <w:lang w:val="en-US" w:eastAsia="zh-CN"/>
        </w:rPr>
        <w:t xml:space="preserve">  </w:t>
      </w:r>
      <w:r>
        <w:rPr>
          <w:rFonts w:hint="eastAsia" w:ascii="Times New Roman" w:hAnsi="Times New Roman" w:eastAsia="仿宋_GB2312" w:cs="仿宋_GB2312"/>
          <w:color w:val="auto"/>
          <w:sz w:val="32"/>
          <w:szCs w:val="32"/>
          <w:highlight w:val="none"/>
        </w:rPr>
        <w:t>月</w:t>
      </w:r>
      <w:r>
        <w:rPr>
          <w:rFonts w:hint="eastAsia" w:ascii="Times New Roman" w:hAnsi="Times New Roman" w:eastAsia="仿宋_GB2312" w:cs="仿宋_GB2312"/>
          <w:color w:val="auto"/>
          <w:sz w:val="32"/>
          <w:szCs w:val="32"/>
          <w:highlight w:val="none"/>
          <w:lang w:val="en-US" w:eastAsia="zh-CN"/>
        </w:rPr>
        <w:t xml:space="preserve">  </w:t>
      </w:r>
      <w:r>
        <w:rPr>
          <w:rFonts w:hint="eastAsia" w:ascii="Times New Roman" w:hAnsi="Times New Roman" w:eastAsia="仿宋_GB2312" w:cs="仿宋_GB2312"/>
          <w:color w:val="auto"/>
          <w:sz w:val="32"/>
          <w:szCs w:val="32"/>
          <w:highlight w:val="none"/>
        </w:rPr>
        <w:t>日</w:t>
      </w:r>
    </w:p>
    <w:p>
      <w:pPr>
        <w:rPr>
          <w:rFonts w:ascii="Times New Roman" w:hAnsi="Times New Roman"/>
          <w:color w:val="auto"/>
          <w:highlight w:val="none"/>
        </w:rPr>
      </w:pPr>
    </w:p>
    <w:p>
      <w:pPr>
        <w:pStyle w:val="13"/>
        <w:keepNext w:val="0"/>
        <w:keepLines w:val="0"/>
        <w:pageBreakBefore w:val="0"/>
        <w:kinsoku/>
        <w:wordWrap/>
        <w:overflowPunct/>
        <w:topLinePunct w:val="0"/>
        <w:autoSpaceDE/>
        <w:autoSpaceDN/>
        <w:bidi w:val="0"/>
        <w:adjustRightInd w:val="0"/>
        <w:snapToGrid w:val="0"/>
        <w:spacing w:before="0" w:line="560" w:lineRule="exact"/>
        <w:jc w:val="left"/>
        <w:textAlignment w:val="auto"/>
        <w:rPr>
          <w:rFonts w:hint="eastAsia" w:ascii="Times New Roman" w:hAnsi="Times New Roman" w:eastAsia="黑体" w:cs="黑体"/>
          <w:color w:val="auto"/>
          <w:sz w:val="32"/>
          <w:szCs w:val="32"/>
          <w:highlight w:val="none"/>
        </w:rPr>
      </w:pPr>
      <w:r>
        <w:rPr>
          <w:rFonts w:hint="eastAsia" w:ascii="Times New Roman" w:hAnsi="Times New Roman" w:eastAsia="黑体" w:cs="黑体"/>
          <w:color w:val="auto"/>
          <w:sz w:val="32"/>
          <w:szCs w:val="32"/>
          <w:highlight w:val="none"/>
        </w:rPr>
        <w:t>第一部分 部门概况</w:t>
      </w:r>
    </w:p>
    <w:p>
      <w:pPr>
        <w:pStyle w:val="14"/>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pPr>
      <w:r>
        <w:rPr>
          <w:rFonts w:hint="eastAsia" w:ascii="Times New Roman" w:hAnsi="Times New Roman" w:eastAsia="仿宋_GB2312" w:cs="仿宋_GB2312"/>
          <w:color w:val="auto"/>
          <w:sz w:val="32"/>
          <w:szCs w:val="32"/>
          <w:highlight w:val="none"/>
        </w:rPr>
        <w:t>一、</w:t>
      </w:r>
      <w:r>
        <w:rPr>
          <w:rFonts w:hint="eastAsia" w:ascii="Times New Roman" w:hAnsi="Times New Roman" w:eastAsia="仿宋_GB2312" w:cs="仿宋_GB2312"/>
          <w:color w:val="auto"/>
          <w:sz w:val="32"/>
          <w:szCs w:val="32"/>
          <w:highlight w:val="none"/>
          <w:lang w:eastAsia="zh-CN"/>
        </w:rPr>
        <w:t>部门职责</w:t>
      </w:r>
    </w:p>
    <w:p>
      <w:pPr>
        <w:keepNext w:val="0"/>
        <w:keepLines w:val="0"/>
        <w:pageBreakBefore w:val="0"/>
        <w:widowControl/>
        <w:suppressLineNumbers w:val="0"/>
        <w:kinsoku/>
        <w:wordWrap/>
        <w:overflowPunct/>
        <w:topLinePunct w:val="0"/>
        <w:autoSpaceDE/>
        <w:autoSpaceDN/>
        <w:bidi w:val="0"/>
        <w:adjustRightInd/>
        <w:snapToGrid/>
        <w:ind w:firstLine="640" w:firstLineChars="200"/>
        <w:jc w:val="left"/>
        <w:textAlignment w:val="auto"/>
        <w:rPr>
          <w:rFonts w:hint="eastAsia"/>
        </w:rPr>
      </w:pPr>
      <w:r>
        <w:rPr>
          <w:rFonts w:hint="eastAsia" w:ascii="仿宋_GB2312" w:hAnsi="宋体" w:eastAsia="仿宋_GB2312" w:cs="仿宋_GB2312"/>
          <w:color w:val="000000"/>
          <w:kern w:val="0"/>
          <w:sz w:val="32"/>
          <w:szCs w:val="32"/>
          <w:lang w:val="en-US" w:eastAsia="zh-CN" w:bidi="ar"/>
        </w:rPr>
        <w:t>负责文化宣传、广播电视、文艺演出、群众体育等公益服务工作；负责文化旅游项目建设、服务、推广等有关工作；完成镇党委、政府交办的其他工作。</w:t>
      </w:r>
    </w:p>
    <w:p>
      <w:pPr>
        <w:pStyle w:val="14"/>
        <w:keepNext w:val="0"/>
        <w:keepLines w:val="0"/>
        <w:pageBreakBefore w:val="0"/>
        <w:widowControl w:val="0"/>
        <w:numPr>
          <w:ilvl w:val="0"/>
          <w:numId w:val="1"/>
        </w:numPr>
        <w:kinsoku/>
        <w:wordWrap/>
        <w:overflowPunct/>
        <w:topLinePunct w:val="0"/>
        <w:autoSpaceDE/>
        <w:autoSpaceDN/>
        <w:bidi w:val="0"/>
        <w:adjustRightInd w:val="0"/>
        <w:snapToGrid w:val="0"/>
        <w:spacing w:line="560" w:lineRule="exact"/>
        <w:ind w:left="0" w:leftChars="0" w:firstLine="640" w:firstLineChars="200"/>
        <w:jc w:val="left"/>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机构设置</w:t>
      </w:r>
    </w:p>
    <w:p>
      <w:pPr>
        <w:pStyle w:val="14"/>
        <w:keepNext w:val="0"/>
        <w:keepLines w:val="0"/>
        <w:pageBreakBefore w:val="0"/>
        <w:widowControl w:val="0"/>
        <w:numPr>
          <w:numId w:val="0"/>
        </w:numPr>
        <w:kinsoku/>
        <w:wordWrap/>
        <w:overflowPunct/>
        <w:topLinePunct w:val="0"/>
        <w:autoSpaceDE/>
        <w:autoSpaceDN/>
        <w:bidi w:val="0"/>
        <w:adjustRightInd w:val="0"/>
        <w:snapToGrid w:val="0"/>
        <w:spacing w:line="560" w:lineRule="exact"/>
        <w:ind w:firstLine="640" w:firstLineChars="200"/>
        <w:jc w:val="left"/>
        <w:textAlignment w:val="auto"/>
        <w:rPr>
          <w:rFonts w:hint="eastAsia" w:ascii="Times New Roman" w:hAnsi="Times New Roman" w:eastAsia="仿宋_GB2312" w:cs="仿宋_GB2312"/>
          <w:color w:val="auto"/>
          <w:sz w:val="32"/>
          <w:szCs w:val="32"/>
          <w:highlight w:val="none"/>
        </w:rPr>
      </w:pPr>
      <w:r>
        <w:rPr>
          <w:rFonts w:ascii="仿宋_GB2312" w:hAnsi="宋体" w:eastAsia="仿宋_GB2312" w:cs="仿宋_GB2312"/>
          <w:color w:val="000000"/>
          <w:kern w:val="0"/>
          <w:sz w:val="32"/>
          <w:szCs w:val="32"/>
          <w:lang w:val="en-US" w:eastAsia="zh-CN" w:bidi="ar"/>
        </w:rPr>
        <w:t>核定全额拨款事业编制</w:t>
      </w:r>
      <w:bookmarkStart w:id="82" w:name="_GoBack"/>
      <w:bookmarkEnd w:id="82"/>
      <w:r>
        <w:rPr>
          <w:rFonts w:ascii="仿宋_GB2312" w:hAnsi="宋体" w:eastAsia="仿宋_GB2312" w:cs="仿宋_GB2312"/>
          <w:color w:val="000000"/>
          <w:kern w:val="0"/>
          <w:sz w:val="32"/>
          <w:szCs w:val="32"/>
          <w:lang w:val="en-US" w:eastAsia="zh-CN" w:bidi="ar"/>
        </w:rPr>
        <w:t>3名，设主任1名（股级）。</w:t>
      </w:r>
    </w:p>
    <w:p>
      <w:pPr>
        <w:pStyle w:val="13"/>
        <w:keepNext w:val="0"/>
        <w:keepLines w:val="0"/>
        <w:pageBreakBefore w:val="0"/>
        <w:kinsoku/>
        <w:wordWrap/>
        <w:overflowPunct/>
        <w:topLinePunct w:val="0"/>
        <w:autoSpaceDE/>
        <w:autoSpaceDN/>
        <w:bidi w:val="0"/>
        <w:adjustRightInd w:val="0"/>
        <w:snapToGrid w:val="0"/>
        <w:spacing w:before="0" w:line="560" w:lineRule="exact"/>
        <w:jc w:val="left"/>
        <w:textAlignment w:val="auto"/>
        <w:rPr>
          <w:rFonts w:hint="eastAsia" w:ascii="Times New Roman" w:hAnsi="Times New Roman" w:eastAsia="黑体" w:cs="黑体"/>
          <w:color w:val="auto"/>
          <w:sz w:val="32"/>
          <w:szCs w:val="32"/>
          <w:highlight w:val="none"/>
        </w:rPr>
      </w:pPr>
      <w:r>
        <w:rPr>
          <w:rFonts w:hint="eastAsia" w:ascii="Times New Roman" w:hAnsi="Times New Roman" w:eastAsia="黑体" w:cs="黑体"/>
          <w:color w:val="auto"/>
          <w:sz w:val="32"/>
          <w:szCs w:val="32"/>
          <w:highlight w:val="none"/>
        </w:rPr>
        <w:t>第二部分</w:t>
      </w:r>
      <w:r>
        <w:rPr>
          <w:rFonts w:hint="eastAsia" w:ascii="Times New Roman" w:hAnsi="Times New Roman" w:eastAsia="黑体" w:cs="黑体"/>
          <w:color w:val="auto"/>
          <w:sz w:val="32"/>
          <w:szCs w:val="32"/>
          <w:highlight w:val="none"/>
          <w:lang w:val="en-US" w:eastAsia="zh-CN"/>
        </w:rPr>
        <w:t xml:space="preserve"> 2024年度</w:t>
      </w:r>
      <w:r>
        <w:rPr>
          <w:rFonts w:hint="eastAsia" w:ascii="Times New Roman" w:hAnsi="Times New Roman" w:eastAsia="黑体" w:cs="黑体"/>
          <w:color w:val="auto"/>
          <w:sz w:val="32"/>
          <w:szCs w:val="32"/>
          <w:highlight w:val="none"/>
        </w:rPr>
        <w:t>部门决算情况说明</w:t>
      </w:r>
    </w:p>
    <w:p>
      <w:pPr>
        <w:pStyle w:val="14"/>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一、收入支出决算总体情况说明</w:t>
      </w:r>
    </w:p>
    <w:p>
      <w:pPr>
        <w:pStyle w:val="14"/>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二、收入决算情况说明</w:t>
      </w:r>
    </w:p>
    <w:p>
      <w:pPr>
        <w:pStyle w:val="14"/>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三、支出决算情况说明</w:t>
      </w:r>
    </w:p>
    <w:p>
      <w:pPr>
        <w:pStyle w:val="14"/>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四、财政拨款收入支出决算总体情况说明</w:t>
      </w:r>
    </w:p>
    <w:p>
      <w:pPr>
        <w:pStyle w:val="14"/>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五、一般公共预算财政拨款支出决算情况说明</w:t>
      </w:r>
    </w:p>
    <w:p>
      <w:pPr>
        <w:pStyle w:val="14"/>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六、一般公共预算财政拨款基本支出决算情况说明</w:t>
      </w:r>
    </w:p>
    <w:p>
      <w:pPr>
        <w:pStyle w:val="14"/>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七、财政拨款</w:t>
      </w:r>
      <w:r>
        <w:rPr>
          <w:rFonts w:hint="eastAsia" w:ascii="Times New Roman" w:hAnsi="Times New Roman" w:eastAsia="仿宋_GB2312" w:cs="仿宋_GB2312"/>
          <w:color w:val="auto"/>
          <w:sz w:val="32"/>
          <w:szCs w:val="32"/>
          <w:highlight w:val="none"/>
          <w:lang w:eastAsia="zh-CN"/>
        </w:rPr>
        <w:t>“</w:t>
      </w:r>
      <w:r>
        <w:rPr>
          <w:rFonts w:hint="eastAsia" w:ascii="Times New Roman" w:hAnsi="Times New Roman" w:eastAsia="仿宋_GB2312" w:cs="仿宋_GB2312"/>
          <w:color w:val="auto"/>
          <w:sz w:val="32"/>
          <w:szCs w:val="32"/>
          <w:highlight w:val="none"/>
        </w:rPr>
        <w:t>三公”经费支出决算情况说明</w:t>
      </w:r>
    </w:p>
    <w:p>
      <w:pPr>
        <w:pStyle w:val="14"/>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八、政府性基金预算支出决算情况说明</w:t>
      </w:r>
    </w:p>
    <w:p>
      <w:pPr>
        <w:pStyle w:val="14"/>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九、</w:t>
      </w:r>
      <w:r>
        <w:rPr>
          <w:rFonts w:hint="eastAsia" w:ascii="Times New Roman" w:hAnsi="Times New Roman" w:eastAsia="仿宋_GB2312" w:cs="仿宋_GB2312"/>
          <w:color w:val="auto"/>
          <w:sz w:val="32"/>
          <w:szCs w:val="32"/>
          <w:highlight w:val="none"/>
          <w:lang w:eastAsia="zh-CN"/>
        </w:rPr>
        <w:t>国</w:t>
      </w:r>
      <w:r>
        <w:rPr>
          <w:rFonts w:hint="eastAsia" w:ascii="Times New Roman" w:hAnsi="Times New Roman" w:eastAsia="仿宋_GB2312" w:cs="仿宋_GB2312"/>
          <w:color w:val="auto"/>
          <w:sz w:val="32"/>
          <w:szCs w:val="32"/>
          <w:highlight w:val="none"/>
        </w:rPr>
        <w:t>有资本经营预算支出决算情况说明</w:t>
      </w:r>
    </w:p>
    <w:p>
      <w:pPr>
        <w:pStyle w:val="14"/>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lang w:eastAsia="zh-CN"/>
        </w:rPr>
        <w:t>十</w:t>
      </w:r>
      <w:r>
        <w:rPr>
          <w:rFonts w:hint="eastAsia" w:ascii="Times New Roman" w:hAnsi="Times New Roman" w:eastAsia="仿宋_GB2312" w:cs="仿宋_GB2312"/>
          <w:color w:val="auto"/>
          <w:sz w:val="32"/>
          <w:szCs w:val="32"/>
          <w:highlight w:val="none"/>
        </w:rPr>
        <w:t>、其他重要事项的情况说明</w:t>
      </w:r>
    </w:p>
    <w:p>
      <w:pPr>
        <w:pStyle w:val="13"/>
        <w:keepNext w:val="0"/>
        <w:keepLines w:val="0"/>
        <w:pageBreakBefore w:val="0"/>
        <w:kinsoku/>
        <w:wordWrap/>
        <w:overflowPunct/>
        <w:topLinePunct w:val="0"/>
        <w:autoSpaceDE/>
        <w:autoSpaceDN/>
        <w:bidi w:val="0"/>
        <w:adjustRightInd w:val="0"/>
        <w:snapToGrid w:val="0"/>
        <w:spacing w:before="0" w:line="560" w:lineRule="exact"/>
        <w:jc w:val="left"/>
        <w:textAlignment w:val="auto"/>
        <w:rPr>
          <w:rFonts w:hint="eastAsia" w:ascii="Times New Roman" w:hAnsi="Times New Roman" w:eastAsia="黑体" w:cs="黑体"/>
          <w:color w:val="auto"/>
          <w:sz w:val="32"/>
          <w:szCs w:val="32"/>
          <w:highlight w:val="none"/>
        </w:rPr>
      </w:pPr>
      <w:r>
        <w:rPr>
          <w:rFonts w:hint="eastAsia" w:ascii="Times New Roman" w:hAnsi="Times New Roman" w:eastAsia="黑体" w:cs="黑体"/>
          <w:color w:val="auto"/>
          <w:sz w:val="32"/>
          <w:szCs w:val="32"/>
          <w:highlight w:val="none"/>
        </w:rPr>
        <w:t>第三部分 名词解释</w:t>
      </w:r>
    </w:p>
    <w:p>
      <w:pPr>
        <w:pStyle w:val="13"/>
        <w:keepNext w:val="0"/>
        <w:keepLines w:val="0"/>
        <w:pageBreakBefore w:val="0"/>
        <w:kinsoku/>
        <w:wordWrap/>
        <w:overflowPunct/>
        <w:topLinePunct w:val="0"/>
        <w:autoSpaceDE/>
        <w:autoSpaceDN/>
        <w:bidi w:val="0"/>
        <w:adjustRightInd w:val="0"/>
        <w:snapToGrid w:val="0"/>
        <w:spacing w:before="0" w:line="560" w:lineRule="exact"/>
        <w:jc w:val="left"/>
        <w:textAlignment w:val="auto"/>
        <w:rPr>
          <w:rFonts w:hint="eastAsia" w:ascii="Times New Roman" w:hAnsi="Times New Roman" w:eastAsia="黑体" w:cs="黑体"/>
          <w:color w:val="auto"/>
          <w:sz w:val="32"/>
          <w:szCs w:val="32"/>
          <w:highlight w:val="none"/>
        </w:rPr>
      </w:pPr>
      <w:r>
        <w:rPr>
          <w:rFonts w:hint="eastAsia" w:ascii="Times New Roman" w:hAnsi="Times New Roman" w:eastAsia="黑体" w:cs="黑体"/>
          <w:color w:val="auto"/>
          <w:sz w:val="32"/>
          <w:szCs w:val="32"/>
          <w:highlight w:val="none"/>
        </w:rPr>
        <w:t>第四部分 附件</w:t>
      </w:r>
    </w:p>
    <w:p>
      <w:pPr>
        <w:pStyle w:val="13"/>
        <w:keepNext w:val="0"/>
        <w:keepLines w:val="0"/>
        <w:pageBreakBefore w:val="0"/>
        <w:kinsoku/>
        <w:wordWrap/>
        <w:overflowPunct/>
        <w:topLinePunct w:val="0"/>
        <w:autoSpaceDE/>
        <w:autoSpaceDN/>
        <w:bidi w:val="0"/>
        <w:adjustRightInd w:val="0"/>
        <w:snapToGrid w:val="0"/>
        <w:spacing w:before="0" w:line="560" w:lineRule="exact"/>
        <w:jc w:val="left"/>
        <w:textAlignment w:val="auto"/>
        <w:rPr>
          <w:rFonts w:hint="eastAsia" w:ascii="Times New Roman" w:hAnsi="Times New Roman" w:eastAsia="黑体" w:cs="黑体"/>
          <w:color w:val="auto"/>
          <w:sz w:val="32"/>
          <w:szCs w:val="32"/>
          <w:highlight w:val="none"/>
        </w:rPr>
      </w:pPr>
      <w:r>
        <w:rPr>
          <w:rFonts w:hint="eastAsia" w:ascii="Times New Roman" w:hAnsi="Times New Roman" w:eastAsia="黑体" w:cs="黑体"/>
          <w:color w:val="auto"/>
          <w:sz w:val="32"/>
          <w:szCs w:val="32"/>
          <w:highlight w:val="none"/>
        </w:rPr>
        <w:t>第五部分 附表</w:t>
      </w:r>
    </w:p>
    <w:p>
      <w:pPr>
        <w:pStyle w:val="14"/>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一、收入支出决算总表</w:t>
      </w:r>
    </w:p>
    <w:p>
      <w:pPr>
        <w:pStyle w:val="14"/>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二、收入决算表</w:t>
      </w:r>
    </w:p>
    <w:p>
      <w:pPr>
        <w:pStyle w:val="14"/>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三、支出决算表</w:t>
      </w:r>
    </w:p>
    <w:p>
      <w:pPr>
        <w:pStyle w:val="14"/>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四、财政拨款收入支出决算总表</w:t>
      </w:r>
    </w:p>
    <w:p>
      <w:pPr>
        <w:pStyle w:val="14"/>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五、财政拨款支出决算明细表</w:t>
      </w:r>
    </w:p>
    <w:p>
      <w:pPr>
        <w:pStyle w:val="14"/>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六、一般公共预算财政拨款支出决算表</w:t>
      </w:r>
    </w:p>
    <w:p>
      <w:pPr>
        <w:pStyle w:val="14"/>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七、一般公共预算财政拨款支出决算明细表</w:t>
      </w:r>
    </w:p>
    <w:p>
      <w:pPr>
        <w:pStyle w:val="14"/>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八、一般公共预算财政拨款基本支出决算</w:t>
      </w:r>
      <w:r>
        <w:rPr>
          <w:rFonts w:hint="eastAsia" w:ascii="Times New Roman" w:hAnsi="Times New Roman" w:eastAsia="仿宋_GB2312" w:cs="仿宋_GB2312"/>
          <w:color w:val="auto"/>
          <w:sz w:val="32"/>
          <w:szCs w:val="32"/>
          <w:highlight w:val="none"/>
          <w:lang w:eastAsia="zh-CN"/>
        </w:rPr>
        <w:t>明细</w:t>
      </w:r>
      <w:r>
        <w:rPr>
          <w:rFonts w:hint="eastAsia" w:ascii="Times New Roman" w:hAnsi="Times New Roman" w:eastAsia="仿宋_GB2312" w:cs="仿宋_GB2312"/>
          <w:color w:val="auto"/>
          <w:sz w:val="32"/>
          <w:szCs w:val="32"/>
          <w:highlight w:val="none"/>
        </w:rPr>
        <w:t>表</w:t>
      </w:r>
    </w:p>
    <w:p>
      <w:pPr>
        <w:pStyle w:val="14"/>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九、一般公共预算财政拨款项目支出决算表</w:t>
      </w:r>
    </w:p>
    <w:p>
      <w:pPr>
        <w:pStyle w:val="14"/>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十、政府性基金预算财政拨款收入支出决算表</w:t>
      </w:r>
    </w:p>
    <w:p>
      <w:pPr>
        <w:pStyle w:val="14"/>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十一、国有资本经营预算财政拨款收入支出决算表</w:t>
      </w:r>
    </w:p>
    <w:p>
      <w:pPr>
        <w:pStyle w:val="14"/>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十二、</w:t>
      </w:r>
      <w:r>
        <w:rPr>
          <w:rFonts w:hint="eastAsia" w:ascii="Times New Roman" w:hAnsi="Times New Roman" w:eastAsia="仿宋_GB2312" w:cs="仿宋_GB2312"/>
          <w:color w:val="auto"/>
          <w:sz w:val="32"/>
          <w:szCs w:val="32"/>
          <w:highlight w:val="none"/>
          <w:lang w:val="en-US" w:eastAsia="zh-CN"/>
        </w:rPr>
        <w:t>国有资本经营预算财政拨款支出决算表</w:t>
      </w:r>
    </w:p>
    <w:p>
      <w:pPr>
        <w:pStyle w:val="14"/>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十三、财政拨款“三公”经费支出决算表</w:t>
      </w:r>
    </w:p>
    <w:p>
      <w:pPr>
        <w:pStyle w:val="14"/>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jc w:val="left"/>
        <w:textAlignment w:val="auto"/>
        <w:rPr>
          <w:rFonts w:hint="eastAsia" w:ascii="Times New Roman" w:hAnsi="Times New Roman" w:eastAsia="仿宋_GB2312" w:cs="仿宋_GB2312"/>
          <w:b/>
          <w:bCs/>
          <w:color w:val="auto"/>
          <w:sz w:val="32"/>
          <w:szCs w:val="32"/>
          <w:highlight w:val="none"/>
          <w:lang w:eastAsia="zh-CN"/>
        </w:rPr>
      </w:pPr>
      <w:r>
        <w:rPr>
          <w:rFonts w:hint="eastAsia" w:ascii="Times New Roman" w:hAnsi="Times New Roman" w:eastAsia="仿宋_GB2312" w:cs="仿宋_GB2312"/>
          <w:b/>
          <w:bCs/>
          <w:color w:val="auto"/>
          <w:sz w:val="32"/>
          <w:szCs w:val="32"/>
          <w:highlight w:val="none"/>
          <w:lang w:eastAsia="zh-CN"/>
        </w:rPr>
        <w:t>（</w:t>
      </w:r>
      <w:r>
        <w:rPr>
          <w:rFonts w:hint="eastAsia" w:ascii="Times New Roman" w:hAnsi="Times New Roman" w:eastAsia="仿宋_GB2312" w:cs="仿宋_GB2312"/>
          <w:b/>
          <w:bCs/>
          <w:color w:val="auto"/>
          <w:sz w:val="32"/>
          <w:szCs w:val="32"/>
          <w:highlight w:val="none"/>
        </w:rPr>
        <w:t>注：请部门根据实际注明页码</w:t>
      </w:r>
      <w:r>
        <w:rPr>
          <w:rFonts w:hint="eastAsia" w:ascii="Times New Roman" w:hAnsi="Times New Roman" w:eastAsia="仿宋_GB2312" w:cs="仿宋_GB2312"/>
          <w:b/>
          <w:bCs/>
          <w:color w:val="auto"/>
          <w:sz w:val="32"/>
          <w:szCs w:val="32"/>
          <w:highlight w:val="none"/>
          <w:lang w:eastAsia="zh-CN"/>
        </w:rPr>
        <w:t>）</w:t>
      </w:r>
    </w:p>
    <w:p>
      <w:pPr>
        <w:keepNext w:val="0"/>
        <w:keepLines w:val="0"/>
        <w:pageBreakBefore w:val="0"/>
        <w:widowControl/>
        <w:kinsoku/>
        <w:wordWrap/>
        <w:overflowPunct/>
        <w:topLinePunct w:val="0"/>
        <w:autoSpaceDE/>
        <w:autoSpaceDN/>
        <w:bidi w:val="0"/>
        <w:spacing w:line="560" w:lineRule="exact"/>
        <w:jc w:val="left"/>
        <w:textAlignment w:val="auto"/>
        <w:rPr>
          <w:rFonts w:hint="eastAsia" w:ascii="Times New Roman" w:hAnsi="Times New Roman" w:eastAsia="仿宋_GB2312" w:cs="仿宋_GB2312"/>
          <w:bCs/>
          <w:color w:val="auto"/>
          <w:kern w:val="44"/>
          <w:sz w:val="32"/>
          <w:szCs w:val="32"/>
          <w:highlight w:val="none"/>
        </w:rPr>
      </w:pPr>
      <w:bookmarkStart w:id="12" w:name="_Toc15377196"/>
      <w:bookmarkStart w:id="13" w:name="_Toc15396599"/>
      <w:r>
        <w:rPr>
          <w:rFonts w:hint="eastAsia" w:ascii="Times New Roman" w:hAnsi="Times New Roman" w:eastAsia="仿宋_GB2312" w:cs="仿宋_GB2312"/>
          <w:b/>
          <w:color w:val="auto"/>
          <w:sz w:val="32"/>
          <w:szCs w:val="32"/>
          <w:highlight w:val="none"/>
        </w:rPr>
        <w:br w:type="page"/>
      </w:r>
    </w:p>
    <w:p>
      <w:pPr>
        <w:pStyle w:val="5"/>
        <w:jc w:val="center"/>
        <w:rPr>
          <w:rStyle w:val="28"/>
          <w:rFonts w:hint="eastAsia" w:ascii="Times New Roman" w:hAnsi="Times New Roman" w:eastAsia="方正小标宋简体" w:cs="方正小标宋简体"/>
          <w:b/>
          <w:bCs w:val="0"/>
          <w:color w:val="auto"/>
          <w:highlight w:val="none"/>
        </w:rPr>
      </w:pPr>
      <w:r>
        <w:rPr>
          <w:rFonts w:hint="eastAsia" w:ascii="Times New Roman" w:hAnsi="Times New Roman" w:eastAsia="方正小标宋简体" w:cs="方正小标宋简体"/>
          <w:b w:val="0"/>
          <w:color w:val="auto"/>
          <w:highlight w:val="none"/>
        </w:rPr>
        <w:t>第一部分</w:t>
      </w:r>
      <w:r>
        <w:rPr>
          <w:rFonts w:hint="eastAsia" w:ascii="Times New Roman" w:hAnsi="Times New Roman" w:eastAsia="方正小标宋简体" w:cs="方正小标宋简体"/>
          <w:b w:val="0"/>
          <w:color w:val="auto"/>
          <w:highlight w:val="none"/>
          <w:lang w:val="en-US" w:eastAsia="zh-CN"/>
        </w:rPr>
        <w:t xml:space="preserve"> </w:t>
      </w:r>
      <w:r>
        <w:rPr>
          <w:rFonts w:hint="eastAsia" w:ascii="Times New Roman" w:hAnsi="Times New Roman" w:eastAsia="方正小标宋简体" w:cs="方正小标宋简体"/>
          <w:b w:val="0"/>
          <w:color w:val="auto"/>
          <w:highlight w:val="none"/>
        </w:rPr>
        <w:t xml:space="preserve"> </w:t>
      </w:r>
      <w:r>
        <w:rPr>
          <w:rStyle w:val="28"/>
          <w:rFonts w:hint="eastAsia" w:ascii="Times New Roman" w:hAnsi="Times New Roman" w:eastAsia="方正小标宋简体" w:cs="方正小标宋简体"/>
          <w:b w:val="0"/>
          <w:bCs w:val="0"/>
          <w:color w:val="auto"/>
          <w:highlight w:val="none"/>
        </w:rPr>
        <w:t>部门概况</w:t>
      </w:r>
      <w:bookmarkEnd w:id="12"/>
      <w:bookmarkEnd w:id="13"/>
    </w:p>
    <w:p>
      <w:pPr>
        <w:widowControl/>
        <w:jc w:val="left"/>
        <w:rPr>
          <w:rFonts w:ascii="Times New Roman" w:hAnsi="Times New Roman" w:eastAsia="黑体"/>
          <w:color w:val="auto"/>
          <w:sz w:val="32"/>
          <w:szCs w:val="32"/>
          <w:highlight w:val="none"/>
        </w:rPr>
      </w:pPr>
    </w:p>
    <w:p>
      <w:pPr>
        <w:pStyle w:val="6"/>
        <w:rPr>
          <w:rStyle w:val="29"/>
          <w:rFonts w:hint="eastAsia" w:ascii="Times New Roman" w:hAnsi="Times New Roman" w:eastAsia="黑体"/>
          <w:b w:val="0"/>
          <w:bCs w:val="0"/>
          <w:color w:val="auto"/>
          <w:highlight w:val="yellow"/>
          <w:lang w:eastAsia="zh-CN"/>
        </w:rPr>
      </w:pPr>
      <w:bookmarkStart w:id="14" w:name="_Toc15377197"/>
      <w:bookmarkStart w:id="15" w:name="_Toc15396600"/>
      <w:r>
        <w:rPr>
          <w:rFonts w:hint="eastAsia" w:ascii="Times New Roman" w:hAnsi="Times New Roman" w:eastAsia="黑体"/>
          <w:b w:val="0"/>
          <w:color w:val="auto"/>
          <w:highlight w:val="yellow"/>
        </w:rPr>
        <w:t>一、</w:t>
      </w:r>
      <w:bookmarkEnd w:id="14"/>
      <w:bookmarkEnd w:id="15"/>
      <w:r>
        <w:rPr>
          <w:rFonts w:hint="eastAsia" w:ascii="Times New Roman" w:hAnsi="Times New Roman" w:eastAsia="黑体"/>
          <w:b w:val="0"/>
          <w:color w:val="auto"/>
          <w:highlight w:val="yellow"/>
          <w:lang w:eastAsia="zh-CN"/>
        </w:rPr>
        <w:t>部门职责</w:t>
      </w:r>
    </w:p>
    <w:p>
      <w:pPr>
        <w:pStyle w:val="6"/>
        <w:rPr>
          <w:rStyle w:val="29"/>
          <w:rFonts w:ascii="Times New Roman" w:hAnsi="Times New Roman"/>
          <w:b w:val="0"/>
          <w:bCs w:val="0"/>
          <w:color w:val="auto"/>
          <w:highlight w:val="yellow"/>
        </w:rPr>
      </w:pPr>
      <w:bookmarkStart w:id="16" w:name="_Toc15396601"/>
      <w:bookmarkStart w:id="17" w:name="_Toc15377200"/>
      <w:r>
        <w:rPr>
          <w:rFonts w:hint="eastAsia" w:ascii="Times New Roman" w:hAnsi="Times New Roman" w:eastAsia="黑体"/>
          <w:b w:val="0"/>
          <w:color w:val="auto"/>
          <w:highlight w:val="yellow"/>
        </w:rPr>
        <w:t>二、机</w:t>
      </w:r>
      <w:r>
        <w:rPr>
          <w:rStyle w:val="29"/>
          <w:rFonts w:hint="eastAsia" w:ascii="Times New Roman" w:hAnsi="Times New Roman" w:eastAsia="黑体"/>
          <w:b w:val="0"/>
          <w:bCs w:val="0"/>
          <w:color w:val="auto"/>
          <w:highlight w:val="yellow"/>
        </w:rPr>
        <w:t>构设置</w:t>
      </w:r>
      <w:bookmarkEnd w:id="16"/>
      <w:bookmarkEnd w:id="17"/>
    </w:p>
    <w:p>
      <w:pPr>
        <w:ind w:firstLine="800" w:firstLineChars="250"/>
        <w:rPr>
          <w:rFonts w:hint="eastAsia" w:ascii="Times New Roman" w:hAnsi="Times New Roman" w:eastAsia="仿宋_GB2312" w:cs="仿宋_GB2312"/>
          <w:color w:val="auto"/>
          <w:sz w:val="32"/>
          <w:szCs w:val="32"/>
          <w:highlight w:val="yellow"/>
        </w:rPr>
      </w:pPr>
      <w:r>
        <w:rPr>
          <w:rFonts w:hint="eastAsia" w:ascii="仿宋_GB2312" w:hAnsi="仿宋_GB2312" w:eastAsia="仿宋_GB2312" w:cs="仿宋_GB2312"/>
          <w:color w:val="auto"/>
          <w:sz w:val="32"/>
          <w:szCs w:val="32"/>
          <w:highlight w:val="yellow"/>
        </w:rPr>
        <w:t>乐山市五通桥区石麟镇文化旅游服务中心</w:t>
      </w:r>
      <w:r>
        <w:rPr>
          <w:rFonts w:hint="eastAsia" w:ascii="Times New Roman" w:hAnsi="Times New Roman" w:eastAsia="仿宋_GB2312" w:cs="仿宋_GB2312"/>
          <w:color w:val="auto"/>
          <w:sz w:val="32"/>
          <w:szCs w:val="32"/>
          <w:highlight w:val="yellow"/>
        </w:rPr>
        <w:t>下属二级</w:t>
      </w:r>
      <w:r>
        <w:rPr>
          <w:rFonts w:hint="eastAsia" w:ascii="Times New Roman" w:hAnsi="Times New Roman" w:eastAsia="仿宋_GB2312" w:cs="仿宋_GB2312"/>
          <w:color w:val="auto"/>
          <w:sz w:val="32"/>
          <w:szCs w:val="32"/>
          <w:highlight w:val="yellow"/>
          <w:lang w:eastAsia="zh-CN"/>
        </w:rPr>
        <w:t>预算</w:t>
      </w:r>
      <w:r>
        <w:rPr>
          <w:rFonts w:hint="eastAsia" w:ascii="Times New Roman" w:hAnsi="Times New Roman" w:eastAsia="仿宋_GB2312" w:cs="仿宋_GB2312"/>
          <w:color w:val="auto"/>
          <w:sz w:val="32"/>
          <w:szCs w:val="32"/>
          <w:highlight w:val="yellow"/>
        </w:rPr>
        <w:t>单位**个，其中行政单位**个，参照公务员法管理的事业单位</w:t>
      </w:r>
      <w:r>
        <w:rPr>
          <w:rFonts w:hint="eastAsia" w:ascii="Times New Roman" w:hAnsi="Times New Roman" w:eastAsia="仿宋_GB2312" w:cs="仿宋_GB2312"/>
          <w:bCs/>
          <w:color w:val="auto"/>
          <w:sz w:val="32"/>
          <w:szCs w:val="32"/>
          <w:highlight w:val="yellow"/>
        </w:rPr>
        <w:t>**</w:t>
      </w:r>
      <w:r>
        <w:rPr>
          <w:rFonts w:hint="eastAsia" w:ascii="Times New Roman" w:hAnsi="Times New Roman" w:eastAsia="仿宋_GB2312" w:cs="仿宋_GB2312"/>
          <w:color w:val="auto"/>
          <w:sz w:val="32"/>
          <w:szCs w:val="32"/>
          <w:highlight w:val="yellow"/>
        </w:rPr>
        <w:t>个，其他事业单位**个。</w:t>
      </w:r>
    </w:p>
    <w:p>
      <w:pPr>
        <w:pStyle w:val="8"/>
        <w:adjustRightInd w:val="0"/>
        <w:snapToGrid w:val="0"/>
        <w:spacing w:before="93" w:line="600" w:lineRule="exact"/>
        <w:ind w:firstLine="672" w:firstLineChars="210"/>
        <w:rPr>
          <w:rFonts w:hint="eastAsia" w:ascii="Times New Roman" w:hAnsi="Times New Roman" w:eastAsia="仿宋_GB2312" w:cs="仿宋_GB2312"/>
          <w:color w:val="auto"/>
          <w:sz w:val="32"/>
          <w:szCs w:val="32"/>
          <w:highlight w:val="yellow"/>
        </w:rPr>
      </w:pPr>
      <w:r>
        <w:rPr>
          <w:rFonts w:hint="eastAsia" w:ascii="Times New Roman" w:hAnsi="Times New Roman" w:eastAsia="仿宋_GB2312" w:cs="仿宋_GB2312"/>
          <w:color w:val="auto"/>
          <w:sz w:val="32"/>
          <w:szCs w:val="32"/>
          <w:highlight w:val="yellow"/>
        </w:rPr>
        <w:t>纳入</w:t>
      </w:r>
      <w:r>
        <w:rPr>
          <w:sz w:val="32"/>
          <w:szCs w:val="32"/>
          <w:highlight w:val="yellow"/>
        </w:rPr>
        <w:t>乐山市五通桥区石麟镇文化旅游服务中心</w:t>
      </w:r>
      <w:r>
        <w:rPr>
          <w:rFonts w:hint="eastAsia" w:ascii="Times New Roman" w:hAnsi="Times New Roman" w:eastAsia="仿宋_GB2312" w:cs="仿宋_GB2312"/>
          <w:color w:val="auto"/>
          <w:sz w:val="32"/>
          <w:szCs w:val="32"/>
          <w:highlight w:val="yellow"/>
          <w:lang w:eastAsia="zh-CN"/>
        </w:rPr>
        <w:t>2024年度</w:t>
      </w:r>
      <w:r>
        <w:rPr>
          <w:rFonts w:hint="eastAsia" w:ascii="Times New Roman" w:hAnsi="Times New Roman" w:eastAsia="仿宋_GB2312" w:cs="仿宋_GB2312"/>
          <w:color w:val="auto"/>
          <w:sz w:val="32"/>
          <w:szCs w:val="32"/>
          <w:highlight w:val="yellow"/>
        </w:rPr>
        <w:t>部门决算编制范围的二级预算单位包括：</w:t>
      </w:r>
    </w:p>
    <w:p>
      <w:pPr>
        <w:pStyle w:val="8"/>
        <w:numPr>
          <w:ilvl w:val="0"/>
          <w:numId w:val="2"/>
        </w:numPr>
        <w:adjustRightInd w:val="0"/>
        <w:snapToGrid w:val="0"/>
        <w:spacing w:before="93" w:line="600" w:lineRule="exact"/>
        <w:outlineLvl w:val="2"/>
        <w:rPr>
          <w:rFonts w:hint="eastAsia" w:ascii="Times New Roman" w:hAnsi="Times New Roman" w:eastAsia="仿宋_GB2312" w:cs="仿宋_GB2312"/>
          <w:color w:val="auto"/>
          <w:sz w:val="32"/>
          <w:szCs w:val="32"/>
          <w:highlight w:val="yellow"/>
        </w:rPr>
      </w:pPr>
      <w:bookmarkStart w:id="18" w:name="_Toc15377201"/>
      <w:bookmarkStart w:id="19" w:name="_Toc15306275"/>
      <w:bookmarkStart w:id="20" w:name="_Toc15377432"/>
      <w:bookmarkStart w:id="21" w:name="_Toc15378448"/>
      <w:r>
        <w:rPr>
          <w:rFonts w:hint="eastAsia" w:ascii="Times New Roman" w:hAnsi="Times New Roman" w:eastAsia="仿宋_GB2312" w:cs="仿宋_GB2312"/>
          <w:color w:val="auto"/>
          <w:sz w:val="32"/>
          <w:szCs w:val="32"/>
          <w:highlight w:val="yellow"/>
        </w:rPr>
        <w:t>***</w:t>
      </w:r>
      <w:bookmarkEnd w:id="18"/>
      <w:bookmarkEnd w:id="19"/>
      <w:bookmarkEnd w:id="20"/>
      <w:bookmarkEnd w:id="21"/>
    </w:p>
    <w:p>
      <w:pPr>
        <w:pStyle w:val="8"/>
        <w:numPr>
          <w:ilvl w:val="0"/>
          <w:numId w:val="2"/>
        </w:numPr>
        <w:adjustRightInd w:val="0"/>
        <w:snapToGrid w:val="0"/>
        <w:spacing w:before="93" w:line="600" w:lineRule="exact"/>
        <w:outlineLvl w:val="2"/>
        <w:rPr>
          <w:rFonts w:hint="eastAsia" w:ascii="Times New Roman" w:hAnsi="Times New Roman" w:eastAsia="仿宋_GB2312" w:cs="仿宋_GB2312"/>
          <w:color w:val="auto"/>
          <w:sz w:val="32"/>
          <w:szCs w:val="32"/>
          <w:highlight w:val="yellow"/>
        </w:rPr>
      </w:pPr>
      <w:bookmarkStart w:id="22" w:name="_Toc15377433"/>
      <w:bookmarkStart w:id="23" w:name="_Toc15306276"/>
      <w:bookmarkStart w:id="24" w:name="_Toc15378449"/>
      <w:bookmarkStart w:id="25" w:name="_Toc15377202"/>
      <w:r>
        <w:rPr>
          <w:rFonts w:hint="eastAsia" w:ascii="Times New Roman" w:hAnsi="Times New Roman" w:eastAsia="仿宋_GB2312" w:cs="仿宋_GB2312"/>
          <w:color w:val="auto"/>
          <w:sz w:val="32"/>
          <w:szCs w:val="32"/>
          <w:highlight w:val="yellow"/>
        </w:rPr>
        <w:t>***</w:t>
      </w:r>
      <w:bookmarkEnd w:id="22"/>
      <w:bookmarkEnd w:id="23"/>
      <w:bookmarkEnd w:id="24"/>
      <w:bookmarkEnd w:id="25"/>
    </w:p>
    <w:p>
      <w:pPr>
        <w:pStyle w:val="8"/>
        <w:numPr>
          <w:ilvl w:val="0"/>
          <w:numId w:val="2"/>
        </w:numPr>
        <w:adjustRightInd w:val="0"/>
        <w:snapToGrid w:val="0"/>
        <w:spacing w:before="93" w:line="600" w:lineRule="exact"/>
        <w:outlineLvl w:val="2"/>
        <w:rPr>
          <w:rFonts w:hint="eastAsia" w:ascii="Times New Roman" w:hAnsi="Times New Roman" w:eastAsia="仿宋_GB2312" w:cs="仿宋_GB2312"/>
          <w:color w:val="auto"/>
          <w:sz w:val="32"/>
          <w:szCs w:val="32"/>
          <w:highlight w:val="yellow"/>
        </w:rPr>
      </w:pPr>
      <w:bookmarkStart w:id="26" w:name="_Toc15306277"/>
      <w:bookmarkStart w:id="27" w:name="_Toc15378450"/>
      <w:bookmarkStart w:id="28" w:name="_Toc15377434"/>
      <w:bookmarkStart w:id="29" w:name="_Toc15377203"/>
      <w:r>
        <w:rPr>
          <w:rFonts w:hint="eastAsia" w:ascii="Times New Roman" w:hAnsi="Times New Roman" w:eastAsia="仿宋_GB2312" w:cs="仿宋_GB2312"/>
          <w:color w:val="auto"/>
          <w:sz w:val="32"/>
          <w:szCs w:val="32"/>
          <w:highlight w:val="yellow"/>
        </w:rPr>
        <w:t>***</w:t>
      </w:r>
      <w:bookmarkEnd w:id="26"/>
      <w:bookmarkEnd w:id="27"/>
      <w:bookmarkEnd w:id="28"/>
      <w:bookmarkEnd w:id="29"/>
    </w:p>
    <w:p>
      <w:pPr>
        <w:pStyle w:val="8"/>
        <w:adjustRightInd w:val="0"/>
        <w:snapToGrid w:val="0"/>
        <w:spacing w:before="93" w:line="600" w:lineRule="exact"/>
        <w:ind w:firstLine="1120" w:firstLineChars="350"/>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w:t>
      </w:r>
    </w:p>
    <w:p>
      <w:pPr>
        <w:widowControl/>
        <w:jc w:val="left"/>
        <w:rPr>
          <w:rFonts w:ascii="Times New Roman" w:hAnsi="Times New Roman" w:eastAsia="仿宋"/>
          <w:color w:val="auto"/>
          <w:kern w:val="0"/>
          <w:sz w:val="32"/>
          <w:szCs w:val="32"/>
          <w:highlight w:val="none"/>
        </w:rPr>
      </w:pPr>
      <w:r>
        <w:rPr>
          <w:rFonts w:ascii="Times New Roman" w:hAnsi="Times New Roman" w:eastAsia="仿宋"/>
          <w:color w:val="auto"/>
          <w:sz w:val="32"/>
          <w:szCs w:val="32"/>
          <w:highlight w:val="none"/>
        </w:rPr>
        <w:br w:type="page"/>
      </w:r>
    </w:p>
    <w:p>
      <w:pPr>
        <w:pStyle w:val="5"/>
        <w:jc w:val="center"/>
        <w:rPr>
          <w:rFonts w:hint="eastAsia" w:ascii="Times New Roman" w:hAnsi="Times New Roman" w:eastAsia="方正小标宋简体" w:cs="方正小标宋简体"/>
          <w:b w:val="0"/>
          <w:color w:val="auto"/>
          <w:highlight w:val="none"/>
        </w:rPr>
      </w:pPr>
      <w:bookmarkStart w:id="30" w:name="_Toc15377204"/>
      <w:bookmarkStart w:id="31" w:name="_Toc15396602"/>
      <w:r>
        <w:rPr>
          <w:rFonts w:hint="eastAsia" w:ascii="Times New Roman" w:hAnsi="Times New Roman" w:eastAsia="方正小标宋简体" w:cs="方正小标宋简体"/>
          <w:b w:val="0"/>
          <w:color w:val="auto"/>
          <w:highlight w:val="none"/>
        </w:rPr>
        <w:t>第二部分</w:t>
      </w:r>
      <w:r>
        <w:rPr>
          <w:rFonts w:hint="eastAsia" w:ascii="Times New Roman" w:hAnsi="Times New Roman" w:eastAsia="方正小标宋简体" w:cs="方正小标宋简体"/>
          <w:b w:val="0"/>
          <w:color w:val="auto"/>
          <w:highlight w:val="none"/>
          <w:lang w:val="en-US" w:eastAsia="zh-CN"/>
        </w:rPr>
        <w:t xml:space="preserve"> </w:t>
      </w:r>
      <w:r>
        <w:rPr>
          <w:rFonts w:hint="eastAsia" w:ascii="Times New Roman" w:hAnsi="Times New Roman" w:eastAsia="方正小标宋简体" w:cs="方正小标宋简体"/>
          <w:b w:val="0"/>
          <w:color w:val="auto"/>
          <w:highlight w:val="none"/>
        </w:rPr>
        <w:t xml:space="preserve"> </w:t>
      </w:r>
      <w:r>
        <w:rPr>
          <w:rFonts w:hint="eastAsia" w:ascii="Times New Roman" w:hAnsi="Times New Roman" w:eastAsia="方正小标宋简体" w:cs="方正小标宋简体"/>
          <w:b w:val="0"/>
          <w:color w:val="auto"/>
          <w:highlight w:val="none"/>
          <w:lang w:val="en-US" w:eastAsia="zh-CN"/>
        </w:rPr>
        <w:t>2024年度</w:t>
      </w:r>
      <w:r>
        <w:rPr>
          <w:rFonts w:hint="eastAsia" w:ascii="Times New Roman" w:hAnsi="Times New Roman" w:eastAsia="方正小标宋简体" w:cs="方正小标宋简体"/>
          <w:b w:val="0"/>
          <w:color w:val="auto"/>
          <w:highlight w:val="none"/>
        </w:rPr>
        <w:t>部门决算情况说明</w:t>
      </w:r>
      <w:bookmarkEnd w:id="30"/>
      <w:bookmarkEnd w:id="31"/>
    </w:p>
    <w:p>
      <w:pPr>
        <w:rPr>
          <w:rFonts w:ascii="Times New Roman" w:hAnsi="Times New Roman"/>
          <w:color w:val="auto"/>
          <w:highlight w:val="none"/>
        </w:rPr>
      </w:pPr>
    </w:p>
    <w:p>
      <w:pPr>
        <w:pStyle w:val="27"/>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Style w:val="29"/>
          <w:rFonts w:hint="eastAsia" w:ascii="Times New Roman" w:hAnsi="Times New Roman" w:eastAsia="黑体"/>
          <w:b w:val="0"/>
          <w:color w:val="auto"/>
          <w:highlight w:val="none"/>
        </w:rPr>
      </w:pPr>
      <w:bookmarkStart w:id="32" w:name="_Toc15377205"/>
      <w:bookmarkStart w:id="33" w:name="_Toc15396603"/>
      <w:r>
        <w:rPr>
          <w:rFonts w:hint="eastAsia" w:ascii="Times New Roman" w:hAnsi="Times New Roman" w:eastAsia="黑体"/>
          <w:color w:val="auto"/>
          <w:sz w:val="32"/>
          <w:szCs w:val="32"/>
          <w:highlight w:val="none"/>
          <w:lang w:eastAsia="zh-CN"/>
        </w:rPr>
        <w:t>一、</w:t>
      </w:r>
      <w:r>
        <w:rPr>
          <w:rFonts w:hint="eastAsia" w:ascii="Times New Roman" w:hAnsi="Times New Roman" w:eastAsia="黑体"/>
          <w:color w:val="auto"/>
          <w:sz w:val="32"/>
          <w:szCs w:val="32"/>
          <w:highlight w:val="none"/>
        </w:rPr>
        <w:t>收</w:t>
      </w:r>
      <w:r>
        <w:rPr>
          <w:rStyle w:val="29"/>
          <w:rFonts w:hint="eastAsia" w:ascii="Times New Roman" w:hAnsi="Times New Roman" w:eastAsia="黑体"/>
          <w:b w:val="0"/>
          <w:color w:val="auto"/>
          <w:highlight w:val="none"/>
        </w:rPr>
        <w:t>入支出决算总体情况说明</w:t>
      </w:r>
      <w:bookmarkEnd w:id="32"/>
      <w:bookmarkEnd w:id="33"/>
    </w:p>
    <w:p>
      <w:pPr>
        <w:pStyle w:val="27"/>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lang w:eastAsia="zh-CN"/>
        </w:rPr>
        <w:t>2024年度收入</w:t>
      </w:r>
      <w:r>
        <w:rPr>
          <w:rFonts w:hint="eastAsia" w:ascii="Times New Roman" w:hAnsi="Times New Roman" w:eastAsia="仿宋_GB2312" w:cs="仿宋_GB2312"/>
          <w:color w:val="auto"/>
          <w:sz w:val="32"/>
          <w:szCs w:val="32"/>
          <w:highlight w:val="none"/>
        </w:rPr>
        <w:t>、</w:t>
      </w:r>
      <w:r>
        <w:rPr>
          <w:rFonts w:hint="eastAsia" w:ascii="Times New Roman" w:hAnsi="Times New Roman" w:eastAsia="仿宋_GB2312" w:cs="仿宋_GB2312"/>
          <w:color w:val="auto"/>
          <w:sz w:val="32"/>
          <w:szCs w:val="32"/>
          <w:highlight w:val="none"/>
          <w:lang w:eastAsia="zh-CN"/>
        </w:rPr>
        <w:t>支出</w:t>
      </w:r>
      <w:r>
        <w:rPr>
          <w:rFonts w:hint="eastAsia" w:ascii="Times New Roman" w:hAnsi="Times New Roman" w:eastAsia="仿宋_GB2312" w:cs="仿宋_GB2312"/>
          <w:color w:val="auto"/>
          <w:sz w:val="32"/>
          <w:szCs w:val="32"/>
          <w:highlight w:val="none"/>
        </w:rPr>
        <w:t>总计</w:t>
      </w:r>
      <w:r>
        <w:rPr>
          <w:rFonts w:hint="eastAsia" w:ascii="Times New Roman" w:hAnsi="Times New Roman" w:eastAsia="仿宋_GB2312" w:cs="仿宋_GB2312"/>
          <w:color w:val="auto"/>
          <w:sz w:val="32"/>
          <w:szCs w:val="32"/>
          <w:highlight w:val="none"/>
          <w:lang w:eastAsia="zh-CN"/>
        </w:rPr>
        <w:t>均为</w:t>
      </w:r>
      <w:r>
        <w:rPr>
          <w:rFonts w:hint="eastAsia" w:ascii="仿宋_GB2312" w:hAnsi="仿宋_GB2312" w:eastAsia="仿宋_GB2312" w:cs="仿宋_GB2312"/>
          <w:sz w:val="32"/>
          <w:szCs w:val="32"/>
        </w:rPr>
        <w:t>78</w:t>
      </w:r>
      <w:r>
        <w:rPr>
          <w:rFonts w:hint="eastAsia" w:ascii="Times New Roman" w:hAnsi="Times New Roman" w:eastAsia="仿宋_GB2312" w:cs="仿宋_GB2312"/>
          <w:color w:val="auto"/>
          <w:sz w:val="32"/>
          <w:szCs w:val="32"/>
          <w:highlight w:val="none"/>
        </w:rPr>
        <w:t>万元。与</w:t>
      </w:r>
      <w:r>
        <w:rPr>
          <w:rFonts w:hint="eastAsia" w:ascii="Times New Roman" w:hAnsi="Times New Roman" w:eastAsia="仿宋_GB2312" w:cs="仿宋_GB2312"/>
          <w:color w:val="auto"/>
          <w:sz w:val="32"/>
          <w:szCs w:val="32"/>
          <w:highlight w:val="none"/>
          <w:lang w:eastAsia="zh-CN"/>
        </w:rPr>
        <w:t>202</w:t>
      </w:r>
      <w:r>
        <w:rPr>
          <w:rFonts w:hint="eastAsia" w:ascii="Times New Roman" w:hAnsi="Times New Roman" w:eastAsia="仿宋_GB2312" w:cs="仿宋_GB2312"/>
          <w:color w:val="auto"/>
          <w:sz w:val="32"/>
          <w:szCs w:val="32"/>
          <w:highlight w:val="none"/>
          <w:lang w:val="en-US" w:eastAsia="zh-CN"/>
        </w:rPr>
        <w:t>3</w:t>
      </w:r>
      <w:r>
        <w:rPr>
          <w:rFonts w:hint="eastAsia" w:ascii="Times New Roman" w:hAnsi="Times New Roman" w:eastAsia="仿宋_GB2312" w:cs="仿宋_GB2312"/>
          <w:color w:val="auto"/>
          <w:sz w:val="32"/>
          <w:szCs w:val="32"/>
          <w:highlight w:val="none"/>
        </w:rPr>
        <w:t>年</w:t>
      </w:r>
      <w:r>
        <w:rPr>
          <w:rFonts w:hint="eastAsia" w:ascii="Times New Roman" w:hAnsi="Times New Roman" w:eastAsia="仿宋_GB2312" w:cs="仿宋_GB2312"/>
          <w:color w:val="auto"/>
          <w:sz w:val="32"/>
          <w:szCs w:val="32"/>
          <w:highlight w:val="none"/>
          <w:lang w:eastAsia="zh-CN"/>
        </w:rPr>
        <w:t>度</w:t>
      </w:r>
      <w:r>
        <w:rPr>
          <w:rFonts w:hint="eastAsia" w:eastAsia="仿宋_GB2312" w:cs="仿宋_GB2312"/>
          <w:color w:val="auto"/>
          <w:sz w:val="32"/>
          <w:szCs w:val="32"/>
          <w:highlight w:val="none"/>
          <w:lang w:val="en-US" w:eastAsia="zh-CN"/>
        </w:rPr>
        <w:t>86.6万元</w:t>
      </w:r>
      <w:r>
        <w:rPr>
          <w:rFonts w:hint="eastAsia" w:ascii="Times New Roman" w:hAnsi="Times New Roman" w:eastAsia="仿宋_GB2312" w:cs="仿宋_GB2312"/>
          <w:color w:val="auto"/>
          <w:sz w:val="32"/>
          <w:szCs w:val="32"/>
          <w:highlight w:val="none"/>
        </w:rPr>
        <w:t>相比，</w:t>
      </w:r>
      <w:r>
        <w:rPr>
          <w:rFonts w:hint="eastAsia" w:ascii="Times New Roman" w:hAnsi="Times New Roman" w:eastAsia="仿宋_GB2312" w:cs="仿宋_GB2312"/>
          <w:color w:val="auto"/>
          <w:sz w:val="32"/>
          <w:szCs w:val="32"/>
          <w:highlight w:val="none"/>
          <w:lang w:eastAsia="zh-CN"/>
        </w:rPr>
        <w:t>收入</w:t>
      </w:r>
      <w:r>
        <w:rPr>
          <w:rFonts w:hint="eastAsia" w:ascii="Times New Roman" w:hAnsi="Times New Roman" w:eastAsia="仿宋_GB2312" w:cs="仿宋_GB2312"/>
          <w:color w:val="auto"/>
          <w:sz w:val="32"/>
          <w:szCs w:val="32"/>
          <w:highlight w:val="none"/>
        </w:rPr>
        <w:t>、</w:t>
      </w:r>
      <w:r>
        <w:rPr>
          <w:rFonts w:hint="eastAsia" w:ascii="Times New Roman" w:hAnsi="Times New Roman" w:eastAsia="仿宋_GB2312" w:cs="仿宋_GB2312"/>
          <w:color w:val="auto"/>
          <w:sz w:val="32"/>
          <w:szCs w:val="32"/>
          <w:highlight w:val="none"/>
          <w:lang w:eastAsia="zh-CN"/>
        </w:rPr>
        <w:t>支出</w:t>
      </w:r>
      <w:r>
        <w:rPr>
          <w:rFonts w:hint="eastAsia" w:ascii="Times New Roman" w:hAnsi="Times New Roman" w:eastAsia="仿宋_GB2312" w:cs="仿宋_GB2312"/>
          <w:color w:val="auto"/>
          <w:sz w:val="32"/>
          <w:szCs w:val="32"/>
          <w:highlight w:val="none"/>
        </w:rPr>
        <w:t>总计各减少</w:t>
      </w:r>
      <w:r>
        <w:rPr>
          <w:rFonts w:hint="eastAsia" w:eastAsia="仿宋_GB2312" w:cs="仿宋_GB2312"/>
          <w:color w:val="auto"/>
          <w:sz w:val="32"/>
          <w:szCs w:val="32"/>
          <w:highlight w:val="none"/>
          <w:lang w:val="en-US" w:eastAsia="zh-CN"/>
        </w:rPr>
        <w:t>8.6</w:t>
      </w:r>
      <w:r>
        <w:rPr>
          <w:rFonts w:hint="eastAsia" w:ascii="Times New Roman" w:hAnsi="Times New Roman" w:eastAsia="仿宋_GB2312" w:cs="仿宋_GB2312"/>
          <w:color w:val="auto"/>
          <w:sz w:val="32"/>
          <w:szCs w:val="32"/>
          <w:highlight w:val="none"/>
        </w:rPr>
        <w:t>万元，下降</w:t>
      </w:r>
      <w:r>
        <w:rPr>
          <w:rFonts w:hint="eastAsia" w:eastAsia="仿宋_GB2312" w:cs="仿宋_GB2312"/>
          <w:color w:val="auto"/>
          <w:sz w:val="32"/>
          <w:szCs w:val="32"/>
          <w:highlight w:val="none"/>
          <w:lang w:val="en-US" w:eastAsia="zh-CN"/>
        </w:rPr>
        <w:t>10</w:t>
      </w:r>
      <w:r>
        <w:rPr>
          <w:rFonts w:hint="eastAsia" w:ascii="Times New Roman" w:hAnsi="Times New Roman" w:eastAsia="仿宋_GB2312" w:cs="仿宋_GB2312"/>
          <w:color w:val="auto"/>
          <w:sz w:val="32"/>
          <w:szCs w:val="32"/>
          <w:highlight w:val="none"/>
        </w:rPr>
        <w:t>%。主要变动原因是</w:t>
      </w:r>
      <w:r>
        <w:rPr>
          <w:rFonts w:hint="eastAsia" w:eastAsia="仿宋_GB2312" w:cs="仿宋_GB2312"/>
          <w:color w:val="auto"/>
          <w:sz w:val="32"/>
          <w:szCs w:val="32"/>
          <w:highlight w:val="none"/>
          <w:lang w:eastAsia="zh-CN"/>
        </w:rPr>
        <w:t>合并单位</w:t>
      </w:r>
    </w:p>
    <w:p>
      <w:pPr>
        <w:pStyle w:val="27"/>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Times New Roman" w:hAnsi="Times New Roman" w:eastAsia="黑体"/>
          <w:color w:val="auto"/>
          <w:sz w:val="32"/>
          <w:szCs w:val="32"/>
          <w:highlight w:val="none"/>
          <w:lang w:eastAsia="zh-CN"/>
        </w:rPr>
      </w:pPr>
      <w:bookmarkStart w:id="34" w:name="_Toc15396604"/>
      <w:bookmarkStart w:id="35" w:name="_Toc15377206"/>
      <w:r>
        <w:rPr>
          <w:rFonts w:hint="eastAsia" w:ascii="Times New Roman" w:hAnsi="Times New Roman" w:eastAsia="黑体"/>
          <w:color w:val="auto"/>
          <w:sz w:val="32"/>
          <w:szCs w:val="32"/>
          <w:highlight w:val="none"/>
          <w:lang w:eastAsia="zh-CN"/>
        </w:rPr>
        <w:t>二、收入决算情况说明</w:t>
      </w:r>
      <w:bookmarkEnd w:id="34"/>
      <w:bookmarkEnd w:id="35"/>
    </w:p>
    <w:p>
      <w:pPr>
        <w:ind w:firstLine="800" w:firstLineChars="250"/>
        <w:rPr>
          <w:rFonts w:hint="eastAsia" w:ascii="Times New Roman" w:hAnsi="Times New Roman"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2024年度本年收入合计</w:t>
      </w:r>
      <w:r>
        <w:rPr>
          <w:rFonts w:hint="eastAsia" w:ascii="仿宋_GB2312" w:hAnsi="仿宋_GB2312" w:eastAsia="仿宋_GB2312" w:cs="仿宋_GB2312"/>
          <w:sz w:val="32"/>
          <w:szCs w:val="32"/>
        </w:rPr>
        <w:t>78万元，其中：一般公共预算财政拨款收入78</w:t>
      </w:r>
      <w:r>
        <w:rPr>
          <w:rFonts w:hint="eastAsia" w:ascii="仿宋_GB2312" w:hAnsi="仿宋_GB2312" w:eastAsia="仿宋_GB2312" w:cs="仿宋_GB2312"/>
          <w:color w:val="auto"/>
          <w:sz w:val="32"/>
          <w:szCs w:val="32"/>
          <w:highlight w:val="none"/>
          <w:lang w:eastAsia="zh-CN"/>
        </w:rPr>
        <w:t>万元，占</w:t>
      </w:r>
      <w:r>
        <w:rPr>
          <w:rFonts w:hint="eastAsia" w:ascii="仿宋_GB2312" w:hAnsi="仿宋_GB2312" w:eastAsia="仿宋_GB2312" w:cs="仿宋_GB2312"/>
          <w:sz w:val="32"/>
          <w:szCs w:val="32"/>
        </w:rPr>
        <w:t>100</w:t>
      </w:r>
      <w:r>
        <w:rPr>
          <w:rFonts w:hint="eastAsia" w:ascii="仿宋_GB2312" w:hAnsi="仿宋_GB2312" w:eastAsia="仿宋_GB2312" w:cs="仿宋_GB2312"/>
          <w:color w:val="auto"/>
          <w:sz w:val="32"/>
          <w:szCs w:val="32"/>
          <w:highlight w:val="none"/>
          <w:lang w:eastAsia="zh-CN"/>
        </w:rPr>
        <w:t>%；政府性基金预算财政拨款收入</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sz w:val="32"/>
          <w:szCs w:val="32"/>
          <w:highlight w:val="none"/>
          <w:lang w:eastAsia="zh-CN"/>
        </w:rPr>
        <w:t>万元，占</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sz w:val="32"/>
          <w:szCs w:val="32"/>
          <w:highlight w:val="none"/>
          <w:lang w:eastAsia="zh-CN"/>
        </w:rPr>
        <w:t>%；国有资本经营预算财政拨款收入</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sz w:val="32"/>
          <w:szCs w:val="32"/>
          <w:highlight w:val="none"/>
          <w:lang w:eastAsia="zh-CN"/>
        </w:rPr>
        <w:t>万元，占</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sz w:val="32"/>
          <w:szCs w:val="32"/>
          <w:highlight w:val="none"/>
          <w:lang w:eastAsia="zh-CN"/>
        </w:rPr>
        <w:t>%；上级补助收入</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sz w:val="32"/>
          <w:szCs w:val="32"/>
          <w:highlight w:val="none"/>
          <w:lang w:eastAsia="zh-CN"/>
        </w:rPr>
        <w:t>万元，占</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sz w:val="32"/>
          <w:szCs w:val="32"/>
          <w:highlight w:val="none"/>
          <w:lang w:eastAsia="zh-CN"/>
        </w:rPr>
        <w:t>%；事业收入</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sz w:val="32"/>
          <w:szCs w:val="32"/>
          <w:highlight w:val="none"/>
          <w:lang w:eastAsia="zh-CN"/>
        </w:rPr>
        <w:t>万元，占</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sz w:val="32"/>
          <w:szCs w:val="32"/>
          <w:highlight w:val="none"/>
          <w:lang w:eastAsia="zh-CN"/>
        </w:rPr>
        <w:t>%；经营收入</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sz w:val="32"/>
          <w:szCs w:val="32"/>
          <w:highlight w:val="none"/>
          <w:lang w:eastAsia="zh-CN"/>
        </w:rPr>
        <w:t>万元，占</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sz w:val="32"/>
          <w:szCs w:val="32"/>
          <w:highlight w:val="none"/>
          <w:lang w:eastAsia="zh-CN"/>
        </w:rPr>
        <w:t>%；附属单位上缴收入</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sz w:val="32"/>
          <w:szCs w:val="32"/>
          <w:highlight w:val="none"/>
          <w:lang w:eastAsia="zh-CN"/>
        </w:rPr>
        <w:t>万元，占</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sz w:val="32"/>
          <w:szCs w:val="32"/>
          <w:highlight w:val="none"/>
          <w:lang w:eastAsia="zh-CN"/>
        </w:rPr>
        <w:t>%；其他收入</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sz w:val="32"/>
          <w:szCs w:val="32"/>
          <w:highlight w:val="none"/>
          <w:lang w:eastAsia="zh-CN"/>
        </w:rPr>
        <w:t>万元，占</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sz w:val="32"/>
          <w:szCs w:val="32"/>
          <w:highlight w:val="none"/>
          <w:lang w:eastAsia="zh-CN"/>
        </w:rPr>
        <w:t>%。</w:t>
      </w:r>
    </w:p>
    <w:p>
      <w:pPr>
        <w:ind w:firstLine="800" w:firstLineChars="250"/>
        <w:rPr>
          <w:rFonts w:hint="eastAsia" w:ascii="Times New Roman" w:hAnsi="Times New Roman" w:eastAsia="仿宋_GB2312" w:cs="仿宋_GB2312"/>
          <w:color w:val="auto"/>
          <w:sz w:val="32"/>
          <w:szCs w:val="32"/>
          <w:highlight w:val="none"/>
          <w:lang w:eastAsia="zh-CN"/>
        </w:rPr>
      </w:pPr>
    </w:p>
    <w:p>
      <w:pPr>
        <w:pStyle w:val="27"/>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Style w:val="29"/>
          <w:rFonts w:hint="eastAsia" w:ascii="Times New Roman" w:hAnsi="Times New Roman" w:eastAsia="黑体"/>
          <w:b w:val="0"/>
          <w:color w:val="auto"/>
          <w:highlight w:val="none"/>
        </w:rPr>
      </w:pPr>
      <w:bookmarkStart w:id="36" w:name="_Toc15396605"/>
      <w:bookmarkStart w:id="37" w:name="_Toc15377207"/>
      <w:r>
        <w:rPr>
          <w:rFonts w:hint="eastAsia" w:ascii="Times New Roman" w:hAnsi="Times New Roman" w:eastAsia="黑体"/>
          <w:color w:val="auto"/>
          <w:sz w:val="32"/>
          <w:szCs w:val="32"/>
          <w:highlight w:val="none"/>
          <w:lang w:eastAsia="zh-CN"/>
        </w:rPr>
        <w:t>三、</w:t>
      </w:r>
      <w:r>
        <w:rPr>
          <w:rFonts w:hint="eastAsia" w:ascii="Times New Roman" w:hAnsi="Times New Roman" w:eastAsia="黑体"/>
          <w:color w:val="auto"/>
          <w:sz w:val="32"/>
          <w:szCs w:val="32"/>
          <w:highlight w:val="none"/>
        </w:rPr>
        <w:t>支</w:t>
      </w:r>
      <w:r>
        <w:rPr>
          <w:rStyle w:val="29"/>
          <w:rFonts w:hint="eastAsia" w:ascii="Times New Roman" w:hAnsi="Times New Roman" w:eastAsia="黑体"/>
          <w:b w:val="0"/>
          <w:color w:val="auto"/>
          <w:highlight w:val="none"/>
        </w:rPr>
        <w:t>出决算情况说明</w:t>
      </w:r>
      <w:bookmarkEnd w:id="36"/>
      <w:bookmarkEnd w:id="37"/>
    </w:p>
    <w:p>
      <w:pPr>
        <w:spacing w:line="600" w:lineRule="exact"/>
        <w:ind w:firstLine="640" w:firstLineChars="200"/>
        <w:outlineLvl w:val="1"/>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2024年度本年支出合计</w:t>
      </w:r>
      <w:r>
        <w:rPr>
          <w:rFonts w:hint="eastAsia" w:ascii="仿宋_GB2312" w:hAnsi="仿宋_GB2312" w:eastAsia="仿宋_GB2312" w:cs="仿宋_GB2312"/>
          <w:sz w:val="32"/>
          <w:szCs w:val="32"/>
        </w:rPr>
        <w:t>78</w:t>
      </w:r>
      <w:r>
        <w:rPr>
          <w:rFonts w:hint="eastAsia" w:ascii="仿宋_GB2312" w:hAnsi="仿宋_GB2312" w:eastAsia="仿宋_GB2312" w:cs="仿宋_GB2312"/>
          <w:color w:val="auto"/>
          <w:sz w:val="32"/>
          <w:szCs w:val="32"/>
          <w:highlight w:val="none"/>
          <w:lang w:eastAsia="zh-CN"/>
        </w:rPr>
        <w:t>万元，其中：基本支出</w:t>
      </w:r>
      <w:r>
        <w:rPr>
          <w:rFonts w:hint="eastAsia" w:ascii="仿宋_GB2312" w:hAnsi="仿宋_GB2312" w:eastAsia="仿宋_GB2312" w:cs="仿宋_GB2312"/>
          <w:sz w:val="32"/>
          <w:szCs w:val="32"/>
        </w:rPr>
        <w:t>78</w:t>
      </w:r>
      <w:r>
        <w:rPr>
          <w:rFonts w:hint="eastAsia" w:ascii="仿宋_GB2312" w:hAnsi="仿宋_GB2312" w:eastAsia="仿宋_GB2312" w:cs="仿宋_GB2312"/>
          <w:color w:val="auto"/>
          <w:sz w:val="32"/>
          <w:szCs w:val="32"/>
          <w:highlight w:val="none"/>
          <w:lang w:eastAsia="zh-CN"/>
        </w:rPr>
        <w:t>万元，占</w:t>
      </w:r>
      <w:r>
        <w:rPr>
          <w:rFonts w:hint="eastAsia" w:ascii="仿宋_GB2312" w:hAnsi="仿宋_GB2312" w:eastAsia="仿宋_GB2312" w:cs="仿宋_GB2312"/>
          <w:sz w:val="32"/>
          <w:szCs w:val="32"/>
        </w:rPr>
        <w:t>100</w:t>
      </w:r>
      <w:r>
        <w:rPr>
          <w:rFonts w:hint="eastAsia" w:ascii="仿宋_GB2312" w:hAnsi="仿宋_GB2312" w:eastAsia="仿宋_GB2312" w:cs="仿宋_GB2312"/>
          <w:color w:val="auto"/>
          <w:sz w:val="32"/>
          <w:szCs w:val="32"/>
          <w:highlight w:val="none"/>
          <w:lang w:eastAsia="zh-CN"/>
        </w:rPr>
        <w:t>%；项目支出</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sz w:val="32"/>
          <w:szCs w:val="32"/>
          <w:highlight w:val="none"/>
          <w:lang w:eastAsia="zh-CN"/>
        </w:rPr>
        <w:t>万元，占</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sz w:val="32"/>
          <w:szCs w:val="32"/>
          <w:highlight w:val="none"/>
          <w:lang w:eastAsia="zh-CN"/>
        </w:rPr>
        <w:t>%；上缴上级支出</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sz w:val="32"/>
          <w:szCs w:val="32"/>
          <w:highlight w:val="none"/>
          <w:lang w:eastAsia="zh-CN"/>
        </w:rPr>
        <w:t>万元，占</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sz w:val="32"/>
          <w:szCs w:val="32"/>
          <w:highlight w:val="none"/>
          <w:lang w:eastAsia="zh-CN"/>
        </w:rPr>
        <w:t>%；经营支出</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sz w:val="32"/>
          <w:szCs w:val="32"/>
          <w:highlight w:val="none"/>
          <w:lang w:eastAsia="zh-CN"/>
        </w:rPr>
        <w:t>万元，占</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sz w:val="32"/>
          <w:szCs w:val="32"/>
          <w:highlight w:val="none"/>
          <w:lang w:eastAsia="zh-CN"/>
        </w:rPr>
        <w:t>%；对附属单位补助支出</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sz w:val="32"/>
          <w:szCs w:val="32"/>
          <w:highlight w:val="none"/>
          <w:lang w:eastAsia="zh-CN"/>
        </w:rPr>
        <w:t>万元，占</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sz w:val="32"/>
          <w:szCs w:val="32"/>
          <w:highlight w:val="none"/>
          <w:lang w:eastAsia="zh-CN"/>
        </w:rPr>
        <w:t>%。</w:t>
      </w:r>
      <w:bookmarkStart w:id="38" w:name="_Toc15377208"/>
      <w:bookmarkStart w:id="39" w:name="_Toc15396606"/>
    </w:p>
    <w:p>
      <w:pPr>
        <w:spacing w:line="600" w:lineRule="exact"/>
        <w:ind w:firstLine="640" w:firstLineChars="200"/>
        <w:outlineLvl w:val="1"/>
        <w:rPr>
          <w:rStyle w:val="29"/>
          <w:rFonts w:ascii="Times New Roman" w:hAnsi="Times New Roman" w:eastAsia="黑体"/>
          <w:b w:val="0"/>
          <w:color w:val="auto"/>
          <w:highlight w:val="none"/>
        </w:rPr>
      </w:pPr>
      <w:r>
        <w:rPr>
          <w:rFonts w:hint="eastAsia" w:ascii="Times New Roman" w:hAnsi="Times New Roman" w:eastAsia="黑体"/>
          <w:color w:val="auto"/>
          <w:sz w:val="32"/>
          <w:szCs w:val="32"/>
          <w:highlight w:val="none"/>
        </w:rPr>
        <w:t>四、财</w:t>
      </w:r>
      <w:r>
        <w:rPr>
          <w:rStyle w:val="29"/>
          <w:rFonts w:hint="eastAsia" w:ascii="Times New Roman" w:hAnsi="Times New Roman" w:eastAsia="黑体"/>
          <w:b w:val="0"/>
          <w:color w:val="auto"/>
          <w:highlight w:val="none"/>
        </w:rPr>
        <w:t>政拨款收入支出决算总体情况说明</w:t>
      </w:r>
      <w:bookmarkEnd w:id="38"/>
      <w:bookmarkEnd w:id="39"/>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2024年度财政拨款收入、支出总计均为</w:t>
      </w:r>
      <w:r>
        <w:rPr>
          <w:rFonts w:hint="eastAsia" w:ascii="仿宋_GB2312" w:hAnsi="仿宋_GB2312" w:eastAsia="仿宋_GB2312" w:cs="仿宋_GB2312"/>
          <w:sz w:val="32"/>
          <w:szCs w:val="32"/>
        </w:rPr>
        <w:t>78</w:t>
      </w:r>
      <w:r>
        <w:rPr>
          <w:rFonts w:hint="eastAsia" w:ascii="Times New Roman" w:hAnsi="Times New Roman" w:eastAsia="仿宋_GB2312" w:cs="仿宋_GB2312"/>
          <w:color w:val="auto"/>
          <w:kern w:val="2"/>
          <w:sz w:val="32"/>
          <w:szCs w:val="32"/>
          <w:highlight w:val="none"/>
          <w:lang w:val="en-US" w:eastAsia="zh-CN" w:bidi="ar-SA"/>
        </w:rPr>
        <w:t>万元。与2023年度相比，财政拨款收入总计、支出总计各减少</w:t>
      </w:r>
      <w:r>
        <w:rPr>
          <w:rFonts w:hint="eastAsia" w:eastAsia="仿宋_GB2312" w:cs="仿宋_GB2312"/>
          <w:color w:val="auto"/>
          <w:kern w:val="2"/>
          <w:sz w:val="32"/>
          <w:szCs w:val="32"/>
          <w:highlight w:val="none"/>
          <w:lang w:val="en-US" w:eastAsia="zh-CN" w:bidi="ar-SA"/>
        </w:rPr>
        <w:t>8.6</w:t>
      </w:r>
      <w:r>
        <w:rPr>
          <w:rFonts w:hint="eastAsia" w:ascii="Times New Roman" w:hAnsi="Times New Roman" w:eastAsia="仿宋_GB2312" w:cs="仿宋_GB2312"/>
          <w:color w:val="auto"/>
          <w:kern w:val="2"/>
          <w:sz w:val="32"/>
          <w:szCs w:val="32"/>
          <w:highlight w:val="none"/>
          <w:lang w:val="en-US" w:eastAsia="zh-CN" w:bidi="ar-SA"/>
        </w:rPr>
        <w:t>万元，下降</w:t>
      </w:r>
      <w:r>
        <w:rPr>
          <w:rFonts w:hint="eastAsia" w:eastAsia="仿宋_GB2312" w:cs="仿宋_GB2312"/>
          <w:color w:val="auto"/>
          <w:kern w:val="2"/>
          <w:sz w:val="32"/>
          <w:szCs w:val="32"/>
          <w:highlight w:val="none"/>
          <w:lang w:val="en-US" w:eastAsia="zh-CN" w:bidi="ar-SA"/>
        </w:rPr>
        <w:t>10</w:t>
      </w:r>
      <w:r>
        <w:rPr>
          <w:rFonts w:hint="eastAsia" w:ascii="Times New Roman" w:hAnsi="Times New Roman" w:eastAsia="仿宋_GB2312" w:cs="仿宋_GB2312"/>
          <w:color w:val="auto"/>
          <w:kern w:val="2"/>
          <w:sz w:val="32"/>
          <w:szCs w:val="32"/>
          <w:highlight w:val="none"/>
          <w:lang w:val="en-US" w:eastAsia="zh-CN" w:bidi="ar-SA"/>
        </w:rPr>
        <w:t>%。主要变动原因是</w:t>
      </w:r>
      <w:r>
        <w:rPr>
          <w:rFonts w:hint="eastAsia" w:eastAsia="仿宋_GB2312" w:cs="仿宋_GB2312"/>
          <w:color w:val="auto"/>
          <w:sz w:val="32"/>
          <w:szCs w:val="32"/>
          <w:highlight w:val="none"/>
          <w:lang w:eastAsia="zh-CN"/>
        </w:rPr>
        <w:t>合并单位</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p>
    <w:p>
      <w:pPr>
        <w:spacing w:line="600" w:lineRule="exact"/>
        <w:ind w:firstLine="640" w:firstLineChars="200"/>
        <w:outlineLvl w:val="1"/>
        <w:rPr>
          <w:rStyle w:val="29"/>
          <w:rFonts w:ascii="Times New Roman" w:hAnsi="Times New Roman" w:eastAsia="黑体"/>
          <w:b w:val="0"/>
          <w:color w:val="auto"/>
          <w:highlight w:val="none"/>
        </w:rPr>
      </w:pPr>
      <w:bookmarkStart w:id="40" w:name="_Toc15377209"/>
      <w:bookmarkStart w:id="41" w:name="_Toc15396607"/>
      <w:r>
        <w:rPr>
          <w:rFonts w:hint="eastAsia" w:ascii="Times New Roman" w:hAnsi="Times New Roman" w:eastAsia="黑体"/>
          <w:color w:val="auto"/>
          <w:sz w:val="32"/>
          <w:szCs w:val="32"/>
          <w:highlight w:val="none"/>
        </w:rPr>
        <w:t>五、</w:t>
      </w:r>
      <w:r>
        <w:rPr>
          <w:rFonts w:hint="eastAsia" w:ascii="Times New Roman" w:hAnsi="Times New Roman" w:eastAsia="黑体"/>
          <w:b/>
          <w:color w:val="auto"/>
          <w:sz w:val="32"/>
          <w:szCs w:val="32"/>
          <w:highlight w:val="none"/>
        </w:rPr>
        <w:t>一</w:t>
      </w:r>
      <w:r>
        <w:rPr>
          <w:rStyle w:val="29"/>
          <w:rFonts w:hint="eastAsia" w:ascii="Times New Roman" w:hAnsi="Times New Roman" w:eastAsia="黑体"/>
          <w:b w:val="0"/>
          <w:color w:val="auto"/>
          <w:highlight w:val="none"/>
        </w:rPr>
        <w:t>般公共预算财政拨款支出决算情况说明</w:t>
      </w:r>
      <w:bookmarkEnd w:id="40"/>
      <w:bookmarkEnd w:id="41"/>
    </w:p>
    <w:p>
      <w:pPr>
        <w:spacing w:line="600" w:lineRule="exact"/>
        <w:ind w:firstLine="643" w:firstLineChars="200"/>
        <w:outlineLvl w:val="2"/>
        <w:rPr>
          <w:rFonts w:hint="eastAsia" w:ascii="Times New Roman" w:hAnsi="Times New Roman" w:eastAsia="楷体_GB2312" w:cs="楷体_GB2312"/>
          <w:b/>
          <w:color w:val="auto"/>
          <w:sz w:val="32"/>
          <w:szCs w:val="32"/>
          <w:highlight w:val="none"/>
        </w:rPr>
      </w:pPr>
      <w:bookmarkStart w:id="42" w:name="_Toc15377210"/>
      <w:r>
        <w:rPr>
          <w:rFonts w:hint="eastAsia" w:ascii="Times New Roman" w:hAnsi="Times New Roman" w:eastAsia="楷体_GB2312" w:cs="楷体_GB2312"/>
          <w:b/>
          <w:color w:val="auto"/>
          <w:sz w:val="32"/>
          <w:szCs w:val="32"/>
          <w:highlight w:val="none"/>
        </w:rPr>
        <w:t>（一）一般公共预算财政拨款支出决算总体情况</w:t>
      </w:r>
      <w:bookmarkEnd w:id="42"/>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2024年度一般公共预算财政拨款支出</w:t>
      </w:r>
      <w:r>
        <w:rPr>
          <w:rFonts w:hint="eastAsia" w:ascii="仿宋_GB2312" w:hAnsi="仿宋_GB2312" w:eastAsia="仿宋_GB2312" w:cs="仿宋_GB2312"/>
          <w:sz w:val="32"/>
          <w:szCs w:val="32"/>
        </w:rPr>
        <w:t>78</w:t>
      </w:r>
      <w:r>
        <w:rPr>
          <w:rFonts w:hint="eastAsia" w:ascii="仿宋_GB2312" w:hAnsi="仿宋_GB2312" w:eastAsia="仿宋_GB2312" w:cs="仿宋_GB2312"/>
          <w:color w:val="auto"/>
          <w:kern w:val="2"/>
          <w:sz w:val="32"/>
          <w:szCs w:val="32"/>
          <w:highlight w:val="none"/>
          <w:lang w:val="en-US" w:eastAsia="zh-CN" w:bidi="ar-SA"/>
        </w:rPr>
        <w:t>万元，占本年支出合计的</w:t>
      </w:r>
      <w:r>
        <w:rPr>
          <w:rFonts w:hint="eastAsia" w:ascii="仿宋_GB2312" w:hAnsi="仿宋_GB2312" w:eastAsia="仿宋_GB2312" w:cs="仿宋_GB2312"/>
          <w:sz w:val="32"/>
          <w:szCs w:val="32"/>
        </w:rPr>
        <w:t>100</w:t>
      </w:r>
      <w:r>
        <w:rPr>
          <w:rFonts w:hint="eastAsia" w:ascii="仿宋_GB2312" w:hAnsi="仿宋_GB2312" w:eastAsia="仿宋_GB2312" w:cs="仿宋_GB2312"/>
          <w:color w:val="auto"/>
          <w:kern w:val="2"/>
          <w:sz w:val="32"/>
          <w:szCs w:val="32"/>
          <w:highlight w:val="none"/>
          <w:lang w:val="en-US" w:eastAsia="zh-CN" w:bidi="ar-SA"/>
        </w:rPr>
        <w:t>%。与2023年度相比，一般公共预算财政拨款支出减少8.6万元，下降10%。主要变动原因是</w:t>
      </w:r>
      <w:r>
        <w:rPr>
          <w:rFonts w:hint="eastAsia" w:eastAsia="仿宋_GB2312" w:cs="仿宋_GB2312"/>
          <w:color w:val="auto"/>
          <w:sz w:val="32"/>
          <w:szCs w:val="32"/>
          <w:highlight w:val="none"/>
          <w:lang w:eastAsia="zh-CN"/>
        </w:rPr>
        <w:t>合并单位</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p>
    <w:p>
      <w:pPr>
        <w:spacing w:line="600" w:lineRule="exact"/>
        <w:ind w:firstLine="643" w:firstLineChars="200"/>
        <w:outlineLvl w:val="2"/>
        <w:rPr>
          <w:rFonts w:hint="eastAsia" w:ascii="Times New Roman" w:hAnsi="Times New Roman" w:eastAsia="楷体_GB2312" w:cs="楷体_GB2312"/>
          <w:b/>
          <w:color w:val="auto"/>
          <w:sz w:val="32"/>
          <w:szCs w:val="32"/>
          <w:highlight w:val="none"/>
        </w:rPr>
      </w:pPr>
      <w:bookmarkStart w:id="43" w:name="_Toc15377211"/>
      <w:r>
        <w:rPr>
          <w:rFonts w:hint="eastAsia" w:ascii="Times New Roman" w:hAnsi="Times New Roman" w:eastAsia="楷体_GB2312" w:cs="楷体_GB2312"/>
          <w:b/>
          <w:color w:val="auto"/>
          <w:sz w:val="32"/>
          <w:szCs w:val="32"/>
          <w:highlight w:val="none"/>
        </w:rPr>
        <w:t>（二）一般公共预算财政拨款支出决算结构情况</w:t>
      </w:r>
      <w:bookmarkEnd w:id="43"/>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2024年度一般公共预算财政拨款支出</w:t>
      </w:r>
      <w:r>
        <w:rPr>
          <w:rFonts w:hint="eastAsia" w:ascii="仿宋_GB2312" w:hAnsi="仿宋_GB2312" w:eastAsia="仿宋_GB2312" w:cs="仿宋_GB2312"/>
          <w:sz w:val="32"/>
          <w:szCs w:val="32"/>
        </w:rPr>
        <w:t>78</w:t>
      </w:r>
      <w:r>
        <w:rPr>
          <w:rFonts w:hint="eastAsia" w:ascii="仿宋_GB2312" w:hAnsi="仿宋_GB2312" w:eastAsia="仿宋_GB2312" w:cs="仿宋_GB2312"/>
          <w:color w:val="auto"/>
          <w:kern w:val="2"/>
          <w:sz w:val="32"/>
          <w:szCs w:val="32"/>
          <w:highlight w:val="none"/>
          <w:lang w:val="en-US" w:eastAsia="zh-CN" w:bidi="ar-SA"/>
        </w:rPr>
        <w:t>万元</w:t>
      </w:r>
      <w:r>
        <w:rPr>
          <w:rFonts w:hint="eastAsia" w:ascii="Times New Roman" w:hAnsi="Times New Roman" w:eastAsia="仿宋_GB2312" w:cs="仿宋_GB2312"/>
          <w:color w:val="auto"/>
          <w:kern w:val="2"/>
          <w:sz w:val="32"/>
          <w:szCs w:val="32"/>
          <w:highlight w:val="none"/>
          <w:lang w:val="en-US" w:eastAsia="zh-CN" w:bidi="ar-SA"/>
        </w:rPr>
        <w:t>，主要用于以下方面</w:t>
      </w:r>
      <w:r>
        <w:rPr>
          <w:rFonts w:hint="eastAsia" w:eastAsia="仿宋_GB2312" w:cs="仿宋_GB2312"/>
          <w:color w:val="auto"/>
          <w:kern w:val="2"/>
          <w:sz w:val="32"/>
          <w:szCs w:val="32"/>
          <w:highlight w:val="none"/>
          <w:lang w:val="en-US" w:eastAsia="zh-CN" w:bidi="ar-SA"/>
        </w:rPr>
        <w:t>：</w:t>
      </w:r>
      <w:r>
        <w:rPr>
          <w:rFonts w:hint="eastAsia" w:ascii="Times New Roman" w:hAnsi="Times New Roman" w:eastAsia="仿宋_GB2312" w:cs="仿宋_GB2312"/>
          <w:color w:val="auto"/>
          <w:kern w:val="2"/>
          <w:sz w:val="32"/>
          <w:szCs w:val="32"/>
          <w:highlight w:val="none"/>
          <w:lang w:val="en-US" w:eastAsia="zh-CN" w:bidi="ar-SA"/>
        </w:rPr>
        <w:t>一般公共服务支出</w:t>
      </w:r>
      <w:r>
        <w:rPr>
          <w:rFonts w:hint="eastAsia" w:eastAsia="仿宋_GB2312" w:cs="仿宋_GB2312"/>
          <w:color w:val="auto"/>
          <w:kern w:val="2"/>
          <w:sz w:val="32"/>
          <w:szCs w:val="32"/>
          <w:highlight w:val="none"/>
          <w:lang w:val="en-US" w:eastAsia="zh-CN" w:bidi="ar-SA"/>
        </w:rPr>
        <w:t>0</w:t>
      </w:r>
      <w:r>
        <w:rPr>
          <w:rFonts w:hint="eastAsia" w:ascii="Times New Roman" w:hAnsi="Times New Roman" w:eastAsia="仿宋_GB2312" w:cs="仿宋_GB2312"/>
          <w:color w:val="auto"/>
          <w:kern w:val="2"/>
          <w:sz w:val="32"/>
          <w:szCs w:val="32"/>
          <w:highlight w:val="none"/>
          <w:lang w:val="en-US" w:eastAsia="zh-CN" w:bidi="ar-SA"/>
        </w:rPr>
        <w:t>万元，占</w:t>
      </w:r>
      <w:r>
        <w:rPr>
          <w:rFonts w:hint="eastAsia" w:eastAsia="仿宋_GB2312" w:cs="仿宋_GB2312"/>
          <w:color w:val="auto"/>
          <w:kern w:val="2"/>
          <w:sz w:val="32"/>
          <w:szCs w:val="32"/>
          <w:highlight w:val="none"/>
          <w:lang w:val="en-US" w:eastAsia="zh-CN" w:bidi="ar-SA"/>
        </w:rPr>
        <w:t>0</w:t>
      </w:r>
      <w:r>
        <w:rPr>
          <w:rFonts w:hint="eastAsia" w:ascii="Times New Roman" w:hAnsi="Times New Roman" w:eastAsia="仿宋_GB2312" w:cs="仿宋_GB2312"/>
          <w:color w:val="auto"/>
          <w:kern w:val="2"/>
          <w:sz w:val="32"/>
          <w:szCs w:val="32"/>
          <w:highlight w:val="none"/>
          <w:lang w:val="en-US" w:eastAsia="zh-CN" w:bidi="ar-SA"/>
        </w:rPr>
        <w:t>%；教育支出</w:t>
      </w:r>
      <w:r>
        <w:rPr>
          <w:rFonts w:hint="eastAsia" w:eastAsia="仿宋_GB2312" w:cs="仿宋_GB2312"/>
          <w:color w:val="auto"/>
          <w:kern w:val="2"/>
          <w:sz w:val="32"/>
          <w:szCs w:val="32"/>
          <w:highlight w:val="none"/>
          <w:lang w:val="en-US" w:eastAsia="zh-CN" w:bidi="ar-SA"/>
        </w:rPr>
        <w:t>0</w:t>
      </w:r>
      <w:r>
        <w:rPr>
          <w:rFonts w:hint="eastAsia" w:ascii="Times New Roman" w:hAnsi="Times New Roman" w:eastAsia="仿宋_GB2312" w:cs="仿宋_GB2312"/>
          <w:color w:val="auto"/>
          <w:kern w:val="2"/>
          <w:sz w:val="32"/>
          <w:szCs w:val="32"/>
          <w:highlight w:val="none"/>
          <w:lang w:val="en-US" w:eastAsia="zh-CN" w:bidi="ar-SA"/>
        </w:rPr>
        <w:t>万元，占</w:t>
      </w:r>
      <w:r>
        <w:rPr>
          <w:rFonts w:hint="eastAsia" w:eastAsia="仿宋_GB2312" w:cs="仿宋_GB2312"/>
          <w:color w:val="auto"/>
          <w:kern w:val="2"/>
          <w:sz w:val="32"/>
          <w:szCs w:val="32"/>
          <w:highlight w:val="none"/>
          <w:lang w:val="en-US" w:eastAsia="zh-CN" w:bidi="ar-SA"/>
        </w:rPr>
        <w:t>0</w:t>
      </w:r>
      <w:r>
        <w:rPr>
          <w:rFonts w:hint="eastAsia" w:ascii="Times New Roman" w:hAnsi="Times New Roman" w:eastAsia="仿宋_GB2312" w:cs="仿宋_GB2312"/>
          <w:color w:val="auto"/>
          <w:kern w:val="2"/>
          <w:sz w:val="32"/>
          <w:szCs w:val="32"/>
          <w:highlight w:val="none"/>
          <w:lang w:val="en-US" w:eastAsia="zh-CN" w:bidi="ar-SA"/>
        </w:rPr>
        <w:t>%；科学技术支出</w:t>
      </w:r>
      <w:r>
        <w:rPr>
          <w:rFonts w:hint="eastAsia" w:eastAsia="仿宋_GB2312" w:cs="仿宋_GB2312"/>
          <w:color w:val="auto"/>
          <w:kern w:val="2"/>
          <w:sz w:val="32"/>
          <w:szCs w:val="32"/>
          <w:highlight w:val="none"/>
          <w:lang w:val="en-US" w:eastAsia="zh-CN" w:bidi="ar-SA"/>
        </w:rPr>
        <w:t>0</w:t>
      </w:r>
      <w:r>
        <w:rPr>
          <w:rFonts w:hint="eastAsia" w:ascii="Times New Roman" w:hAnsi="Times New Roman" w:eastAsia="仿宋_GB2312" w:cs="仿宋_GB2312"/>
          <w:color w:val="auto"/>
          <w:kern w:val="2"/>
          <w:sz w:val="32"/>
          <w:szCs w:val="32"/>
          <w:highlight w:val="none"/>
          <w:lang w:val="en-US" w:eastAsia="zh-CN" w:bidi="ar-SA"/>
        </w:rPr>
        <w:t>万元，占</w:t>
      </w:r>
      <w:r>
        <w:rPr>
          <w:rFonts w:hint="eastAsia" w:eastAsia="仿宋_GB2312" w:cs="仿宋_GB2312"/>
          <w:color w:val="auto"/>
          <w:kern w:val="2"/>
          <w:sz w:val="32"/>
          <w:szCs w:val="32"/>
          <w:highlight w:val="none"/>
          <w:lang w:val="en-US" w:eastAsia="zh-CN" w:bidi="ar-SA"/>
        </w:rPr>
        <w:t>0</w:t>
      </w:r>
      <w:r>
        <w:rPr>
          <w:rFonts w:hint="eastAsia" w:ascii="Times New Roman" w:hAnsi="Times New Roman" w:eastAsia="仿宋_GB2312" w:cs="仿宋_GB2312"/>
          <w:color w:val="auto"/>
          <w:kern w:val="2"/>
          <w:sz w:val="32"/>
          <w:szCs w:val="32"/>
          <w:highlight w:val="none"/>
          <w:lang w:val="en-US" w:eastAsia="zh-CN" w:bidi="ar-SA"/>
        </w:rPr>
        <w:t>%；文化旅游体育与传媒支出</w:t>
      </w:r>
      <w:r>
        <w:rPr>
          <w:rFonts w:hint="eastAsia" w:eastAsia="仿宋_GB2312" w:cs="仿宋_GB2312"/>
          <w:color w:val="auto"/>
          <w:kern w:val="2"/>
          <w:sz w:val="32"/>
          <w:szCs w:val="32"/>
          <w:highlight w:val="none"/>
          <w:lang w:val="en-US" w:eastAsia="zh-CN" w:bidi="ar-SA"/>
        </w:rPr>
        <w:t>57.28</w:t>
      </w:r>
      <w:r>
        <w:rPr>
          <w:rFonts w:hint="eastAsia" w:ascii="Times New Roman" w:hAnsi="Times New Roman" w:eastAsia="仿宋_GB2312" w:cs="仿宋_GB2312"/>
          <w:color w:val="auto"/>
          <w:kern w:val="2"/>
          <w:sz w:val="32"/>
          <w:szCs w:val="32"/>
          <w:highlight w:val="none"/>
          <w:lang w:val="en-US" w:eastAsia="zh-CN" w:bidi="ar-SA"/>
        </w:rPr>
        <w:t>万元，占</w:t>
      </w:r>
      <w:r>
        <w:rPr>
          <w:rFonts w:hint="eastAsia" w:eastAsia="仿宋_GB2312" w:cs="仿宋_GB2312"/>
          <w:color w:val="auto"/>
          <w:kern w:val="2"/>
          <w:sz w:val="32"/>
          <w:szCs w:val="32"/>
          <w:highlight w:val="none"/>
          <w:lang w:val="en-US" w:eastAsia="zh-CN" w:bidi="ar-SA"/>
        </w:rPr>
        <w:t>76</w:t>
      </w:r>
      <w:r>
        <w:rPr>
          <w:rFonts w:hint="eastAsia" w:ascii="Times New Roman" w:hAnsi="Times New Roman" w:eastAsia="仿宋_GB2312" w:cs="仿宋_GB2312"/>
          <w:color w:val="auto"/>
          <w:kern w:val="2"/>
          <w:sz w:val="32"/>
          <w:szCs w:val="32"/>
          <w:highlight w:val="none"/>
          <w:lang w:val="en-US" w:eastAsia="zh-CN" w:bidi="ar-SA"/>
        </w:rPr>
        <w:t>%；社会保障和就业支出</w:t>
      </w:r>
      <w:r>
        <w:rPr>
          <w:rFonts w:hint="eastAsia" w:eastAsia="仿宋_GB2312" w:cs="仿宋_GB2312"/>
          <w:color w:val="auto"/>
          <w:kern w:val="2"/>
          <w:sz w:val="32"/>
          <w:szCs w:val="32"/>
          <w:highlight w:val="none"/>
          <w:lang w:val="en-US" w:eastAsia="zh-CN" w:bidi="ar-SA"/>
        </w:rPr>
        <w:t>10.55</w:t>
      </w:r>
      <w:r>
        <w:rPr>
          <w:rFonts w:hint="eastAsia" w:ascii="Times New Roman" w:hAnsi="Times New Roman" w:eastAsia="仿宋_GB2312" w:cs="仿宋_GB2312"/>
          <w:color w:val="auto"/>
          <w:kern w:val="2"/>
          <w:sz w:val="32"/>
          <w:szCs w:val="32"/>
          <w:highlight w:val="none"/>
          <w:lang w:val="en-US" w:eastAsia="zh-CN" w:bidi="ar-SA"/>
        </w:rPr>
        <w:t>万元，占</w:t>
      </w:r>
      <w:r>
        <w:rPr>
          <w:rFonts w:hint="eastAsia" w:eastAsia="仿宋_GB2312" w:cs="仿宋_GB2312"/>
          <w:color w:val="auto"/>
          <w:kern w:val="2"/>
          <w:sz w:val="32"/>
          <w:szCs w:val="32"/>
          <w:highlight w:val="none"/>
          <w:lang w:val="en-US" w:eastAsia="zh-CN" w:bidi="ar-SA"/>
        </w:rPr>
        <w:t>13.53</w:t>
      </w:r>
      <w:r>
        <w:rPr>
          <w:rFonts w:hint="eastAsia" w:ascii="Times New Roman" w:hAnsi="Times New Roman" w:eastAsia="仿宋_GB2312" w:cs="仿宋_GB2312"/>
          <w:color w:val="auto"/>
          <w:kern w:val="2"/>
          <w:sz w:val="32"/>
          <w:szCs w:val="32"/>
          <w:highlight w:val="none"/>
          <w:lang w:val="en-US" w:eastAsia="zh-CN" w:bidi="ar-SA"/>
        </w:rPr>
        <w:t>%；卫生健康支出</w:t>
      </w:r>
      <w:r>
        <w:rPr>
          <w:rFonts w:hint="eastAsia" w:eastAsia="仿宋_GB2312" w:cs="仿宋_GB2312"/>
          <w:color w:val="auto"/>
          <w:kern w:val="2"/>
          <w:sz w:val="32"/>
          <w:szCs w:val="32"/>
          <w:highlight w:val="none"/>
          <w:lang w:val="en-US" w:eastAsia="zh-CN" w:bidi="ar-SA"/>
        </w:rPr>
        <w:t>2.62</w:t>
      </w:r>
      <w:r>
        <w:rPr>
          <w:rFonts w:hint="eastAsia" w:ascii="Times New Roman" w:hAnsi="Times New Roman" w:eastAsia="仿宋_GB2312" w:cs="仿宋_GB2312"/>
          <w:color w:val="auto"/>
          <w:kern w:val="2"/>
          <w:sz w:val="32"/>
          <w:szCs w:val="32"/>
          <w:highlight w:val="none"/>
          <w:lang w:val="en-US" w:eastAsia="zh-CN" w:bidi="ar-SA"/>
        </w:rPr>
        <w:t>万元，占</w:t>
      </w:r>
      <w:r>
        <w:rPr>
          <w:rFonts w:hint="eastAsia" w:eastAsia="仿宋_GB2312" w:cs="仿宋_GB2312"/>
          <w:color w:val="auto"/>
          <w:kern w:val="2"/>
          <w:sz w:val="32"/>
          <w:szCs w:val="32"/>
          <w:highlight w:val="none"/>
          <w:lang w:val="en-US" w:eastAsia="zh-CN" w:bidi="ar-SA"/>
        </w:rPr>
        <w:t>3.36</w:t>
      </w:r>
      <w:r>
        <w:rPr>
          <w:rFonts w:hint="eastAsia" w:ascii="Times New Roman" w:hAnsi="Times New Roman" w:eastAsia="仿宋_GB2312" w:cs="仿宋_GB2312"/>
          <w:color w:val="auto"/>
          <w:kern w:val="2"/>
          <w:sz w:val="32"/>
          <w:szCs w:val="32"/>
          <w:highlight w:val="none"/>
          <w:lang w:val="en-US" w:eastAsia="zh-CN" w:bidi="ar-SA"/>
        </w:rPr>
        <w:t>%；住房保障支出</w:t>
      </w:r>
      <w:r>
        <w:rPr>
          <w:rFonts w:hint="eastAsia" w:eastAsia="仿宋_GB2312" w:cs="仿宋_GB2312"/>
          <w:color w:val="auto"/>
          <w:kern w:val="2"/>
          <w:sz w:val="32"/>
          <w:szCs w:val="32"/>
          <w:highlight w:val="none"/>
          <w:lang w:val="en-US" w:eastAsia="zh-CN" w:bidi="ar-SA"/>
        </w:rPr>
        <w:t>5.55</w:t>
      </w:r>
      <w:r>
        <w:rPr>
          <w:rFonts w:hint="eastAsia" w:ascii="Times New Roman" w:hAnsi="Times New Roman" w:eastAsia="仿宋_GB2312" w:cs="仿宋_GB2312"/>
          <w:color w:val="auto"/>
          <w:kern w:val="2"/>
          <w:sz w:val="32"/>
          <w:szCs w:val="32"/>
          <w:highlight w:val="none"/>
          <w:lang w:val="en-US" w:eastAsia="zh-CN" w:bidi="ar-SA"/>
        </w:rPr>
        <w:t>万元，占</w:t>
      </w:r>
      <w:r>
        <w:rPr>
          <w:rFonts w:hint="eastAsia" w:eastAsia="仿宋_GB2312" w:cs="仿宋_GB2312"/>
          <w:color w:val="auto"/>
          <w:kern w:val="2"/>
          <w:sz w:val="32"/>
          <w:szCs w:val="32"/>
          <w:highlight w:val="none"/>
          <w:lang w:val="en-US" w:eastAsia="zh-CN" w:bidi="ar-SA"/>
        </w:rPr>
        <w:t>7.12</w:t>
      </w:r>
      <w:r>
        <w:rPr>
          <w:rFonts w:hint="eastAsia" w:ascii="Times New Roman" w:hAnsi="Times New Roman" w:eastAsia="仿宋_GB2312" w:cs="仿宋_GB2312"/>
          <w:color w:val="auto"/>
          <w:kern w:val="2"/>
          <w:sz w:val="32"/>
          <w:szCs w:val="32"/>
          <w:highlight w:val="none"/>
          <w:lang w:val="en-US" w:eastAsia="zh-CN" w:bidi="ar-SA"/>
        </w:rPr>
        <w:t>%；</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p>
    <w:p>
      <w:pPr>
        <w:spacing w:line="600" w:lineRule="exact"/>
        <w:ind w:firstLine="643" w:firstLineChars="200"/>
        <w:outlineLvl w:val="2"/>
        <w:rPr>
          <w:rFonts w:hint="eastAsia" w:ascii="Times New Roman" w:hAnsi="Times New Roman" w:eastAsia="楷体_GB2312" w:cs="楷体_GB2312"/>
          <w:b/>
          <w:color w:val="auto"/>
          <w:sz w:val="32"/>
          <w:szCs w:val="32"/>
          <w:highlight w:val="none"/>
        </w:rPr>
      </w:pPr>
      <w:bookmarkStart w:id="44" w:name="_Toc15377212"/>
      <w:r>
        <w:rPr>
          <w:rFonts w:hint="eastAsia" w:ascii="Times New Roman" w:hAnsi="Times New Roman" w:eastAsia="楷体_GB2312" w:cs="楷体_GB2312"/>
          <w:b/>
          <w:color w:val="auto"/>
          <w:sz w:val="32"/>
          <w:szCs w:val="32"/>
          <w:highlight w:val="none"/>
        </w:rPr>
        <w:t>（三）一般公共预算财政拨款支出决算具体情况</w:t>
      </w:r>
      <w:bookmarkEnd w:id="44"/>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bookmarkStart w:id="45" w:name="_Toc15377444"/>
      <w:bookmarkStart w:id="46" w:name="_Toc15378460"/>
      <w:bookmarkStart w:id="47" w:name="_Toc15377213"/>
      <w:r>
        <w:rPr>
          <w:rFonts w:hint="eastAsia" w:ascii="Times New Roman" w:hAnsi="Times New Roman" w:eastAsia="仿宋_GB2312" w:cs="仿宋_GB2312"/>
          <w:color w:val="auto"/>
          <w:kern w:val="2"/>
          <w:sz w:val="32"/>
          <w:szCs w:val="32"/>
          <w:highlight w:val="none"/>
          <w:lang w:val="en-US" w:eastAsia="zh-CN" w:bidi="ar-SA"/>
        </w:rPr>
        <w:t>2024年度一般公共预算财政拨款支出决算数为</w:t>
      </w:r>
      <w:r>
        <w:rPr>
          <w:rFonts w:hint="eastAsia" w:ascii="仿宋_GB2312" w:hAnsi="仿宋_GB2312" w:eastAsia="仿宋_GB2312" w:cs="仿宋_GB2312"/>
          <w:sz w:val="32"/>
          <w:szCs w:val="32"/>
        </w:rPr>
        <w:t>78</w:t>
      </w:r>
      <w:r>
        <w:rPr>
          <w:rFonts w:hint="eastAsia" w:ascii="仿宋_GB2312" w:hAnsi="仿宋_GB2312" w:eastAsia="仿宋_GB2312" w:cs="仿宋_GB2312"/>
          <w:color w:val="auto"/>
          <w:kern w:val="2"/>
          <w:sz w:val="32"/>
          <w:szCs w:val="32"/>
          <w:highlight w:val="none"/>
          <w:lang w:val="en-US" w:eastAsia="zh-CN" w:bidi="ar-SA"/>
        </w:rPr>
        <w:t>，</w:t>
      </w:r>
      <w:r>
        <w:rPr>
          <w:rFonts w:hint="eastAsia" w:ascii="Times New Roman" w:hAnsi="Times New Roman" w:eastAsia="仿宋_GB2312" w:cs="仿宋_GB2312"/>
          <w:color w:val="auto"/>
          <w:kern w:val="2"/>
          <w:sz w:val="32"/>
          <w:szCs w:val="32"/>
          <w:highlight w:val="none"/>
          <w:lang w:val="en-US" w:eastAsia="zh-CN" w:bidi="ar-SA"/>
        </w:rPr>
        <w:t>完成预算</w:t>
      </w:r>
      <w:r>
        <w:rPr>
          <w:rFonts w:hint="eastAsia" w:eastAsia="仿宋_GB2312" w:cs="仿宋_GB2312"/>
          <w:color w:val="auto"/>
          <w:kern w:val="2"/>
          <w:sz w:val="32"/>
          <w:szCs w:val="32"/>
          <w:highlight w:val="none"/>
          <w:lang w:val="en-US" w:eastAsia="zh-CN" w:bidi="ar-SA"/>
        </w:rPr>
        <w:t>100</w:t>
      </w:r>
      <w:r>
        <w:rPr>
          <w:rFonts w:hint="eastAsia" w:ascii="Times New Roman" w:hAnsi="Times New Roman" w:eastAsia="仿宋_GB2312" w:cs="仿宋_GB2312"/>
          <w:color w:val="auto"/>
          <w:kern w:val="2"/>
          <w:sz w:val="32"/>
          <w:szCs w:val="32"/>
          <w:highlight w:val="none"/>
          <w:lang w:val="en-US" w:eastAsia="zh-CN" w:bidi="ar-SA"/>
        </w:rPr>
        <w:t>%。其中：</w:t>
      </w:r>
      <w:bookmarkEnd w:id="45"/>
      <w:bookmarkEnd w:id="46"/>
      <w:bookmarkEnd w:id="47"/>
    </w:p>
    <w:p>
      <w:pPr>
        <w:numPr>
          <w:ilvl w:val="0"/>
          <w:numId w:val="3"/>
        </w:num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文化旅游体育与传媒（类）文化和旅游（款）群众文化（项）</w:t>
      </w:r>
      <w:r>
        <w:rPr>
          <w:rFonts w:hint="eastAsia" w:eastAsia="仿宋_GB2312" w:cs="仿宋_GB2312"/>
          <w:color w:val="auto"/>
          <w:kern w:val="2"/>
          <w:sz w:val="32"/>
          <w:szCs w:val="32"/>
          <w:highlight w:val="none"/>
          <w:lang w:val="en-US" w:eastAsia="zh-CN" w:bidi="ar-SA"/>
        </w:rPr>
        <w:t>：</w:t>
      </w:r>
      <w:r>
        <w:rPr>
          <w:rFonts w:hint="eastAsia" w:ascii="Times New Roman" w:hAnsi="Times New Roman" w:eastAsia="仿宋_GB2312" w:cs="仿宋_GB2312"/>
          <w:color w:val="auto"/>
          <w:kern w:val="2"/>
          <w:sz w:val="32"/>
          <w:szCs w:val="32"/>
          <w:highlight w:val="none"/>
          <w:lang w:val="en-US" w:eastAsia="zh-CN" w:bidi="ar-SA"/>
        </w:rPr>
        <w:t>支出决算为</w:t>
      </w:r>
      <w:r>
        <w:rPr>
          <w:rFonts w:hint="eastAsia" w:eastAsia="仿宋_GB2312" w:cs="仿宋_GB2312"/>
          <w:color w:val="auto"/>
          <w:kern w:val="2"/>
          <w:sz w:val="32"/>
          <w:szCs w:val="32"/>
          <w:highlight w:val="none"/>
          <w:lang w:val="en-US" w:eastAsia="zh-CN" w:bidi="ar-SA"/>
        </w:rPr>
        <w:t>59.28</w:t>
      </w:r>
      <w:r>
        <w:rPr>
          <w:rFonts w:hint="eastAsia" w:ascii="Times New Roman" w:hAnsi="Times New Roman" w:eastAsia="仿宋_GB2312" w:cs="仿宋_GB2312"/>
          <w:color w:val="auto"/>
          <w:kern w:val="2"/>
          <w:sz w:val="32"/>
          <w:szCs w:val="32"/>
          <w:highlight w:val="none"/>
          <w:lang w:val="en-US" w:eastAsia="zh-CN" w:bidi="ar-SA"/>
        </w:rPr>
        <w:t>万元，完成预算</w:t>
      </w:r>
      <w:r>
        <w:rPr>
          <w:rFonts w:hint="eastAsia" w:eastAsia="仿宋_GB2312" w:cs="仿宋_GB2312"/>
          <w:color w:val="auto"/>
          <w:kern w:val="2"/>
          <w:sz w:val="32"/>
          <w:szCs w:val="32"/>
          <w:highlight w:val="none"/>
          <w:lang w:val="en-US" w:eastAsia="zh-CN" w:bidi="ar-SA"/>
        </w:rPr>
        <w:t>100</w:t>
      </w:r>
      <w:r>
        <w:rPr>
          <w:rFonts w:hint="eastAsia" w:ascii="Times New Roman" w:hAnsi="Times New Roman" w:eastAsia="仿宋_GB2312" w:cs="仿宋_GB2312"/>
          <w:color w:val="auto"/>
          <w:kern w:val="2"/>
          <w:sz w:val="32"/>
          <w:szCs w:val="32"/>
          <w:highlight w:val="none"/>
          <w:lang w:val="en-US" w:eastAsia="zh-CN" w:bidi="ar-SA"/>
        </w:rPr>
        <w:t>%，</w:t>
      </w:r>
    </w:p>
    <w:p>
      <w:pPr>
        <w:numPr>
          <w:ilvl w:val="0"/>
          <w:numId w:val="3"/>
        </w:num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社会保障和就业支出（类）行政事业单位养老支出（款）机关事业单位基本养老保险缴费支出（项）</w:t>
      </w:r>
      <w:r>
        <w:rPr>
          <w:rFonts w:hint="eastAsia" w:eastAsia="仿宋_GB2312" w:cs="仿宋_GB2312"/>
          <w:color w:val="auto"/>
          <w:kern w:val="2"/>
          <w:sz w:val="32"/>
          <w:szCs w:val="32"/>
          <w:highlight w:val="none"/>
          <w:lang w:val="en-US" w:eastAsia="zh-CN" w:bidi="ar-SA"/>
        </w:rPr>
        <w:t>：</w:t>
      </w:r>
      <w:r>
        <w:rPr>
          <w:rFonts w:hint="eastAsia" w:ascii="Times New Roman" w:hAnsi="Times New Roman" w:eastAsia="仿宋_GB2312" w:cs="仿宋_GB2312"/>
          <w:color w:val="auto"/>
          <w:kern w:val="2"/>
          <w:sz w:val="32"/>
          <w:szCs w:val="32"/>
          <w:highlight w:val="none"/>
          <w:lang w:val="en-US" w:eastAsia="zh-CN" w:bidi="ar-SA"/>
        </w:rPr>
        <w:t>支出决算为</w:t>
      </w:r>
      <w:r>
        <w:rPr>
          <w:rFonts w:hint="eastAsia" w:eastAsia="仿宋_GB2312" w:cs="仿宋_GB2312"/>
          <w:color w:val="auto"/>
          <w:kern w:val="2"/>
          <w:sz w:val="32"/>
          <w:szCs w:val="32"/>
          <w:highlight w:val="none"/>
          <w:lang w:val="en-US" w:eastAsia="zh-CN" w:bidi="ar-SA"/>
        </w:rPr>
        <w:t>6.29</w:t>
      </w:r>
      <w:r>
        <w:rPr>
          <w:rFonts w:hint="eastAsia" w:ascii="Times New Roman" w:hAnsi="Times New Roman" w:eastAsia="仿宋_GB2312" w:cs="仿宋_GB2312"/>
          <w:color w:val="auto"/>
          <w:kern w:val="2"/>
          <w:sz w:val="32"/>
          <w:szCs w:val="32"/>
          <w:highlight w:val="none"/>
          <w:lang w:val="en-US" w:eastAsia="zh-CN" w:bidi="ar-SA"/>
        </w:rPr>
        <w:t>万元，完成预算</w:t>
      </w:r>
      <w:r>
        <w:rPr>
          <w:rFonts w:hint="eastAsia" w:eastAsia="仿宋_GB2312" w:cs="仿宋_GB2312"/>
          <w:color w:val="auto"/>
          <w:kern w:val="2"/>
          <w:sz w:val="32"/>
          <w:szCs w:val="32"/>
          <w:highlight w:val="none"/>
          <w:lang w:val="en-US" w:eastAsia="zh-CN" w:bidi="ar-SA"/>
        </w:rPr>
        <w:t>100</w:t>
      </w:r>
      <w:r>
        <w:rPr>
          <w:rFonts w:hint="eastAsia" w:ascii="Times New Roman" w:hAnsi="Times New Roman" w:eastAsia="仿宋_GB2312" w:cs="仿宋_GB2312"/>
          <w:color w:val="auto"/>
          <w:kern w:val="2"/>
          <w:sz w:val="32"/>
          <w:szCs w:val="32"/>
          <w:highlight w:val="none"/>
          <w:lang w:val="en-US" w:eastAsia="zh-CN" w:bidi="ar-SA"/>
        </w:rPr>
        <w:t>%，</w:t>
      </w:r>
    </w:p>
    <w:p>
      <w:pPr>
        <w:numPr>
          <w:ilvl w:val="0"/>
          <w:numId w:val="3"/>
        </w:num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社会保障和就业支出（类）行政事业单位养老支出（款）机关事业单位职业年金缴费支出（项）</w:t>
      </w:r>
      <w:r>
        <w:rPr>
          <w:rFonts w:hint="eastAsia" w:eastAsia="仿宋_GB2312" w:cs="仿宋_GB2312"/>
          <w:color w:val="auto"/>
          <w:kern w:val="2"/>
          <w:sz w:val="32"/>
          <w:szCs w:val="32"/>
          <w:highlight w:val="none"/>
          <w:lang w:val="en-US" w:eastAsia="zh-CN" w:bidi="ar-SA"/>
        </w:rPr>
        <w:t>：</w:t>
      </w:r>
      <w:r>
        <w:rPr>
          <w:rFonts w:hint="eastAsia" w:ascii="Times New Roman" w:hAnsi="Times New Roman" w:eastAsia="仿宋_GB2312" w:cs="仿宋_GB2312"/>
          <w:color w:val="auto"/>
          <w:kern w:val="2"/>
          <w:sz w:val="32"/>
          <w:szCs w:val="32"/>
          <w:highlight w:val="none"/>
          <w:lang w:val="en-US" w:eastAsia="zh-CN" w:bidi="ar-SA"/>
        </w:rPr>
        <w:t>支出决算为</w:t>
      </w:r>
      <w:r>
        <w:rPr>
          <w:rFonts w:hint="eastAsia" w:eastAsia="仿宋_GB2312" w:cs="仿宋_GB2312"/>
          <w:color w:val="auto"/>
          <w:kern w:val="2"/>
          <w:sz w:val="32"/>
          <w:szCs w:val="32"/>
          <w:highlight w:val="none"/>
          <w:lang w:val="en-US" w:eastAsia="zh-CN" w:bidi="ar-SA"/>
        </w:rPr>
        <w:t>3.15</w:t>
      </w:r>
      <w:r>
        <w:rPr>
          <w:rFonts w:hint="eastAsia" w:ascii="Times New Roman" w:hAnsi="Times New Roman" w:eastAsia="仿宋_GB2312" w:cs="仿宋_GB2312"/>
          <w:color w:val="auto"/>
          <w:kern w:val="2"/>
          <w:sz w:val="32"/>
          <w:szCs w:val="32"/>
          <w:highlight w:val="none"/>
          <w:lang w:val="en-US" w:eastAsia="zh-CN" w:bidi="ar-SA"/>
        </w:rPr>
        <w:t>万元，完成预算</w:t>
      </w:r>
      <w:r>
        <w:rPr>
          <w:rFonts w:hint="eastAsia" w:eastAsia="仿宋_GB2312" w:cs="仿宋_GB2312"/>
          <w:color w:val="auto"/>
          <w:kern w:val="2"/>
          <w:sz w:val="32"/>
          <w:szCs w:val="32"/>
          <w:highlight w:val="none"/>
          <w:lang w:val="en-US" w:eastAsia="zh-CN" w:bidi="ar-SA"/>
        </w:rPr>
        <w:t>100</w:t>
      </w:r>
      <w:r>
        <w:rPr>
          <w:rFonts w:hint="eastAsia" w:ascii="Times New Roman" w:hAnsi="Times New Roman" w:eastAsia="仿宋_GB2312" w:cs="仿宋_GB2312"/>
          <w:color w:val="auto"/>
          <w:kern w:val="2"/>
          <w:sz w:val="32"/>
          <w:szCs w:val="32"/>
          <w:highlight w:val="none"/>
          <w:lang w:val="en-US" w:eastAsia="zh-CN" w:bidi="ar-SA"/>
        </w:rPr>
        <w:t>%，</w:t>
      </w:r>
    </w:p>
    <w:p>
      <w:pPr>
        <w:numPr>
          <w:ilvl w:val="0"/>
          <w:numId w:val="3"/>
        </w:num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社会保障和就业支出（类）行政事业单位养老支出（款）其他行政事业单位养老支出（项）</w:t>
      </w:r>
      <w:r>
        <w:rPr>
          <w:rFonts w:hint="eastAsia" w:eastAsia="仿宋_GB2312" w:cs="仿宋_GB2312"/>
          <w:color w:val="auto"/>
          <w:kern w:val="2"/>
          <w:sz w:val="32"/>
          <w:szCs w:val="32"/>
          <w:highlight w:val="none"/>
          <w:lang w:val="en-US" w:eastAsia="zh-CN" w:bidi="ar-SA"/>
        </w:rPr>
        <w:t>：</w:t>
      </w:r>
      <w:r>
        <w:rPr>
          <w:rFonts w:hint="eastAsia" w:ascii="Times New Roman" w:hAnsi="Times New Roman" w:eastAsia="仿宋_GB2312" w:cs="仿宋_GB2312"/>
          <w:color w:val="auto"/>
          <w:kern w:val="2"/>
          <w:sz w:val="32"/>
          <w:szCs w:val="32"/>
          <w:highlight w:val="none"/>
          <w:lang w:val="en-US" w:eastAsia="zh-CN" w:bidi="ar-SA"/>
        </w:rPr>
        <w:t>支出决算为</w:t>
      </w:r>
      <w:r>
        <w:rPr>
          <w:rFonts w:hint="eastAsia" w:eastAsia="仿宋_GB2312" w:cs="仿宋_GB2312"/>
          <w:color w:val="auto"/>
          <w:kern w:val="2"/>
          <w:sz w:val="32"/>
          <w:szCs w:val="32"/>
          <w:highlight w:val="none"/>
          <w:lang w:val="en-US" w:eastAsia="zh-CN" w:bidi="ar-SA"/>
        </w:rPr>
        <w:t>0.83万元，</w:t>
      </w:r>
      <w:r>
        <w:rPr>
          <w:rFonts w:hint="eastAsia" w:ascii="Times New Roman" w:hAnsi="Times New Roman" w:eastAsia="仿宋_GB2312" w:cs="仿宋_GB2312"/>
          <w:color w:val="auto"/>
          <w:kern w:val="2"/>
          <w:sz w:val="32"/>
          <w:szCs w:val="32"/>
          <w:highlight w:val="none"/>
          <w:lang w:val="en-US" w:eastAsia="zh-CN" w:bidi="ar-SA"/>
        </w:rPr>
        <w:t>完成预算</w:t>
      </w:r>
      <w:r>
        <w:rPr>
          <w:rFonts w:hint="eastAsia" w:eastAsia="仿宋_GB2312" w:cs="仿宋_GB2312"/>
          <w:color w:val="auto"/>
          <w:kern w:val="2"/>
          <w:sz w:val="32"/>
          <w:szCs w:val="32"/>
          <w:highlight w:val="none"/>
          <w:lang w:val="en-US" w:eastAsia="zh-CN" w:bidi="ar-SA"/>
        </w:rPr>
        <w:t>100</w:t>
      </w:r>
      <w:r>
        <w:rPr>
          <w:rFonts w:hint="eastAsia" w:ascii="Times New Roman" w:hAnsi="Times New Roman" w:eastAsia="仿宋_GB2312" w:cs="仿宋_GB2312"/>
          <w:color w:val="auto"/>
          <w:kern w:val="2"/>
          <w:sz w:val="32"/>
          <w:szCs w:val="32"/>
          <w:highlight w:val="none"/>
          <w:lang w:val="en-US" w:eastAsia="zh-CN" w:bidi="ar-SA"/>
        </w:rPr>
        <w:t>%</w:t>
      </w:r>
      <w:r>
        <w:rPr>
          <w:rFonts w:hint="eastAsia" w:eastAsia="仿宋_GB2312" w:cs="仿宋_GB2312"/>
          <w:color w:val="auto"/>
          <w:kern w:val="2"/>
          <w:sz w:val="32"/>
          <w:szCs w:val="32"/>
          <w:highlight w:val="none"/>
          <w:lang w:val="en-US" w:eastAsia="zh-CN" w:bidi="ar-SA"/>
        </w:rPr>
        <w:t>。</w:t>
      </w:r>
    </w:p>
    <w:p>
      <w:pPr>
        <w:numPr>
          <w:ilvl w:val="0"/>
          <w:numId w:val="3"/>
        </w:num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社会保障和就业支出（类）其他社会保障和就业支出（款）其他社会保障和就业支出（项）</w:t>
      </w:r>
      <w:r>
        <w:rPr>
          <w:rFonts w:hint="eastAsia" w:eastAsia="仿宋_GB2312" w:cs="仿宋_GB2312"/>
          <w:color w:val="auto"/>
          <w:kern w:val="2"/>
          <w:sz w:val="32"/>
          <w:szCs w:val="32"/>
          <w:highlight w:val="none"/>
          <w:lang w:val="en-US" w:eastAsia="zh-CN" w:bidi="ar-SA"/>
        </w:rPr>
        <w:t>：</w:t>
      </w:r>
      <w:r>
        <w:rPr>
          <w:rFonts w:hint="eastAsia" w:ascii="Times New Roman" w:hAnsi="Times New Roman" w:eastAsia="仿宋_GB2312" w:cs="仿宋_GB2312"/>
          <w:color w:val="auto"/>
          <w:kern w:val="2"/>
          <w:sz w:val="32"/>
          <w:szCs w:val="32"/>
          <w:highlight w:val="none"/>
          <w:lang w:val="en-US" w:eastAsia="zh-CN" w:bidi="ar-SA"/>
        </w:rPr>
        <w:t>支出决算为</w:t>
      </w:r>
      <w:r>
        <w:rPr>
          <w:rFonts w:hint="eastAsia" w:eastAsia="仿宋_GB2312" w:cs="仿宋_GB2312"/>
          <w:color w:val="auto"/>
          <w:kern w:val="2"/>
          <w:sz w:val="32"/>
          <w:szCs w:val="32"/>
          <w:highlight w:val="none"/>
          <w:lang w:val="en-US" w:eastAsia="zh-CN" w:bidi="ar-SA"/>
        </w:rPr>
        <w:t>0.28万元，</w:t>
      </w:r>
      <w:r>
        <w:rPr>
          <w:rFonts w:hint="eastAsia" w:ascii="Times New Roman" w:hAnsi="Times New Roman" w:eastAsia="仿宋_GB2312" w:cs="仿宋_GB2312"/>
          <w:color w:val="auto"/>
          <w:kern w:val="2"/>
          <w:sz w:val="32"/>
          <w:szCs w:val="32"/>
          <w:highlight w:val="none"/>
          <w:lang w:val="en-US" w:eastAsia="zh-CN" w:bidi="ar-SA"/>
        </w:rPr>
        <w:t>完成预算</w:t>
      </w:r>
      <w:r>
        <w:rPr>
          <w:rFonts w:hint="eastAsia" w:eastAsia="仿宋_GB2312" w:cs="仿宋_GB2312"/>
          <w:color w:val="auto"/>
          <w:kern w:val="2"/>
          <w:sz w:val="32"/>
          <w:szCs w:val="32"/>
          <w:highlight w:val="none"/>
          <w:lang w:val="en-US" w:eastAsia="zh-CN" w:bidi="ar-SA"/>
        </w:rPr>
        <w:t>100</w:t>
      </w:r>
      <w:r>
        <w:rPr>
          <w:rFonts w:hint="eastAsia" w:ascii="Times New Roman" w:hAnsi="Times New Roman" w:eastAsia="仿宋_GB2312" w:cs="仿宋_GB2312"/>
          <w:color w:val="auto"/>
          <w:kern w:val="2"/>
          <w:sz w:val="32"/>
          <w:szCs w:val="32"/>
          <w:highlight w:val="none"/>
          <w:lang w:val="en-US" w:eastAsia="zh-CN" w:bidi="ar-SA"/>
        </w:rPr>
        <w:t>%</w:t>
      </w:r>
    </w:p>
    <w:p>
      <w:pPr>
        <w:pStyle w:val="2"/>
        <w:rPr>
          <w:rFonts w:hint="eastAsia" w:eastAsia="仿宋_GB2312" w:cs="仿宋_GB2312"/>
          <w:color w:val="auto"/>
          <w:kern w:val="2"/>
          <w:sz w:val="32"/>
          <w:szCs w:val="32"/>
          <w:highlight w:val="none"/>
          <w:lang w:val="en-US" w:eastAsia="zh-CN" w:bidi="ar-SA"/>
        </w:rPr>
      </w:pPr>
    </w:p>
    <w:p>
      <w:pPr>
        <w:pStyle w:val="3"/>
        <w:rPr>
          <w:rFonts w:hint="eastAsia"/>
          <w:lang w:val="en-US" w:eastAsia="zh-CN"/>
        </w:rPr>
      </w:pPr>
    </w:p>
    <w:p>
      <w:pPr>
        <w:pStyle w:val="2"/>
        <w:rPr>
          <w:rFonts w:hint="eastAsia"/>
          <w:lang w:val="en-US" w:eastAsia="zh-CN"/>
        </w:rPr>
      </w:pPr>
    </w:p>
    <w:p>
      <w:pPr>
        <w:numPr>
          <w:ilvl w:val="0"/>
          <w:numId w:val="3"/>
        </w:numPr>
        <w:spacing w:line="600" w:lineRule="exact"/>
        <w:ind w:left="0" w:leftChars="0" w:firstLine="640" w:firstLineChars="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卫生健康（类）行政事业单位医疗（款）事业单位医疗（项）</w:t>
      </w:r>
      <w:r>
        <w:rPr>
          <w:rFonts w:hint="eastAsia" w:eastAsia="仿宋_GB2312" w:cs="仿宋_GB2312"/>
          <w:color w:val="auto"/>
          <w:kern w:val="2"/>
          <w:sz w:val="32"/>
          <w:szCs w:val="32"/>
          <w:highlight w:val="none"/>
          <w:lang w:val="en-US" w:eastAsia="zh-CN" w:bidi="ar-SA"/>
        </w:rPr>
        <w:t>：</w:t>
      </w:r>
      <w:r>
        <w:rPr>
          <w:rFonts w:hint="eastAsia" w:ascii="Times New Roman" w:hAnsi="Times New Roman" w:eastAsia="仿宋_GB2312" w:cs="仿宋_GB2312"/>
          <w:color w:val="auto"/>
          <w:kern w:val="2"/>
          <w:sz w:val="32"/>
          <w:szCs w:val="32"/>
          <w:highlight w:val="none"/>
          <w:lang w:val="en-US" w:eastAsia="zh-CN" w:bidi="ar-SA"/>
        </w:rPr>
        <w:t>支出决算为</w:t>
      </w:r>
      <w:r>
        <w:rPr>
          <w:rFonts w:hint="eastAsia" w:eastAsia="仿宋_GB2312" w:cs="仿宋_GB2312"/>
          <w:color w:val="auto"/>
          <w:kern w:val="2"/>
          <w:sz w:val="32"/>
          <w:szCs w:val="32"/>
          <w:highlight w:val="none"/>
          <w:lang w:val="en-US" w:eastAsia="zh-CN" w:bidi="ar-SA"/>
        </w:rPr>
        <w:t>2.02</w:t>
      </w:r>
      <w:r>
        <w:rPr>
          <w:rFonts w:hint="eastAsia" w:ascii="Times New Roman" w:hAnsi="Times New Roman" w:eastAsia="仿宋_GB2312" w:cs="仿宋_GB2312"/>
          <w:color w:val="auto"/>
          <w:kern w:val="2"/>
          <w:sz w:val="32"/>
          <w:szCs w:val="32"/>
          <w:highlight w:val="none"/>
          <w:lang w:val="en-US" w:eastAsia="zh-CN" w:bidi="ar-SA"/>
        </w:rPr>
        <w:t>万元，完成预算</w:t>
      </w:r>
      <w:r>
        <w:rPr>
          <w:rFonts w:hint="eastAsia" w:eastAsia="仿宋_GB2312" w:cs="仿宋_GB2312"/>
          <w:color w:val="auto"/>
          <w:kern w:val="2"/>
          <w:sz w:val="32"/>
          <w:szCs w:val="32"/>
          <w:highlight w:val="none"/>
          <w:lang w:val="en-US" w:eastAsia="zh-CN" w:bidi="ar-SA"/>
        </w:rPr>
        <w:t>100</w:t>
      </w:r>
      <w:r>
        <w:rPr>
          <w:rFonts w:hint="eastAsia" w:ascii="Times New Roman" w:hAnsi="Times New Roman" w:eastAsia="仿宋_GB2312" w:cs="仿宋_GB2312"/>
          <w:color w:val="auto"/>
          <w:kern w:val="2"/>
          <w:sz w:val="32"/>
          <w:szCs w:val="32"/>
          <w:highlight w:val="none"/>
          <w:lang w:val="en-US" w:eastAsia="zh-CN" w:bidi="ar-SA"/>
        </w:rPr>
        <w:t>%，</w:t>
      </w:r>
    </w:p>
    <w:p>
      <w:pPr>
        <w:numPr>
          <w:ilvl w:val="0"/>
          <w:numId w:val="3"/>
        </w:numPr>
        <w:spacing w:line="600" w:lineRule="exact"/>
        <w:ind w:left="0" w:leftChars="0" w:firstLine="640" w:firstLineChars="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卫生健康（类）行政事业单位医疗（款）公务员医疗补助（项）</w:t>
      </w:r>
      <w:r>
        <w:rPr>
          <w:rFonts w:hint="eastAsia" w:eastAsia="仿宋_GB2312" w:cs="仿宋_GB2312"/>
          <w:color w:val="auto"/>
          <w:kern w:val="2"/>
          <w:sz w:val="32"/>
          <w:szCs w:val="32"/>
          <w:highlight w:val="none"/>
          <w:lang w:val="en-US" w:eastAsia="zh-CN" w:bidi="ar-SA"/>
        </w:rPr>
        <w:t>：</w:t>
      </w:r>
      <w:r>
        <w:rPr>
          <w:rFonts w:hint="eastAsia" w:ascii="Times New Roman" w:hAnsi="Times New Roman" w:eastAsia="仿宋_GB2312" w:cs="仿宋_GB2312"/>
          <w:color w:val="auto"/>
          <w:kern w:val="2"/>
          <w:sz w:val="32"/>
          <w:szCs w:val="32"/>
          <w:highlight w:val="none"/>
          <w:lang w:val="en-US" w:eastAsia="zh-CN" w:bidi="ar-SA"/>
        </w:rPr>
        <w:t>支出决算为</w:t>
      </w:r>
      <w:r>
        <w:rPr>
          <w:rFonts w:hint="eastAsia" w:eastAsia="仿宋_GB2312" w:cs="仿宋_GB2312"/>
          <w:color w:val="auto"/>
          <w:kern w:val="2"/>
          <w:sz w:val="32"/>
          <w:szCs w:val="32"/>
          <w:highlight w:val="none"/>
          <w:lang w:val="en-US" w:eastAsia="zh-CN" w:bidi="ar-SA"/>
        </w:rPr>
        <w:t>0.6</w:t>
      </w:r>
      <w:r>
        <w:rPr>
          <w:rFonts w:hint="eastAsia" w:ascii="Times New Roman" w:hAnsi="Times New Roman" w:eastAsia="仿宋_GB2312" w:cs="仿宋_GB2312"/>
          <w:color w:val="auto"/>
          <w:kern w:val="2"/>
          <w:sz w:val="32"/>
          <w:szCs w:val="32"/>
          <w:highlight w:val="none"/>
          <w:lang w:val="en-US" w:eastAsia="zh-CN" w:bidi="ar-SA"/>
        </w:rPr>
        <w:t>万元，完成预算</w:t>
      </w:r>
      <w:r>
        <w:rPr>
          <w:rFonts w:hint="eastAsia" w:eastAsia="仿宋_GB2312" w:cs="仿宋_GB2312"/>
          <w:color w:val="auto"/>
          <w:kern w:val="2"/>
          <w:sz w:val="32"/>
          <w:szCs w:val="32"/>
          <w:highlight w:val="none"/>
          <w:lang w:val="en-US" w:eastAsia="zh-CN" w:bidi="ar-SA"/>
        </w:rPr>
        <w:t>100</w:t>
      </w:r>
      <w:r>
        <w:rPr>
          <w:rFonts w:hint="eastAsia" w:ascii="Times New Roman" w:hAnsi="Times New Roman" w:eastAsia="仿宋_GB2312" w:cs="仿宋_GB2312"/>
          <w:color w:val="auto"/>
          <w:kern w:val="2"/>
          <w:sz w:val="32"/>
          <w:szCs w:val="32"/>
          <w:highlight w:val="none"/>
          <w:lang w:val="en-US" w:eastAsia="zh-CN" w:bidi="ar-SA"/>
        </w:rPr>
        <w:t>%，</w:t>
      </w:r>
    </w:p>
    <w:p>
      <w:pPr>
        <w:numPr>
          <w:ilvl w:val="0"/>
          <w:numId w:val="3"/>
        </w:numPr>
        <w:spacing w:line="600" w:lineRule="exact"/>
        <w:ind w:left="0" w:leftChars="0" w:firstLine="640" w:firstLineChars="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住房保障支出（类）住房改革支出（款）住房公积金（项）</w:t>
      </w:r>
      <w:r>
        <w:rPr>
          <w:rFonts w:hint="eastAsia" w:eastAsia="仿宋_GB2312" w:cs="仿宋_GB2312"/>
          <w:color w:val="auto"/>
          <w:kern w:val="2"/>
          <w:sz w:val="32"/>
          <w:szCs w:val="32"/>
          <w:highlight w:val="none"/>
          <w:lang w:val="en-US" w:eastAsia="zh-CN" w:bidi="ar-SA"/>
        </w:rPr>
        <w:t>：</w:t>
      </w:r>
      <w:r>
        <w:rPr>
          <w:rFonts w:hint="eastAsia" w:ascii="Times New Roman" w:hAnsi="Times New Roman" w:eastAsia="仿宋_GB2312" w:cs="仿宋_GB2312"/>
          <w:color w:val="auto"/>
          <w:kern w:val="2"/>
          <w:sz w:val="32"/>
          <w:szCs w:val="32"/>
          <w:highlight w:val="none"/>
          <w:lang w:val="en-US" w:eastAsia="zh-CN" w:bidi="ar-SA"/>
        </w:rPr>
        <w:t>支出决算为</w:t>
      </w:r>
      <w:r>
        <w:rPr>
          <w:rFonts w:hint="eastAsia" w:eastAsia="仿宋_GB2312" w:cs="仿宋_GB2312"/>
          <w:color w:val="auto"/>
          <w:kern w:val="2"/>
          <w:sz w:val="32"/>
          <w:szCs w:val="32"/>
          <w:highlight w:val="none"/>
          <w:lang w:val="en-US" w:eastAsia="zh-CN" w:bidi="ar-SA"/>
        </w:rPr>
        <w:t>5.55</w:t>
      </w:r>
      <w:r>
        <w:rPr>
          <w:rFonts w:hint="eastAsia" w:ascii="Times New Roman" w:hAnsi="Times New Roman" w:eastAsia="仿宋_GB2312" w:cs="仿宋_GB2312"/>
          <w:color w:val="auto"/>
          <w:kern w:val="2"/>
          <w:sz w:val="32"/>
          <w:szCs w:val="32"/>
          <w:highlight w:val="none"/>
          <w:lang w:val="en-US" w:eastAsia="zh-CN" w:bidi="ar-SA"/>
        </w:rPr>
        <w:t>万元，完成预算</w:t>
      </w:r>
      <w:r>
        <w:rPr>
          <w:rFonts w:hint="eastAsia" w:eastAsia="仿宋_GB2312" w:cs="仿宋_GB2312"/>
          <w:color w:val="auto"/>
          <w:kern w:val="2"/>
          <w:sz w:val="32"/>
          <w:szCs w:val="32"/>
          <w:highlight w:val="none"/>
          <w:lang w:val="en-US" w:eastAsia="zh-CN" w:bidi="ar-SA"/>
        </w:rPr>
        <w:t>100</w:t>
      </w:r>
      <w:r>
        <w:rPr>
          <w:rFonts w:hint="eastAsia" w:ascii="Times New Roman" w:hAnsi="Times New Roman" w:eastAsia="仿宋_GB2312" w:cs="仿宋_GB2312"/>
          <w:color w:val="auto"/>
          <w:kern w:val="2"/>
          <w:sz w:val="32"/>
          <w:szCs w:val="32"/>
          <w:highlight w:val="none"/>
          <w:lang w:val="en-US" w:eastAsia="zh-CN" w:bidi="ar-SA"/>
        </w:rPr>
        <w:t>%，</w:t>
      </w:r>
    </w:p>
    <w:p>
      <w:pPr>
        <w:numPr>
          <w:ilvl w:val="0"/>
          <w:numId w:val="0"/>
        </w:numPr>
        <w:spacing w:line="600" w:lineRule="exact"/>
        <w:ind w:left="640" w:leftChars="0"/>
        <w:rPr>
          <w:rFonts w:hint="eastAsia" w:ascii="Times New Roman" w:hAnsi="Times New Roman" w:eastAsia="仿宋_GB2312" w:cs="仿宋_GB2312"/>
          <w:color w:val="auto"/>
          <w:kern w:val="2"/>
          <w:sz w:val="32"/>
          <w:szCs w:val="32"/>
          <w:highlight w:val="none"/>
          <w:lang w:val="en-US" w:eastAsia="zh-CN" w:bidi="ar-SA"/>
        </w:rPr>
      </w:pP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p>
    <w:p>
      <w:pPr>
        <w:tabs>
          <w:tab w:val="right" w:pos="8306"/>
        </w:tabs>
        <w:spacing w:line="600" w:lineRule="exact"/>
        <w:ind w:firstLine="640"/>
        <w:outlineLvl w:val="1"/>
        <w:rPr>
          <w:rStyle w:val="29"/>
          <w:rFonts w:ascii="Times New Roman" w:hAnsi="Times New Roman"/>
          <w:color w:val="auto"/>
          <w:highlight w:val="none"/>
        </w:rPr>
      </w:pPr>
      <w:bookmarkStart w:id="48" w:name="_Toc15396608"/>
      <w:bookmarkStart w:id="49" w:name="_Toc15377214"/>
      <w:r>
        <w:rPr>
          <w:rFonts w:hint="eastAsia" w:ascii="Times New Roman" w:hAnsi="Times New Roman" w:eastAsia="黑体"/>
          <w:color w:val="auto"/>
          <w:sz w:val="32"/>
          <w:szCs w:val="32"/>
          <w:highlight w:val="none"/>
        </w:rPr>
        <w:t>六</w:t>
      </w:r>
      <w:r>
        <w:rPr>
          <w:rFonts w:hint="eastAsia" w:ascii="Times New Roman" w:hAnsi="Times New Roman" w:eastAsia="黑体"/>
          <w:b/>
          <w:color w:val="auto"/>
          <w:sz w:val="32"/>
          <w:szCs w:val="32"/>
          <w:highlight w:val="none"/>
        </w:rPr>
        <w:t>、一</w:t>
      </w:r>
      <w:r>
        <w:rPr>
          <w:rStyle w:val="29"/>
          <w:rFonts w:hint="eastAsia" w:ascii="Times New Roman" w:hAnsi="Times New Roman" w:eastAsia="黑体"/>
          <w:b w:val="0"/>
          <w:color w:val="auto"/>
          <w:highlight w:val="none"/>
        </w:rPr>
        <w:t>般公共预算财政拨款基本支出决算情况说明</w:t>
      </w:r>
      <w:bookmarkEnd w:id="48"/>
      <w:bookmarkEnd w:id="49"/>
      <w:r>
        <w:rPr>
          <w:rStyle w:val="29"/>
          <w:rFonts w:ascii="Times New Roman" w:hAnsi="Times New Roman" w:eastAsia="黑体"/>
          <w:b w:val="0"/>
          <w:color w:val="auto"/>
          <w:highlight w:val="none"/>
        </w:rPr>
        <w:tab/>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2024年度一般公共预算财政拨款基本支出</w:t>
      </w:r>
      <w:r>
        <w:rPr>
          <w:rFonts w:hint="eastAsia" w:ascii="仿宋_GB2312" w:hAnsi="仿宋_GB2312" w:eastAsia="仿宋_GB2312" w:cs="仿宋_GB2312"/>
          <w:sz w:val="32"/>
          <w:szCs w:val="32"/>
        </w:rPr>
        <w:t>78</w:t>
      </w:r>
      <w:r>
        <w:rPr>
          <w:rFonts w:hint="eastAsia" w:ascii="仿宋_GB2312" w:hAnsi="仿宋_GB2312" w:eastAsia="仿宋_GB2312" w:cs="仿宋_GB2312"/>
          <w:color w:val="auto"/>
          <w:kern w:val="2"/>
          <w:sz w:val="32"/>
          <w:szCs w:val="32"/>
          <w:highlight w:val="none"/>
          <w:lang w:val="en-US" w:eastAsia="zh-CN" w:bidi="ar-SA"/>
        </w:rPr>
        <w:t>万</w:t>
      </w:r>
      <w:r>
        <w:rPr>
          <w:rFonts w:hint="eastAsia" w:ascii="Times New Roman" w:hAnsi="Times New Roman" w:eastAsia="仿宋_GB2312" w:cs="仿宋_GB2312"/>
          <w:color w:val="auto"/>
          <w:kern w:val="2"/>
          <w:sz w:val="32"/>
          <w:szCs w:val="32"/>
          <w:highlight w:val="none"/>
          <w:lang w:val="en-US" w:eastAsia="zh-CN" w:bidi="ar-SA"/>
        </w:rPr>
        <w:t>元，其中：</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人员经费</w:t>
      </w:r>
      <w:r>
        <w:rPr>
          <w:rFonts w:hint="eastAsia" w:ascii="仿宋_GB2312" w:hAnsi="仿宋_GB2312" w:eastAsia="仿宋_GB2312" w:cs="仿宋_GB2312"/>
          <w:sz w:val="32"/>
          <w:szCs w:val="32"/>
        </w:rPr>
        <w:t>70.17</w:t>
      </w:r>
      <w:r>
        <w:rPr>
          <w:rFonts w:hint="eastAsia" w:ascii="仿宋_GB2312" w:hAnsi="仿宋_GB2312" w:eastAsia="仿宋_GB2312" w:cs="仿宋_GB2312"/>
          <w:color w:val="auto"/>
          <w:kern w:val="2"/>
          <w:sz w:val="32"/>
          <w:szCs w:val="32"/>
          <w:highlight w:val="none"/>
          <w:lang w:val="en-US" w:eastAsia="zh-CN" w:bidi="ar-SA"/>
        </w:rPr>
        <w:t>万</w:t>
      </w:r>
      <w:r>
        <w:rPr>
          <w:rFonts w:hint="eastAsia" w:ascii="Times New Roman" w:hAnsi="Times New Roman" w:eastAsia="仿宋_GB2312" w:cs="仿宋_GB2312"/>
          <w:color w:val="auto"/>
          <w:kern w:val="2"/>
          <w:sz w:val="32"/>
          <w:szCs w:val="32"/>
          <w:highlight w:val="none"/>
          <w:lang w:val="en-US" w:eastAsia="zh-CN" w:bidi="ar-SA"/>
        </w:rPr>
        <w:t>元，主要包括：基本工资、津贴补贴、奖金、伙食补助费、绩效工资、机关事业单位基本养老保险缴费、职业年金缴费、其他社会保障缴费、其他工资福利支出、离休费、退休费、抚恤金、生活补助、医疗费补助、奖励金、住房公积金、其他对个人和家庭的补助支出等。</w:t>
      </w:r>
      <w:r>
        <w:rPr>
          <w:rFonts w:hint="eastAsia" w:ascii="Times New Roman" w:hAnsi="Times New Roman" w:eastAsia="仿宋_GB2312" w:cs="仿宋_GB2312"/>
          <w:color w:val="auto"/>
          <w:kern w:val="2"/>
          <w:sz w:val="32"/>
          <w:szCs w:val="32"/>
          <w:highlight w:val="none"/>
          <w:lang w:val="en-US" w:eastAsia="zh-CN" w:bidi="ar-SA"/>
        </w:rPr>
        <w:br w:type="textWrapping"/>
      </w:r>
      <w:r>
        <w:rPr>
          <w:rFonts w:hint="eastAsia" w:ascii="Times New Roman" w:hAnsi="Times New Roman" w:eastAsia="仿宋_GB2312" w:cs="仿宋_GB2312"/>
          <w:color w:val="auto"/>
          <w:kern w:val="2"/>
          <w:sz w:val="32"/>
          <w:szCs w:val="32"/>
          <w:highlight w:val="none"/>
          <w:lang w:val="en-US" w:eastAsia="zh-CN" w:bidi="ar-SA"/>
        </w:rPr>
        <w:t>　　公用经费</w:t>
      </w:r>
      <w:r>
        <w:rPr>
          <w:rFonts w:hint="eastAsia" w:ascii="仿宋_GB2312" w:hAnsi="仿宋_GB2312" w:eastAsia="仿宋_GB2312" w:cs="仿宋_GB2312"/>
          <w:sz w:val="32"/>
          <w:szCs w:val="32"/>
        </w:rPr>
        <w:t>7.84</w:t>
      </w:r>
      <w:r>
        <w:rPr>
          <w:rFonts w:hint="eastAsia" w:ascii="仿宋_GB2312" w:hAnsi="仿宋_GB2312" w:eastAsia="仿宋_GB2312" w:cs="仿宋_GB2312"/>
          <w:color w:val="auto"/>
          <w:kern w:val="2"/>
          <w:sz w:val="32"/>
          <w:szCs w:val="32"/>
          <w:highlight w:val="none"/>
          <w:lang w:val="en-US" w:eastAsia="zh-CN" w:bidi="ar-SA"/>
        </w:rPr>
        <w:t>万</w:t>
      </w:r>
      <w:r>
        <w:rPr>
          <w:rFonts w:hint="eastAsia" w:ascii="Times New Roman" w:hAnsi="Times New Roman" w:eastAsia="仿宋_GB2312" w:cs="仿宋_GB2312"/>
          <w:color w:val="auto"/>
          <w:kern w:val="2"/>
          <w:sz w:val="32"/>
          <w:szCs w:val="32"/>
          <w:highlight w:val="none"/>
          <w:lang w:val="en-US" w:eastAsia="zh-CN" w:bidi="ar-SA"/>
        </w:rPr>
        <w:t>元，主要包括：办公费、印刷费、咨询费、手续费、水费、电费、邮电费、取暖费、物业管理费、差旅费、因公出国（境）费用、维修（护）费、租赁费、会议费、培训费、公务接待费、劳务费、委托业务费、工会经费、福利费、公务用车运行维护费、其他交通费、税金及附加费用、其他商品和服务支出、办公设备购置、专用设备购置、信息网络及软件购置更新、其他资本性支出等。</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p>
    <w:p>
      <w:pPr>
        <w:spacing w:line="600" w:lineRule="exact"/>
        <w:ind w:firstLine="640"/>
        <w:outlineLvl w:val="1"/>
        <w:rPr>
          <w:rStyle w:val="29"/>
          <w:rFonts w:ascii="Times New Roman" w:hAnsi="Times New Roman" w:eastAsia="黑体"/>
          <w:b w:val="0"/>
          <w:color w:val="auto"/>
          <w:highlight w:val="none"/>
        </w:rPr>
      </w:pPr>
      <w:bookmarkStart w:id="50" w:name="_Toc15396609"/>
      <w:bookmarkStart w:id="51" w:name="_Toc15377215"/>
      <w:r>
        <w:rPr>
          <w:rFonts w:hint="eastAsia" w:ascii="Times New Roman" w:hAnsi="Times New Roman" w:eastAsia="黑体"/>
          <w:color w:val="auto"/>
          <w:sz w:val="32"/>
          <w:szCs w:val="32"/>
          <w:highlight w:val="none"/>
        </w:rPr>
        <w:t>七、</w:t>
      </w:r>
      <w:r>
        <w:rPr>
          <w:rStyle w:val="29"/>
          <w:rFonts w:hint="eastAsia" w:ascii="Times New Roman" w:hAnsi="Times New Roman" w:eastAsia="黑体"/>
          <w:b w:val="0"/>
          <w:color w:val="auto"/>
          <w:highlight w:val="none"/>
        </w:rPr>
        <w:t>财政拨款</w:t>
      </w:r>
      <w:r>
        <w:rPr>
          <w:rStyle w:val="29"/>
          <w:rFonts w:hint="eastAsia" w:ascii="Times New Roman" w:hAnsi="Times New Roman" w:eastAsia="黑体"/>
          <w:color w:val="auto"/>
          <w:highlight w:val="none"/>
        </w:rPr>
        <w:t>“</w:t>
      </w:r>
      <w:r>
        <w:rPr>
          <w:rStyle w:val="29"/>
          <w:rFonts w:hint="eastAsia" w:ascii="Times New Roman" w:hAnsi="Times New Roman" w:eastAsia="黑体"/>
          <w:b w:val="0"/>
          <w:color w:val="auto"/>
          <w:highlight w:val="none"/>
        </w:rPr>
        <w:t>三公”经费支出决算情况说明</w:t>
      </w:r>
      <w:bookmarkEnd w:id="50"/>
      <w:bookmarkEnd w:id="51"/>
    </w:p>
    <w:p>
      <w:pPr>
        <w:spacing w:line="600" w:lineRule="exact"/>
        <w:ind w:firstLine="643" w:firstLineChars="200"/>
        <w:outlineLvl w:val="2"/>
        <w:rPr>
          <w:rFonts w:hint="eastAsia" w:ascii="Times New Roman" w:hAnsi="Times New Roman" w:eastAsia="楷体_GB2312" w:cs="楷体_GB2312"/>
          <w:b/>
          <w:color w:val="auto"/>
          <w:sz w:val="32"/>
          <w:szCs w:val="32"/>
          <w:highlight w:val="none"/>
        </w:rPr>
      </w:pPr>
      <w:bookmarkStart w:id="52" w:name="_Toc15377216"/>
      <w:r>
        <w:rPr>
          <w:rFonts w:hint="eastAsia" w:ascii="Times New Roman" w:hAnsi="Times New Roman" w:eastAsia="楷体_GB2312" w:cs="楷体_GB2312"/>
          <w:b/>
          <w:color w:val="auto"/>
          <w:sz w:val="32"/>
          <w:szCs w:val="32"/>
          <w:highlight w:val="none"/>
        </w:rPr>
        <w:t>（一）“三公”经费财政拨款支出决算总体情况说明</w:t>
      </w:r>
      <w:bookmarkEnd w:id="52"/>
    </w:p>
    <w:p>
      <w:pPr>
        <w:spacing w:line="600" w:lineRule="exact"/>
        <w:ind w:firstLine="640"/>
        <w:rPr>
          <w:rFonts w:hint="eastAsia"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2024年度“三公”经费财政拨款支出决算为</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万元，完成预算</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w:t>
      </w:r>
      <w:r>
        <w:rPr>
          <w:rFonts w:hint="eastAsia" w:ascii="Times New Roman" w:hAnsi="Times New Roman" w:eastAsia="仿宋_GB2312" w:cs="仿宋_GB2312"/>
          <w:color w:val="auto"/>
          <w:kern w:val="2"/>
          <w:sz w:val="32"/>
          <w:szCs w:val="32"/>
          <w:highlight w:val="none"/>
          <w:lang w:val="en-US" w:eastAsia="zh-CN" w:bidi="ar-SA"/>
        </w:rPr>
        <w:t>较上年度</w:t>
      </w:r>
      <w:r>
        <w:rPr>
          <w:rFonts w:hint="eastAsia" w:eastAsia="仿宋_GB2312" w:cs="仿宋_GB2312"/>
          <w:color w:val="auto"/>
          <w:kern w:val="2"/>
          <w:sz w:val="32"/>
          <w:szCs w:val="32"/>
          <w:highlight w:val="none"/>
          <w:lang w:val="en-US" w:eastAsia="zh-CN" w:bidi="ar-SA"/>
        </w:rPr>
        <w:t>无变化</w:t>
      </w:r>
    </w:p>
    <w:p>
      <w:pPr>
        <w:spacing w:line="600" w:lineRule="exact"/>
        <w:ind w:firstLine="640"/>
        <w:rPr>
          <w:rFonts w:hint="eastAsia" w:ascii="Times New Roman" w:hAnsi="Times New Roman" w:eastAsia="仿宋_GB2312" w:cs="仿宋_GB2312"/>
          <w:b/>
          <w:bCs/>
          <w:color w:val="auto"/>
          <w:kern w:val="2"/>
          <w:sz w:val="32"/>
          <w:szCs w:val="32"/>
          <w:highlight w:val="none"/>
          <w:lang w:val="en-US" w:eastAsia="zh-CN" w:bidi="ar-SA"/>
        </w:rPr>
      </w:pPr>
      <w:r>
        <w:rPr>
          <w:rFonts w:hint="eastAsia" w:ascii="Times New Roman" w:hAnsi="Times New Roman" w:eastAsia="仿宋_GB2312" w:cs="仿宋_GB2312"/>
          <w:b/>
          <w:bCs/>
          <w:color w:val="auto"/>
          <w:kern w:val="2"/>
          <w:sz w:val="32"/>
          <w:szCs w:val="32"/>
          <w:highlight w:val="none"/>
          <w:lang w:val="en-US" w:eastAsia="zh-CN" w:bidi="ar-SA"/>
        </w:rPr>
        <w:t>（注：上述“预算”口径为全年预算数，包括一般公共预算和政府性基金预算财政拨款支出决算情况）</w:t>
      </w:r>
    </w:p>
    <w:p>
      <w:pPr>
        <w:spacing w:line="600" w:lineRule="exact"/>
        <w:ind w:firstLine="643" w:firstLineChars="200"/>
        <w:outlineLvl w:val="2"/>
        <w:rPr>
          <w:rFonts w:hint="eastAsia" w:ascii="Times New Roman" w:hAnsi="Times New Roman" w:eastAsia="楷体_GB2312" w:cs="楷体_GB2312"/>
          <w:b/>
          <w:color w:val="auto"/>
          <w:sz w:val="32"/>
          <w:szCs w:val="32"/>
          <w:highlight w:val="none"/>
        </w:rPr>
      </w:pPr>
      <w:bookmarkStart w:id="53" w:name="_Toc15377217"/>
      <w:r>
        <w:rPr>
          <w:rFonts w:hint="eastAsia" w:ascii="Times New Roman" w:hAnsi="Times New Roman" w:eastAsia="楷体_GB2312" w:cs="楷体_GB2312"/>
          <w:b/>
          <w:color w:val="auto"/>
          <w:sz w:val="32"/>
          <w:szCs w:val="32"/>
          <w:highlight w:val="none"/>
        </w:rPr>
        <w:t>（二）“三公”经费财政拨款支出决算具体情况说明</w:t>
      </w:r>
      <w:bookmarkEnd w:id="53"/>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2024年度“三公”经费财政拨款支出决算中，因公出国（境）费支出决算</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万元，占0%；公务用车购置及运行维护费支出决算</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万元，占0%；公务接待费支出决算</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万元，占0%。</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b/>
          <w:bCs/>
          <w:color w:val="auto"/>
          <w:kern w:val="2"/>
          <w:sz w:val="32"/>
          <w:szCs w:val="32"/>
          <w:highlight w:val="none"/>
          <w:lang w:val="en-US" w:eastAsia="zh-CN" w:bidi="ar-SA"/>
        </w:rPr>
        <w:t>1.因公出国（境）经费支出**万元，完成预算**%。</w:t>
      </w:r>
      <w:r>
        <w:rPr>
          <w:rFonts w:hint="eastAsia" w:ascii="Times New Roman" w:hAnsi="Times New Roman" w:eastAsia="仿宋_GB2312" w:cs="仿宋_GB2312"/>
          <w:color w:val="auto"/>
          <w:kern w:val="2"/>
          <w:sz w:val="32"/>
          <w:szCs w:val="32"/>
          <w:highlight w:val="none"/>
          <w:lang w:val="en-US" w:eastAsia="zh-CN" w:bidi="ar-SA"/>
        </w:rPr>
        <w:t>全年安排因公出国（境）团</w:t>
      </w:r>
      <w:r>
        <w:rPr>
          <w:rFonts w:hint="eastAsia" w:ascii="仿宋_GB2312" w:hAnsi="仿宋_GB2312" w:eastAsia="仿宋_GB2312" w:cs="仿宋_GB2312"/>
          <w:color w:val="auto"/>
          <w:kern w:val="2"/>
          <w:sz w:val="32"/>
          <w:szCs w:val="32"/>
          <w:highlight w:val="none"/>
          <w:lang w:val="en-US" w:eastAsia="zh-CN" w:bidi="ar-SA"/>
        </w:rPr>
        <w:t>组</w:t>
      </w:r>
      <w:r>
        <w:rPr>
          <w:rFonts w:hint="eastAsia" w:ascii="仿宋_GB2312" w:hAnsi="仿宋_GB2312" w:eastAsia="仿宋_GB2312" w:cs="仿宋_GB2312"/>
          <w:sz w:val="32"/>
          <w:szCs w:val="32"/>
        </w:rPr>
        <w:t>0</w:t>
      </w:r>
      <w:r>
        <w:rPr>
          <w:rFonts w:hint="eastAsia" w:ascii="Times New Roman" w:hAnsi="Times New Roman" w:eastAsia="仿宋_GB2312" w:cs="仿宋_GB2312"/>
          <w:color w:val="auto"/>
          <w:kern w:val="2"/>
          <w:sz w:val="32"/>
          <w:szCs w:val="32"/>
          <w:highlight w:val="none"/>
          <w:lang w:val="en-US" w:eastAsia="zh-CN" w:bidi="ar-SA"/>
        </w:rPr>
        <w:t>次，出国（境）</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人</w:t>
      </w:r>
      <w:r>
        <w:rPr>
          <w:rFonts w:hint="eastAsia" w:ascii="Times New Roman" w:hAnsi="Times New Roman" w:eastAsia="仿宋_GB2312" w:cs="仿宋_GB2312"/>
          <w:color w:val="auto"/>
          <w:kern w:val="2"/>
          <w:sz w:val="32"/>
          <w:szCs w:val="32"/>
          <w:highlight w:val="none"/>
          <w:lang w:val="en-US" w:eastAsia="zh-CN" w:bidi="ar-SA"/>
        </w:rPr>
        <w:t>。因公出国（境）支出决算比2023年</w:t>
      </w:r>
      <w:r>
        <w:rPr>
          <w:rFonts w:hint="eastAsia" w:eastAsia="仿宋_GB2312" w:cs="仿宋_GB2312"/>
          <w:color w:val="auto"/>
          <w:kern w:val="2"/>
          <w:sz w:val="32"/>
          <w:szCs w:val="32"/>
          <w:highlight w:val="none"/>
          <w:lang w:val="en-US" w:eastAsia="zh-CN" w:bidi="ar-SA"/>
        </w:rPr>
        <w:t>无变化</w:t>
      </w:r>
    </w:p>
    <w:p>
      <w:pPr>
        <w:spacing w:line="600" w:lineRule="exact"/>
        <w:ind w:firstLine="640"/>
        <w:rPr>
          <w:rFonts w:hint="eastAsia" w:eastAsia="仿宋_GB2312" w:cs="仿宋_GB2312"/>
          <w:color w:val="auto"/>
          <w:kern w:val="2"/>
          <w:sz w:val="32"/>
          <w:szCs w:val="32"/>
          <w:highlight w:val="none"/>
          <w:lang w:val="en-US" w:eastAsia="zh-CN" w:bidi="ar-SA"/>
        </w:rPr>
      </w:pPr>
      <w:r>
        <w:rPr>
          <w:rFonts w:hint="eastAsia" w:ascii="Times New Roman" w:hAnsi="Times New Roman" w:eastAsia="仿宋_GB2312" w:cs="仿宋_GB2312"/>
          <w:b/>
          <w:bCs/>
          <w:color w:val="auto"/>
          <w:kern w:val="2"/>
          <w:sz w:val="32"/>
          <w:szCs w:val="32"/>
          <w:highlight w:val="none"/>
          <w:lang w:val="en-US" w:eastAsia="zh-CN" w:bidi="ar-SA"/>
        </w:rPr>
        <w:t>2.公务用车购置及运行维护费支出</w:t>
      </w:r>
      <w:r>
        <w:rPr>
          <w:rFonts w:hint="eastAsia" w:ascii="仿宋_GB2312" w:hAnsi="仿宋_GB2312" w:eastAsia="仿宋_GB2312" w:cs="仿宋_GB2312"/>
          <w:b/>
          <w:bCs/>
          <w:color w:val="auto"/>
          <w:kern w:val="2"/>
          <w:sz w:val="32"/>
          <w:szCs w:val="32"/>
          <w:highlight w:val="none"/>
          <w:lang w:val="en-US" w:eastAsia="zh-CN" w:bidi="ar-SA"/>
        </w:rPr>
        <w:t>0万</w:t>
      </w:r>
      <w:r>
        <w:rPr>
          <w:rFonts w:hint="eastAsia" w:ascii="Times New Roman" w:hAnsi="Times New Roman" w:eastAsia="仿宋_GB2312" w:cs="仿宋_GB2312"/>
          <w:b/>
          <w:bCs/>
          <w:color w:val="auto"/>
          <w:kern w:val="2"/>
          <w:sz w:val="32"/>
          <w:szCs w:val="32"/>
          <w:highlight w:val="none"/>
          <w:lang w:val="en-US" w:eastAsia="zh-CN" w:bidi="ar-SA"/>
        </w:rPr>
        <w:t>元</w:t>
      </w:r>
      <w:r>
        <w:rPr>
          <w:rFonts w:hint="eastAsia" w:eastAsia="仿宋_GB2312" w:cs="仿宋_GB2312"/>
          <w:b/>
          <w:bCs/>
          <w:color w:val="auto"/>
          <w:kern w:val="2"/>
          <w:sz w:val="32"/>
          <w:szCs w:val="32"/>
          <w:highlight w:val="none"/>
          <w:lang w:val="en-US" w:eastAsia="zh-CN" w:bidi="ar-SA"/>
        </w:rPr>
        <w:t>，</w:t>
      </w:r>
      <w:r>
        <w:rPr>
          <w:rFonts w:hint="eastAsia" w:ascii="Times New Roman" w:hAnsi="Times New Roman" w:eastAsia="仿宋_GB2312" w:cs="仿宋_GB2312"/>
          <w:b/>
          <w:bCs/>
          <w:color w:val="auto"/>
          <w:kern w:val="2"/>
          <w:sz w:val="32"/>
          <w:szCs w:val="32"/>
          <w:highlight w:val="none"/>
          <w:lang w:val="en-US" w:eastAsia="zh-CN" w:bidi="ar-SA"/>
        </w:rPr>
        <w:t>完成预算**%。</w:t>
      </w:r>
      <w:r>
        <w:rPr>
          <w:rFonts w:hint="eastAsia" w:ascii="Times New Roman" w:hAnsi="Times New Roman" w:eastAsia="仿宋_GB2312" w:cs="仿宋_GB2312"/>
          <w:color w:val="auto"/>
          <w:kern w:val="2"/>
          <w:sz w:val="32"/>
          <w:szCs w:val="32"/>
          <w:highlight w:val="none"/>
          <w:lang w:val="en-US" w:eastAsia="zh-CN" w:bidi="ar-SA"/>
        </w:rPr>
        <w:t>公务用车购置及运行维护费支出决算比2023年度</w:t>
      </w:r>
      <w:r>
        <w:rPr>
          <w:rFonts w:hint="eastAsia" w:eastAsia="仿宋_GB2312" w:cs="仿宋_GB2312"/>
          <w:color w:val="auto"/>
          <w:kern w:val="2"/>
          <w:sz w:val="32"/>
          <w:szCs w:val="32"/>
          <w:highlight w:val="none"/>
          <w:lang w:val="en-US" w:eastAsia="zh-CN" w:bidi="ar-SA"/>
        </w:rPr>
        <w:t>无变化</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其中：公务用车购置支</w:t>
      </w:r>
      <w:r>
        <w:rPr>
          <w:rFonts w:hint="eastAsia" w:ascii="仿宋_GB2312" w:hAnsi="仿宋_GB2312" w:eastAsia="仿宋_GB2312" w:cs="仿宋_GB2312"/>
          <w:color w:val="auto"/>
          <w:kern w:val="2"/>
          <w:sz w:val="32"/>
          <w:szCs w:val="32"/>
          <w:highlight w:val="none"/>
          <w:lang w:val="en-US" w:eastAsia="zh-CN" w:bidi="ar-SA"/>
        </w:rPr>
        <w:t>出</w:t>
      </w:r>
      <w:r>
        <w:rPr>
          <w:rFonts w:hint="eastAsia" w:ascii="仿宋_GB2312" w:hAnsi="仿宋_GB2312" w:eastAsia="仿宋_GB2312" w:cs="仿宋_GB2312"/>
          <w:sz w:val="32"/>
          <w:szCs w:val="32"/>
        </w:rPr>
        <w:t>0</w:t>
      </w:r>
      <w:r>
        <w:rPr>
          <w:rFonts w:hint="eastAsia" w:ascii="Times New Roman" w:hAnsi="Times New Roman" w:eastAsia="仿宋_GB2312" w:cs="仿宋_GB2312"/>
          <w:color w:val="auto"/>
          <w:kern w:val="2"/>
          <w:sz w:val="32"/>
          <w:szCs w:val="32"/>
          <w:highlight w:val="none"/>
          <w:lang w:val="en-US" w:eastAsia="zh-CN" w:bidi="ar-SA"/>
        </w:rPr>
        <w:t>万元。全年按规定更新购置公务用车**辆，其中：轿车</w:t>
      </w:r>
      <w:r>
        <w:rPr>
          <w:rFonts w:hint="eastAsia" w:eastAsia="仿宋_GB2312" w:cs="仿宋_GB2312"/>
          <w:color w:val="auto"/>
          <w:kern w:val="2"/>
          <w:sz w:val="32"/>
          <w:szCs w:val="32"/>
          <w:highlight w:val="none"/>
          <w:lang w:val="en-US" w:eastAsia="zh-CN" w:bidi="ar-SA"/>
        </w:rPr>
        <w:t>0</w:t>
      </w:r>
      <w:r>
        <w:rPr>
          <w:rFonts w:hint="eastAsia" w:ascii="Times New Roman" w:hAnsi="Times New Roman" w:eastAsia="仿宋_GB2312" w:cs="仿宋_GB2312"/>
          <w:color w:val="auto"/>
          <w:kern w:val="2"/>
          <w:sz w:val="32"/>
          <w:szCs w:val="32"/>
          <w:highlight w:val="none"/>
          <w:lang w:val="en-US" w:eastAsia="zh-CN" w:bidi="ar-SA"/>
        </w:rPr>
        <w:t>辆、金额</w:t>
      </w:r>
      <w:r>
        <w:rPr>
          <w:rFonts w:hint="eastAsia" w:eastAsia="仿宋_GB2312" w:cs="仿宋_GB2312"/>
          <w:color w:val="auto"/>
          <w:kern w:val="2"/>
          <w:sz w:val="32"/>
          <w:szCs w:val="32"/>
          <w:highlight w:val="none"/>
          <w:lang w:val="en-US" w:eastAsia="zh-CN" w:bidi="ar-SA"/>
        </w:rPr>
        <w:t>0</w:t>
      </w:r>
      <w:r>
        <w:rPr>
          <w:rFonts w:hint="eastAsia" w:ascii="Times New Roman" w:hAnsi="Times New Roman" w:eastAsia="仿宋_GB2312" w:cs="仿宋_GB2312"/>
          <w:color w:val="auto"/>
          <w:kern w:val="2"/>
          <w:sz w:val="32"/>
          <w:szCs w:val="32"/>
          <w:highlight w:val="none"/>
          <w:lang w:val="en-US" w:eastAsia="zh-CN" w:bidi="ar-SA"/>
        </w:rPr>
        <w:t>万元，越野车</w:t>
      </w:r>
      <w:r>
        <w:rPr>
          <w:rFonts w:hint="eastAsia" w:eastAsia="仿宋_GB2312" w:cs="仿宋_GB2312"/>
          <w:color w:val="auto"/>
          <w:kern w:val="2"/>
          <w:sz w:val="32"/>
          <w:szCs w:val="32"/>
          <w:highlight w:val="none"/>
          <w:lang w:val="en-US" w:eastAsia="zh-CN" w:bidi="ar-SA"/>
        </w:rPr>
        <w:t>0</w:t>
      </w:r>
      <w:r>
        <w:rPr>
          <w:rFonts w:hint="eastAsia" w:ascii="Times New Roman" w:hAnsi="Times New Roman" w:eastAsia="仿宋_GB2312" w:cs="仿宋_GB2312"/>
          <w:color w:val="auto"/>
          <w:kern w:val="2"/>
          <w:sz w:val="32"/>
          <w:szCs w:val="32"/>
          <w:highlight w:val="none"/>
          <w:lang w:val="en-US" w:eastAsia="zh-CN" w:bidi="ar-SA"/>
        </w:rPr>
        <w:t>辆、金额</w:t>
      </w:r>
      <w:r>
        <w:rPr>
          <w:rFonts w:hint="eastAsia" w:eastAsia="仿宋_GB2312" w:cs="仿宋_GB2312"/>
          <w:color w:val="auto"/>
          <w:kern w:val="2"/>
          <w:sz w:val="32"/>
          <w:szCs w:val="32"/>
          <w:highlight w:val="none"/>
          <w:lang w:val="en-US" w:eastAsia="zh-CN" w:bidi="ar-SA"/>
        </w:rPr>
        <w:t>0</w:t>
      </w:r>
      <w:r>
        <w:rPr>
          <w:rFonts w:hint="eastAsia" w:ascii="Times New Roman" w:hAnsi="Times New Roman" w:eastAsia="仿宋_GB2312" w:cs="仿宋_GB2312"/>
          <w:color w:val="auto"/>
          <w:kern w:val="2"/>
          <w:sz w:val="32"/>
          <w:szCs w:val="32"/>
          <w:highlight w:val="none"/>
          <w:lang w:val="en-US" w:eastAsia="zh-CN" w:bidi="ar-SA"/>
        </w:rPr>
        <w:t>万元，载客汽车</w:t>
      </w:r>
      <w:r>
        <w:rPr>
          <w:rFonts w:hint="eastAsia" w:eastAsia="仿宋_GB2312" w:cs="仿宋_GB2312"/>
          <w:color w:val="auto"/>
          <w:kern w:val="2"/>
          <w:sz w:val="32"/>
          <w:szCs w:val="32"/>
          <w:highlight w:val="none"/>
          <w:lang w:val="en-US" w:eastAsia="zh-CN" w:bidi="ar-SA"/>
        </w:rPr>
        <w:t>0</w:t>
      </w:r>
      <w:r>
        <w:rPr>
          <w:rFonts w:hint="eastAsia" w:ascii="Times New Roman" w:hAnsi="Times New Roman" w:eastAsia="仿宋_GB2312" w:cs="仿宋_GB2312"/>
          <w:color w:val="auto"/>
          <w:kern w:val="2"/>
          <w:sz w:val="32"/>
          <w:szCs w:val="32"/>
          <w:highlight w:val="none"/>
          <w:lang w:val="en-US" w:eastAsia="zh-CN" w:bidi="ar-SA"/>
        </w:rPr>
        <w:t>辆、金额</w:t>
      </w:r>
      <w:r>
        <w:rPr>
          <w:rFonts w:hint="eastAsia" w:eastAsia="仿宋_GB2312" w:cs="仿宋_GB2312"/>
          <w:color w:val="auto"/>
          <w:kern w:val="2"/>
          <w:sz w:val="32"/>
          <w:szCs w:val="32"/>
          <w:highlight w:val="none"/>
          <w:lang w:val="en-US" w:eastAsia="zh-CN" w:bidi="ar-SA"/>
        </w:rPr>
        <w:t>0</w:t>
      </w:r>
      <w:r>
        <w:rPr>
          <w:rFonts w:hint="eastAsia" w:ascii="Times New Roman" w:hAnsi="Times New Roman" w:eastAsia="仿宋_GB2312" w:cs="仿宋_GB2312"/>
          <w:color w:val="auto"/>
          <w:kern w:val="2"/>
          <w:sz w:val="32"/>
          <w:szCs w:val="32"/>
          <w:highlight w:val="none"/>
          <w:lang w:val="en-US" w:eastAsia="zh-CN" w:bidi="ar-SA"/>
        </w:rPr>
        <w:t>万元，截至2024年12月31日，单位共有公务用车</w:t>
      </w:r>
      <w:r>
        <w:rPr>
          <w:rFonts w:hint="eastAsia" w:eastAsia="仿宋_GB2312" w:cs="仿宋_GB2312"/>
          <w:color w:val="auto"/>
          <w:kern w:val="2"/>
          <w:sz w:val="32"/>
          <w:szCs w:val="32"/>
          <w:highlight w:val="none"/>
          <w:lang w:val="en-US" w:eastAsia="zh-CN" w:bidi="ar-SA"/>
        </w:rPr>
        <w:t>0</w:t>
      </w:r>
      <w:r>
        <w:rPr>
          <w:rFonts w:hint="eastAsia" w:ascii="Times New Roman" w:hAnsi="Times New Roman" w:eastAsia="仿宋_GB2312" w:cs="仿宋_GB2312"/>
          <w:color w:val="auto"/>
          <w:kern w:val="2"/>
          <w:sz w:val="32"/>
          <w:szCs w:val="32"/>
          <w:highlight w:val="none"/>
          <w:lang w:val="en-US" w:eastAsia="zh-CN" w:bidi="ar-SA"/>
        </w:rPr>
        <w:t>辆，其中：轿车</w:t>
      </w:r>
      <w:r>
        <w:rPr>
          <w:rFonts w:hint="eastAsia" w:eastAsia="仿宋_GB2312" w:cs="仿宋_GB2312"/>
          <w:color w:val="auto"/>
          <w:kern w:val="2"/>
          <w:sz w:val="32"/>
          <w:szCs w:val="32"/>
          <w:highlight w:val="none"/>
          <w:lang w:val="en-US" w:eastAsia="zh-CN" w:bidi="ar-SA"/>
        </w:rPr>
        <w:t>0</w:t>
      </w:r>
      <w:r>
        <w:rPr>
          <w:rFonts w:hint="eastAsia" w:ascii="Times New Roman" w:hAnsi="Times New Roman" w:eastAsia="仿宋_GB2312" w:cs="仿宋_GB2312"/>
          <w:color w:val="auto"/>
          <w:kern w:val="2"/>
          <w:sz w:val="32"/>
          <w:szCs w:val="32"/>
          <w:highlight w:val="none"/>
          <w:lang w:val="en-US" w:eastAsia="zh-CN" w:bidi="ar-SA"/>
        </w:rPr>
        <w:t>辆、越野车</w:t>
      </w:r>
      <w:r>
        <w:rPr>
          <w:rFonts w:hint="eastAsia" w:eastAsia="仿宋_GB2312" w:cs="仿宋_GB2312"/>
          <w:color w:val="auto"/>
          <w:kern w:val="2"/>
          <w:sz w:val="32"/>
          <w:szCs w:val="32"/>
          <w:highlight w:val="none"/>
          <w:lang w:val="en-US" w:eastAsia="zh-CN" w:bidi="ar-SA"/>
        </w:rPr>
        <w:t>0</w:t>
      </w:r>
      <w:r>
        <w:rPr>
          <w:rFonts w:hint="eastAsia" w:ascii="Times New Roman" w:hAnsi="Times New Roman" w:eastAsia="仿宋_GB2312" w:cs="仿宋_GB2312"/>
          <w:color w:val="auto"/>
          <w:kern w:val="2"/>
          <w:sz w:val="32"/>
          <w:szCs w:val="32"/>
          <w:highlight w:val="none"/>
          <w:lang w:val="en-US" w:eastAsia="zh-CN" w:bidi="ar-SA"/>
        </w:rPr>
        <w:t>辆、载客汽车</w:t>
      </w:r>
      <w:r>
        <w:rPr>
          <w:rFonts w:hint="eastAsia" w:eastAsia="仿宋_GB2312" w:cs="仿宋_GB2312"/>
          <w:color w:val="auto"/>
          <w:kern w:val="2"/>
          <w:sz w:val="32"/>
          <w:szCs w:val="32"/>
          <w:highlight w:val="none"/>
          <w:lang w:val="en-US" w:eastAsia="zh-CN" w:bidi="ar-SA"/>
        </w:rPr>
        <w:t>0</w:t>
      </w:r>
      <w:r>
        <w:rPr>
          <w:rFonts w:hint="eastAsia" w:ascii="Times New Roman" w:hAnsi="Times New Roman" w:eastAsia="仿宋_GB2312" w:cs="仿宋_GB2312"/>
          <w:color w:val="auto"/>
          <w:kern w:val="2"/>
          <w:sz w:val="32"/>
          <w:szCs w:val="32"/>
          <w:highlight w:val="none"/>
          <w:lang w:val="en-US" w:eastAsia="zh-CN" w:bidi="ar-SA"/>
        </w:rPr>
        <w:t>辆。</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公务用车运行维护费支</w:t>
      </w:r>
      <w:r>
        <w:rPr>
          <w:rFonts w:hint="eastAsia" w:ascii="仿宋_GB2312" w:hAnsi="仿宋_GB2312" w:eastAsia="仿宋_GB2312" w:cs="仿宋_GB2312"/>
          <w:color w:val="auto"/>
          <w:kern w:val="2"/>
          <w:sz w:val="32"/>
          <w:szCs w:val="32"/>
          <w:highlight w:val="none"/>
          <w:lang w:val="en-US" w:eastAsia="zh-CN" w:bidi="ar-SA"/>
        </w:rPr>
        <w:t>出</w:t>
      </w:r>
      <w:r>
        <w:rPr>
          <w:rFonts w:hint="eastAsia" w:ascii="仿宋_GB2312" w:hAnsi="仿宋_GB2312" w:eastAsia="仿宋_GB2312" w:cs="仿宋_GB2312"/>
          <w:sz w:val="32"/>
          <w:szCs w:val="32"/>
        </w:rPr>
        <w:t>0</w:t>
      </w:r>
      <w:r>
        <w:rPr>
          <w:rFonts w:hint="eastAsia" w:ascii="Times New Roman" w:hAnsi="Times New Roman" w:eastAsia="仿宋_GB2312" w:cs="仿宋_GB2312"/>
          <w:color w:val="auto"/>
          <w:kern w:val="2"/>
          <w:sz w:val="32"/>
          <w:szCs w:val="32"/>
          <w:highlight w:val="none"/>
          <w:lang w:val="en-US" w:eastAsia="zh-CN" w:bidi="ar-SA"/>
        </w:rPr>
        <w:t>万元。</w:t>
      </w:r>
    </w:p>
    <w:p>
      <w:pPr>
        <w:spacing w:line="600" w:lineRule="exact"/>
        <w:ind w:firstLine="640"/>
        <w:rPr>
          <w:rFonts w:hint="eastAsia" w:eastAsia="仿宋_GB2312" w:cs="仿宋_GB2312"/>
          <w:color w:val="auto"/>
          <w:kern w:val="2"/>
          <w:sz w:val="32"/>
          <w:szCs w:val="32"/>
          <w:highlight w:val="none"/>
          <w:lang w:val="en-US" w:eastAsia="zh-CN" w:bidi="ar-SA"/>
        </w:rPr>
      </w:pPr>
      <w:r>
        <w:rPr>
          <w:rFonts w:hint="eastAsia" w:ascii="Times New Roman" w:hAnsi="Times New Roman" w:eastAsia="仿宋_GB2312" w:cs="仿宋_GB2312"/>
          <w:b/>
          <w:bCs/>
          <w:color w:val="auto"/>
          <w:kern w:val="2"/>
          <w:sz w:val="32"/>
          <w:szCs w:val="32"/>
          <w:highlight w:val="none"/>
          <w:lang w:val="en-US" w:eastAsia="zh-CN" w:bidi="ar-SA"/>
        </w:rPr>
        <w:t>3.公务接待费支出</w:t>
      </w:r>
      <w:r>
        <w:rPr>
          <w:rFonts w:hint="eastAsia" w:ascii="仿宋_GB2312" w:hAnsi="仿宋_GB2312" w:eastAsia="仿宋_GB2312" w:cs="仿宋_GB2312"/>
          <w:b/>
          <w:bCs/>
          <w:color w:val="auto"/>
          <w:kern w:val="2"/>
          <w:sz w:val="32"/>
          <w:szCs w:val="32"/>
          <w:highlight w:val="none"/>
          <w:lang w:val="en-US" w:eastAsia="zh-CN" w:bidi="ar-SA"/>
        </w:rPr>
        <w:t>0万</w:t>
      </w:r>
      <w:r>
        <w:rPr>
          <w:rFonts w:hint="eastAsia" w:ascii="Times New Roman" w:hAnsi="Times New Roman" w:eastAsia="仿宋_GB2312" w:cs="仿宋_GB2312"/>
          <w:b/>
          <w:bCs/>
          <w:color w:val="auto"/>
          <w:kern w:val="2"/>
          <w:sz w:val="32"/>
          <w:szCs w:val="32"/>
          <w:highlight w:val="none"/>
          <w:lang w:val="en-US" w:eastAsia="zh-CN" w:bidi="ar-SA"/>
        </w:rPr>
        <w:t>元，完成预算**%。</w:t>
      </w:r>
      <w:r>
        <w:rPr>
          <w:rFonts w:hint="eastAsia" w:ascii="Times New Roman" w:hAnsi="Times New Roman" w:eastAsia="仿宋_GB2312" w:cs="仿宋_GB2312"/>
          <w:color w:val="auto"/>
          <w:kern w:val="2"/>
          <w:sz w:val="32"/>
          <w:szCs w:val="32"/>
          <w:highlight w:val="none"/>
          <w:lang w:val="en-US" w:eastAsia="zh-CN" w:bidi="ar-SA"/>
        </w:rPr>
        <w:t>公务接待费支出决算比2023年度增</w:t>
      </w:r>
      <w:r>
        <w:rPr>
          <w:rFonts w:hint="eastAsia" w:eastAsia="仿宋_GB2312" w:cs="仿宋_GB2312"/>
          <w:color w:val="auto"/>
          <w:kern w:val="2"/>
          <w:sz w:val="32"/>
          <w:szCs w:val="32"/>
          <w:highlight w:val="none"/>
          <w:lang w:val="en-US" w:eastAsia="zh-CN" w:bidi="ar-SA"/>
        </w:rPr>
        <w:t>无变化</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国内公务接待支</w:t>
      </w:r>
      <w:r>
        <w:rPr>
          <w:rFonts w:hint="eastAsia" w:ascii="仿宋_GB2312" w:hAnsi="仿宋_GB2312" w:eastAsia="仿宋_GB2312" w:cs="仿宋_GB2312"/>
          <w:color w:val="auto"/>
          <w:kern w:val="2"/>
          <w:sz w:val="32"/>
          <w:szCs w:val="32"/>
          <w:highlight w:val="none"/>
          <w:lang w:val="en-US" w:eastAsia="zh-CN" w:bidi="ar-SA"/>
        </w:rPr>
        <w:t>出</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万</w:t>
      </w:r>
      <w:r>
        <w:rPr>
          <w:rFonts w:hint="eastAsia" w:ascii="Times New Roman" w:hAnsi="Times New Roman" w:eastAsia="仿宋_GB2312" w:cs="仿宋_GB2312"/>
          <w:color w:val="auto"/>
          <w:kern w:val="2"/>
          <w:sz w:val="32"/>
          <w:szCs w:val="32"/>
          <w:highlight w:val="none"/>
          <w:lang w:val="en-US" w:eastAsia="zh-CN" w:bidi="ar-SA"/>
        </w:rPr>
        <w:t>元，主要用于……(执行公务、开展业务活动开支的交通费、住宿费、用餐费等)。国内公务接</w:t>
      </w:r>
      <w:r>
        <w:rPr>
          <w:rFonts w:hint="eastAsia" w:ascii="仿宋_GB2312" w:hAnsi="仿宋_GB2312" w:eastAsia="仿宋_GB2312" w:cs="仿宋_GB2312"/>
          <w:color w:val="auto"/>
          <w:kern w:val="2"/>
          <w:sz w:val="32"/>
          <w:szCs w:val="32"/>
          <w:highlight w:val="none"/>
          <w:lang w:val="en-US" w:eastAsia="zh-CN" w:bidi="ar-SA"/>
        </w:rPr>
        <w:t>待</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批次，</w:t>
      </w:r>
      <w:r>
        <w:rPr>
          <w:rFonts w:hint="eastAsia" w:ascii="仿宋_GB2312" w:hAnsi="仿宋_GB2312" w:eastAsia="仿宋_GB2312" w:cs="仿宋_GB2312"/>
          <w:sz w:val="32"/>
          <w:szCs w:val="32"/>
        </w:rPr>
        <w:t>0</w:t>
      </w:r>
      <w:r>
        <w:rPr>
          <w:rFonts w:hint="eastAsia" w:ascii="Times New Roman" w:hAnsi="Times New Roman" w:eastAsia="仿宋_GB2312" w:cs="仿宋_GB2312"/>
          <w:color w:val="auto"/>
          <w:kern w:val="2"/>
          <w:sz w:val="32"/>
          <w:szCs w:val="32"/>
          <w:highlight w:val="none"/>
          <w:lang w:val="en-US" w:eastAsia="zh-CN" w:bidi="ar-SA"/>
        </w:rPr>
        <w:t>人次（不包括陪同人员），共计支出**万元，具体内容包括：……（接待具体项目、金额）。</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外事接待支</w:t>
      </w:r>
      <w:r>
        <w:rPr>
          <w:rFonts w:hint="eastAsia" w:ascii="仿宋_GB2312" w:hAnsi="仿宋_GB2312" w:eastAsia="仿宋_GB2312" w:cs="仿宋_GB2312"/>
          <w:color w:val="auto"/>
          <w:kern w:val="2"/>
          <w:sz w:val="32"/>
          <w:szCs w:val="32"/>
          <w:highlight w:val="none"/>
          <w:lang w:val="en-US" w:eastAsia="zh-CN" w:bidi="ar-SA"/>
        </w:rPr>
        <w:t>出</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万元，主要用于……（具体项目）。外事接待</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批次，</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人次（不包括陪同人员），共计支出**万</w:t>
      </w:r>
      <w:r>
        <w:rPr>
          <w:rFonts w:hint="eastAsia" w:ascii="Times New Roman" w:hAnsi="Times New Roman" w:eastAsia="仿宋_GB2312" w:cs="仿宋_GB2312"/>
          <w:color w:val="auto"/>
          <w:kern w:val="2"/>
          <w:sz w:val="32"/>
          <w:szCs w:val="32"/>
          <w:highlight w:val="none"/>
          <w:lang w:val="en-US" w:eastAsia="zh-CN" w:bidi="ar-SA"/>
        </w:rPr>
        <w:t>元。</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bookmarkStart w:id="54" w:name="_Toc15377218"/>
      <w:bookmarkStart w:id="55" w:name="_Toc15396610"/>
    </w:p>
    <w:p>
      <w:pPr>
        <w:spacing w:line="600" w:lineRule="exact"/>
        <w:ind w:firstLine="640"/>
        <w:outlineLvl w:val="1"/>
        <w:rPr>
          <w:rStyle w:val="29"/>
          <w:rFonts w:ascii="Times New Roman" w:hAnsi="Times New Roman" w:eastAsia="黑体"/>
          <w:color w:val="auto"/>
          <w:highlight w:val="none"/>
        </w:rPr>
      </w:pPr>
      <w:r>
        <w:rPr>
          <w:rFonts w:hint="eastAsia" w:ascii="Times New Roman" w:hAnsi="Times New Roman" w:eastAsia="黑体"/>
          <w:color w:val="auto"/>
          <w:sz w:val="32"/>
          <w:szCs w:val="32"/>
          <w:highlight w:val="none"/>
        </w:rPr>
        <w:t>八、</w:t>
      </w:r>
      <w:r>
        <w:rPr>
          <w:rStyle w:val="29"/>
          <w:rFonts w:hint="eastAsia" w:ascii="Times New Roman" w:hAnsi="Times New Roman" w:eastAsia="黑体"/>
          <w:b w:val="0"/>
          <w:color w:val="auto"/>
          <w:highlight w:val="none"/>
        </w:rPr>
        <w:t>政府性基金预算支出决算情况说明</w:t>
      </w:r>
      <w:bookmarkEnd w:id="54"/>
      <w:bookmarkEnd w:id="55"/>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2024年度政府性基金预算财政拨款支出</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万元，占本年支出合计的</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w:t>
      </w:r>
      <w:r>
        <w:rPr>
          <w:rFonts w:hint="eastAsia" w:ascii="Times New Roman" w:hAnsi="Times New Roman" w:eastAsia="仿宋_GB2312" w:cs="仿宋_GB2312"/>
          <w:color w:val="auto"/>
          <w:kern w:val="2"/>
          <w:sz w:val="32"/>
          <w:szCs w:val="32"/>
          <w:highlight w:val="none"/>
          <w:lang w:val="en-US" w:eastAsia="zh-CN" w:bidi="ar-SA"/>
        </w:rPr>
        <w:t>。与2023年度相比，</w:t>
      </w:r>
      <w:r>
        <w:rPr>
          <w:rFonts w:hint="eastAsia" w:eastAsia="仿宋_GB2312" w:cs="仿宋_GB2312"/>
          <w:color w:val="auto"/>
          <w:kern w:val="2"/>
          <w:sz w:val="32"/>
          <w:szCs w:val="32"/>
          <w:highlight w:val="none"/>
          <w:lang w:val="en-US" w:eastAsia="zh-CN" w:bidi="ar-SA"/>
        </w:rPr>
        <w:t>无变化，</w:t>
      </w:r>
    </w:p>
    <w:p>
      <w:pPr>
        <w:numPr>
          <w:ilvl w:val="0"/>
          <w:numId w:val="0"/>
        </w:numPr>
        <w:spacing w:line="600" w:lineRule="exact"/>
        <w:ind w:left="630" w:leftChars="0"/>
        <w:outlineLvl w:val="1"/>
        <w:rPr>
          <w:rStyle w:val="29"/>
          <w:rFonts w:ascii="Times New Roman" w:hAnsi="Times New Roman" w:eastAsia="黑体"/>
          <w:b w:val="0"/>
          <w:color w:val="auto"/>
          <w:highlight w:val="none"/>
        </w:rPr>
      </w:pPr>
      <w:bookmarkStart w:id="56" w:name="_Toc15396611"/>
      <w:bookmarkStart w:id="57" w:name="_Toc15377219"/>
      <w:r>
        <w:rPr>
          <w:rStyle w:val="29"/>
          <w:rFonts w:hint="eastAsia" w:ascii="Times New Roman" w:hAnsi="Times New Roman" w:eastAsia="黑体"/>
          <w:b w:val="0"/>
          <w:color w:val="auto"/>
          <w:highlight w:val="none"/>
          <w:lang w:eastAsia="zh-CN"/>
        </w:rPr>
        <w:t>九、</w:t>
      </w:r>
      <w:r>
        <w:rPr>
          <w:rStyle w:val="29"/>
          <w:rFonts w:hint="eastAsia" w:ascii="Times New Roman" w:hAnsi="Times New Roman" w:eastAsia="黑体"/>
          <w:b w:val="0"/>
          <w:color w:val="auto"/>
          <w:highlight w:val="none"/>
        </w:rPr>
        <w:t>国有资本经营预算支出决算情况说明</w:t>
      </w:r>
      <w:bookmarkEnd w:id="56"/>
      <w:bookmarkEnd w:id="57"/>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2024年度国有资本经营预算财政拨款支出</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万元，占本年支出合计的</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w:t>
      </w:r>
      <w:r>
        <w:rPr>
          <w:rFonts w:hint="eastAsia" w:ascii="Times New Roman" w:hAnsi="Times New Roman" w:eastAsia="仿宋_GB2312" w:cs="仿宋_GB2312"/>
          <w:color w:val="auto"/>
          <w:kern w:val="2"/>
          <w:sz w:val="32"/>
          <w:szCs w:val="32"/>
          <w:highlight w:val="none"/>
          <w:lang w:val="en-US" w:eastAsia="zh-CN" w:bidi="ar-SA"/>
        </w:rPr>
        <w:t>。与2023年度相比，</w:t>
      </w:r>
      <w:r>
        <w:rPr>
          <w:rFonts w:hint="eastAsia" w:eastAsia="仿宋_GB2312" w:cs="仿宋_GB2312"/>
          <w:color w:val="auto"/>
          <w:kern w:val="2"/>
          <w:sz w:val="32"/>
          <w:szCs w:val="32"/>
          <w:highlight w:val="none"/>
          <w:lang w:val="en-US" w:eastAsia="zh-CN" w:bidi="ar-SA"/>
        </w:rPr>
        <w:t>无变化，</w:t>
      </w:r>
    </w:p>
    <w:p>
      <w:pPr>
        <w:numPr>
          <w:ilvl w:val="0"/>
          <w:numId w:val="0"/>
        </w:numPr>
        <w:spacing w:line="600" w:lineRule="exact"/>
        <w:ind w:left="630" w:leftChars="0"/>
        <w:outlineLvl w:val="1"/>
        <w:rPr>
          <w:rStyle w:val="29"/>
          <w:rFonts w:hint="eastAsia" w:ascii="Times New Roman" w:hAnsi="Times New Roman" w:eastAsia="黑体"/>
          <w:b w:val="0"/>
          <w:color w:val="auto"/>
          <w:highlight w:val="none"/>
        </w:rPr>
      </w:pPr>
      <w:bookmarkStart w:id="58" w:name="_Toc15396612"/>
      <w:bookmarkStart w:id="59" w:name="_Toc15377221"/>
      <w:r>
        <w:rPr>
          <w:rStyle w:val="29"/>
          <w:rFonts w:hint="eastAsia" w:ascii="Times New Roman" w:hAnsi="Times New Roman" w:eastAsia="黑体"/>
          <w:b w:val="0"/>
          <w:color w:val="auto"/>
          <w:highlight w:val="none"/>
          <w:lang w:eastAsia="zh-CN"/>
        </w:rPr>
        <w:t>十、</w:t>
      </w:r>
      <w:r>
        <w:rPr>
          <w:rStyle w:val="29"/>
          <w:rFonts w:hint="eastAsia" w:ascii="Times New Roman" w:hAnsi="Times New Roman" w:eastAsia="黑体"/>
          <w:b w:val="0"/>
          <w:color w:val="auto"/>
          <w:highlight w:val="none"/>
        </w:rPr>
        <w:t>其他重要事项的情况说明</w:t>
      </w:r>
      <w:bookmarkEnd w:id="58"/>
      <w:bookmarkEnd w:id="59"/>
    </w:p>
    <w:p>
      <w:pPr>
        <w:spacing w:line="600" w:lineRule="exact"/>
        <w:ind w:firstLine="643" w:firstLineChars="200"/>
        <w:outlineLvl w:val="2"/>
        <w:rPr>
          <w:rFonts w:hint="eastAsia" w:ascii="Times New Roman" w:hAnsi="Times New Roman" w:eastAsia="楷体_GB2312" w:cs="楷体_GB2312"/>
          <w:b/>
          <w:color w:val="auto"/>
          <w:sz w:val="32"/>
          <w:szCs w:val="32"/>
          <w:highlight w:val="none"/>
        </w:rPr>
      </w:pPr>
      <w:bookmarkStart w:id="60" w:name="_Toc15377222"/>
      <w:r>
        <w:rPr>
          <w:rFonts w:hint="eastAsia" w:ascii="Times New Roman" w:hAnsi="Times New Roman" w:eastAsia="楷体_GB2312" w:cs="楷体_GB2312"/>
          <w:b/>
          <w:color w:val="auto"/>
          <w:sz w:val="32"/>
          <w:szCs w:val="32"/>
          <w:highlight w:val="none"/>
        </w:rPr>
        <w:t>（一）机关运行经费支出情况</w:t>
      </w:r>
      <w:bookmarkEnd w:id="60"/>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2024年度</w:t>
      </w:r>
      <w:r>
        <w:rPr>
          <w:rFonts w:hint="eastAsia" w:ascii="仿宋_GB2312" w:hAnsi="仿宋_GB2312" w:eastAsia="仿宋_GB2312" w:cs="仿宋_GB2312"/>
          <w:color w:val="auto"/>
          <w:kern w:val="2"/>
          <w:sz w:val="32"/>
          <w:szCs w:val="32"/>
          <w:highlight w:val="none"/>
          <w:lang w:val="en-US" w:eastAsia="zh-CN" w:bidi="ar-SA"/>
        </w:rPr>
        <w:t>，</w:t>
      </w:r>
      <w:r>
        <w:rPr>
          <w:rFonts w:hint="eastAsia" w:ascii="仿宋_GB2312" w:hAnsi="仿宋_GB2312" w:eastAsia="仿宋_GB2312" w:cs="仿宋_GB2312"/>
          <w:sz w:val="32"/>
          <w:szCs w:val="32"/>
        </w:rPr>
        <w:t>乐山市五通桥区石麟镇文化旅游服务中心</w:t>
      </w:r>
      <w:r>
        <w:rPr>
          <w:rFonts w:hint="eastAsia" w:ascii="仿宋_GB2312" w:hAnsi="仿宋_GB2312" w:eastAsia="仿宋_GB2312" w:cs="仿宋_GB2312"/>
          <w:color w:val="auto"/>
          <w:kern w:val="2"/>
          <w:sz w:val="32"/>
          <w:szCs w:val="32"/>
          <w:highlight w:val="none"/>
          <w:lang w:val="en-US" w:eastAsia="zh-CN" w:bidi="ar-SA"/>
        </w:rPr>
        <w:t>机关运行经费支出</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万</w:t>
      </w:r>
      <w:r>
        <w:rPr>
          <w:rFonts w:hint="eastAsia" w:ascii="Times New Roman" w:hAnsi="Times New Roman" w:eastAsia="仿宋_GB2312" w:cs="仿宋_GB2312"/>
          <w:color w:val="auto"/>
          <w:kern w:val="2"/>
          <w:sz w:val="32"/>
          <w:szCs w:val="32"/>
          <w:highlight w:val="none"/>
          <w:lang w:val="en-US" w:eastAsia="zh-CN" w:bidi="ar-SA"/>
        </w:rPr>
        <w:t>元，比2023年度</w:t>
      </w:r>
      <w:r>
        <w:rPr>
          <w:rFonts w:hint="eastAsia" w:eastAsia="仿宋_GB2312" w:cs="仿宋_GB2312"/>
          <w:color w:val="auto"/>
          <w:kern w:val="2"/>
          <w:sz w:val="32"/>
          <w:szCs w:val="32"/>
          <w:highlight w:val="none"/>
          <w:lang w:val="en-US" w:eastAsia="zh-CN" w:bidi="ar-SA"/>
        </w:rPr>
        <w:t>无变化。</w:t>
      </w:r>
    </w:p>
    <w:p>
      <w:pPr>
        <w:spacing w:line="600" w:lineRule="exact"/>
        <w:ind w:firstLine="643" w:firstLineChars="200"/>
        <w:outlineLvl w:val="2"/>
        <w:rPr>
          <w:rFonts w:hint="eastAsia" w:ascii="Times New Roman" w:hAnsi="Times New Roman" w:eastAsia="楷体_GB2312" w:cs="楷体_GB2312"/>
          <w:b/>
          <w:color w:val="auto"/>
          <w:sz w:val="32"/>
          <w:szCs w:val="32"/>
          <w:highlight w:val="none"/>
        </w:rPr>
      </w:pPr>
      <w:bookmarkStart w:id="61" w:name="_Toc15377223"/>
      <w:r>
        <w:rPr>
          <w:rFonts w:hint="eastAsia" w:ascii="Times New Roman" w:hAnsi="Times New Roman" w:eastAsia="楷体_GB2312" w:cs="楷体_GB2312"/>
          <w:b/>
          <w:color w:val="auto"/>
          <w:sz w:val="32"/>
          <w:szCs w:val="32"/>
          <w:highlight w:val="none"/>
        </w:rPr>
        <w:t>（二）政府采购支出情况</w:t>
      </w:r>
      <w:bookmarkEnd w:id="61"/>
    </w:p>
    <w:p>
      <w:pPr>
        <w:spacing w:line="600" w:lineRule="exact"/>
        <w:ind w:firstLine="640"/>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2024年度，</w:t>
      </w:r>
      <w:r>
        <w:rPr>
          <w:rFonts w:hint="eastAsia" w:ascii="仿宋_GB2312" w:hAnsi="仿宋_GB2312" w:eastAsia="仿宋_GB2312" w:cs="仿宋_GB2312"/>
          <w:sz w:val="32"/>
          <w:szCs w:val="32"/>
        </w:rPr>
        <w:t>乐山市五通桥区石麟镇文化旅游服务中心</w:t>
      </w:r>
      <w:r>
        <w:rPr>
          <w:rFonts w:hint="eastAsia" w:ascii="仿宋_GB2312" w:hAnsi="仿宋_GB2312" w:eastAsia="仿宋_GB2312" w:cs="仿宋_GB2312"/>
          <w:color w:val="auto"/>
          <w:kern w:val="2"/>
          <w:sz w:val="32"/>
          <w:szCs w:val="32"/>
          <w:highlight w:val="none"/>
          <w:lang w:val="en-US" w:eastAsia="zh-CN" w:bidi="ar-SA"/>
        </w:rPr>
        <w:t>政府采购支出总额</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万元，其中：政府采购货物支出</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万元、政府采购工程支出</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万元、政府采购服务支出</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万元。主要用于……（具体工作）。授予中小企业合同金额</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万元，占政府采购支出总额的</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%，其中：授予小微企业合同金额</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万元，占政府采购支出总额的</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p>
    <w:p>
      <w:pPr>
        <w:spacing w:line="600" w:lineRule="exact"/>
        <w:ind w:firstLine="643" w:firstLineChars="200"/>
        <w:outlineLvl w:val="2"/>
        <w:rPr>
          <w:rFonts w:hint="eastAsia" w:ascii="Times New Roman" w:hAnsi="Times New Roman" w:eastAsia="楷体_GB2312" w:cs="楷体_GB2312"/>
          <w:b/>
          <w:color w:val="auto"/>
          <w:sz w:val="32"/>
          <w:szCs w:val="32"/>
          <w:highlight w:val="none"/>
        </w:rPr>
      </w:pPr>
      <w:bookmarkStart w:id="62" w:name="_Toc15377224"/>
      <w:r>
        <w:rPr>
          <w:rFonts w:hint="eastAsia" w:ascii="Times New Roman" w:hAnsi="Times New Roman" w:eastAsia="楷体_GB2312" w:cs="楷体_GB2312"/>
          <w:b/>
          <w:color w:val="auto"/>
          <w:sz w:val="32"/>
          <w:szCs w:val="32"/>
          <w:highlight w:val="none"/>
        </w:rPr>
        <w:t>（三）国有资产占有使用情况</w:t>
      </w:r>
      <w:bookmarkEnd w:id="62"/>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截至2024年12月31日，</w:t>
      </w:r>
      <w:r>
        <w:rPr>
          <w:rFonts w:hint="eastAsia" w:ascii="仿宋_GB2312" w:hAnsi="仿宋_GB2312" w:eastAsia="仿宋_GB2312" w:cs="仿宋_GB2312"/>
          <w:sz w:val="32"/>
          <w:szCs w:val="32"/>
        </w:rPr>
        <w:t>乐山市五通桥区石麟镇文化旅游服务中心</w:t>
      </w:r>
      <w:r>
        <w:rPr>
          <w:rFonts w:hint="eastAsia" w:ascii="仿宋_GB2312" w:hAnsi="仿宋_GB2312" w:eastAsia="仿宋_GB2312" w:cs="仿宋_GB2312"/>
          <w:color w:val="auto"/>
          <w:kern w:val="2"/>
          <w:sz w:val="32"/>
          <w:szCs w:val="32"/>
          <w:highlight w:val="none"/>
          <w:lang w:val="en-US" w:eastAsia="zh-CN" w:bidi="ar-SA"/>
        </w:rPr>
        <w:t>共有车辆</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辆，其中：主要负责人用车</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辆、机要通信用车</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辆、应急保障用车</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辆、其他用车</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辆，其他用车主要是用于……。单价100万元（含）以上设备（不含车辆）</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台（套）</w:t>
      </w:r>
      <w:r>
        <w:rPr>
          <w:rFonts w:hint="eastAsia" w:ascii="Times New Roman" w:hAnsi="Times New Roman" w:eastAsia="仿宋_GB2312" w:cs="仿宋_GB2312"/>
          <w:color w:val="auto"/>
          <w:kern w:val="2"/>
          <w:sz w:val="32"/>
          <w:szCs w:val="32"/>
          <w:highlight w:val="none"/>
          <w:lang w:val="en-US" w:eastAsia="zh-CN" w:bidi="ar-SA"/>
        </w:rPr>
        <w:t>。</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p>
    <w:p>
      <w:pPr>
        <w:spacing w:line="600" w:lineRule="exact"/>
        <w:ind w:firstLine="643" w:firstLineChars="200"/>
        <w:outlineLvl w:val="2"/>
        <w:rPr>
          <w:rFonts w:hint="eastAsia" w:ascii="Times New Roman" w:hAnsi="Times New Roman" w:eastAsia="楷体_GB2312" w:cs="楷体_GB2312"/>
          <w:b/>
          <w:color w:val="auto"/>
          <w:sz w:val="32"/>
          <w:szCs w:val="32"/>
          <w:highlight w:val="yellow"/>
        </w:rPr>
      </w:pPr>
      <w:r>
        <w:rPr>
          <w:rFonts w:hint="eastAsia" w:ascii="Times New Roman" w:hAnsi="Times New Roman" w:eastAsia="楷体_GB2312" w:cs="楷体_GB2312"/>
          <w:b/>
          <w:color w:val="auto"/>
          <w:sz w:val="32"/>
          <w:szCs w:val="32"/>
          <w:highlight w:val="none"/>
        </w:rPr>
        <w:t>（</w:t>
      </w:r>
      <w:r>
        <w:rPr>
          <w:rFonts w:hint="eastAsia" w:ascii="Times New Roman" w:hAnsi="Times New Roman" w:eastAsia="楷体_GB2312" w:cs="楷体_GB2312"/>
          <w:b/>
          <w:color w:val="auto"/>
          <w:sz w:val="32"/>
          <w:szCs w:val="32"/>
          <w:highlight w:val="yellow"/>
        </w:rPr>
        <w:t>四）预算绩效管理情况</w:t>
      </w:r>
    </w:p>
    <w:p>
      <w:pPr>
        <w:spacing w:line="600" w:lineRule="exact"/>
        <w:ind w:firstLine="640"/>
        <w:rPr>
          <w:rFonts w:hint="eastAsia" w:ascii="Times New Roman" w:hAnsi="Times New Roman" w:eastAsia="仿宋_GB2312" w:cs="仿宋_GB2312"/>
          <w:color w:val="auto"/>
          <w:kern w:val="2"/>
          <w:sz w:val="32"/>
          <w:szCs w:val="32"/>
          <w:highlight w:val="yellow"/>
          <w:lang w:val="en-US" w:eastAsia="zh-CN" w:bidi="ar-SA"/>
        </w:rPr>
      </w:pPr>
      <w:r>
        <w:rPr>
          <w:rFonts w:hint="eastAsia" w:ascii="Times New Roman" w:hAnsi="Times New Roman" w:eastAsia="仿宋_GB2312" w:cs="仿宋_GB2312"/>
          <w:color w:val="auto"/>
          <w:kern w:val="2"/>
          <w:sz w:val="32"/>
          <w:szCs w:val="32"/>
          <w:highlight w:val="yellow"/>
          <w:lang w:val="en-US" w:eastAsia="zh-CN" w:bidi="ar-SA"/>
        </w:rPr>
        <w:t>根据预算绩效管理要求，***在2024年度预算编制阶段，组织对***（项目名称）等***个项目开展了预算事前绩效评估，对***个项目编制了绩效目标，预算执行过程中，选取***个项目开展绩效监控。</w:t>
      </w:r>
    </w:p>
    <w:p>
      <w:pPr>
        <w:spacing w:line="600" w:lineRule="exact"/>
        <w:ind w:firstLine="640"/>
        <w:rPr>
          <w:rFonts w:hint="eastAsia" w:ascii="Times New Roman" w:hAnsi="Times New Roman" w:eastAsia="仿宋_GB2312" w:cs="仿宋_GB2312"/>
          <w:b/>
          <w:bCs/>
          <w:color w:val="auto"/>
          <w:kern w:val="2"/>
          <w:sz w:val="32"/>
          <w:szCs w:val="32"/>
          <w:highlight w:val="yellow"/>
          <w:lang w:val="en-US" w:eastAsia="zh-CN" w:bidi="ar-SA"/>
        </w:rPr>
      </w:pPr>
      <w:r>
        <w:rPr>
          <w:rFonts w:hint="eastAsia" w:ascii="Times New Roman" w:hAnsi="Times New Roman" w:eastAsia="仿宋_GB2312" w:cs="仿宋_GB2312"/>
          <w:color w:val="auto"/>
          <w:kern w:val="2"/>
          <w:sz w:val="32"/>
          <w:szCs w:val="32"/>
          <w:highlight w:val="yellow"/>
          <w:lang w:val="en-US" w:eastAsia="zh-CN" w:bidi="ar-SA"/>
        </w:rPr>
        <w:t>组织对2024年度一般公共预算、政府性基金预算、国有资本经营预算、社会保险基金预算以及资本资产、债券资金等全面开展绩效自评，形成***部门整体（含部门预算项目）绩效自评报告、***等专项预算项目绩效自评报告，其中，***部门整体（含部门预算项目）绩效自评得分为***分，绩效自评综述……；***专项预算项目绩效自评得分为***分，绩效自评综述……。绩效自评报告详见附件。</w:t>
      </w:r>
      <w:r>
        <w:rPr>
          <w:rFonts w:hint="eastAsia" w:ascii="Times New Roman" w:hAnsi="Times New Roman" w:eastAsia="仿宋_GB2312" w:cs="仿宋_GB2312"/>
          <w:b/>
          <w:bCs/>
          <w:color w:val="auto"/>
          <w:kern w:val="2"/>
          <w:sz w:val="32"/>
          <w:szCs w:val="32"/>
          <w:highlight w:val="yellow"/>
          <w:lang w:val="en-US" w:eastAsia="zh-CN" w:bidi="ar-SA"/>
        </w:rPr>
        <w:t>（</w:t>
      </w:r>
      <w:r>
        <w:rPr>
          <w:rFonts w:hint="eastAsia" w:eastAsia="仿宋_GB2312" w:cs="仿宋_GB2312"/>
          <w:b/>
          <w:bCs/>
          <w:color w:val="auto"/>
          <w:kern w:val="2"/>
          <w:sz w:val="32"/>
          <w:szCs w:val="32"/>
          <w:highlight w:val="yellow"/>
          <w:lang w:val="en-US" w:eastAsia="zh-CN" w:bidi="ar-SA"/>
        </w:rPr>
        <w:t>注：</w:t>
      </w:r>
      <w:r>
        <w:rPr>
          <w:rFonts w:hint="eastAsia" w:ascii="Times New Roman" w:hAnsi="Times New Roman" w:eastAsia="仿宋_GB2312" w:cs="仿宋_GB2312"/>
          <w:b/>
          <w:bCs/>
          <w:color w:val="auto"/>
          <w:kern w:val="2"/>
          <w:sz w:val="32"/>
          <w:szCs w:val="32"/>
          <w:highlight w:val="yellow"/>
          <w:lang w:val="en-US" w:eastAsia="zh-CN" w:bidi="ar-SA"/>
        </w:rPr>
        <w:t>如不涉及，可根据实际修改表述。）</w:t>
      </w:r>
    </w:p>
    <w:p>
      <w:pPr>
        <w:spacing w:line="600" w:lineRule="exact"/>
        <w:ind w:firstLine="640"/>
        <w:rPr>
          <w:rFonts w:hint="eastAsia" w:ascii="Times New Roman" w:hAnsi="Times New Roman" w:eastAsia="仿宋_GB2312" w:cs="仿宋_GB2312"/>
          <w:color w:val="auto"/>
          <w:kern w:val="2"/>
          <w:sz w:val="32"/>
          <w:szCs w:val="32"/>
          <w:highlight w:val="yellow"/>
          <w:lang w:val="en-US" w:eastAsia="zh-CN" w:bidi="ar-SA"/>
        </w:rPr>
      </w:pP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p>
    <w:p>
      <w:pPr>
        <w:numPr>
          <w:ilvl w:val="0"/>
          <w:numId w:val="0"/>
        </w:numPr>
        <w:spacing w:line="600" w:lineRule="exact"/>
        <w:jc w:val="center"/>
        <w:outlineLvl w:val="0"/>
        <w:rPr>
          <w:rFonts w:hint="eastAsia" w:ascii="Times New Roman" w:hAnsi="Times New Roman" w:eastAsia="黑体"/>
          <w:color w:val="auto"/>
          <w:sz w:val="44"/>
          <w:szCs w:val="44"/>
          <w:highlight w:val="none"/>
        </w:rPr>
      </w:pPr>
      <w:bookmarkStart w:id="63" w:name="_Toc15377225"/>
      <w:bookmarkStart w:id="64" w:name="_Toc15396613"/>
      <w:r>
        <w:rPr>
          <w:rFonts w:hint="eastAsia" w:ascii="Times New Roman" w:hAnsi="Times New Roman" w:eastAsia="黑体"/>
          <w:color w:val="auto"/>
          <w:sz w:val="44"/>
          <w:szCs w:val="44"/>
          <w:highlight w:val="none"/>
        </w:rPr>
        <w:t>第</w:t>
      </w:r>
      <w:r>
        <w:rPr>
          <w:rFonts w:hint="eastAsia" w:eastAsia="黑体"/>
          <w:color w:val="auto"/>
          <w:sz w:val="44"/>
          <w:szCs w:val="44"/>
          <w:highlight w:val="none"/>
          <w:lang w:eastAsia="zh-CN"/>
        </w:rPr>
        <w:t>三</w:t>
      </w:r>
      <w:r>
        <w:rPr>
          <w:rFonts w:hint="eastAsia" w:ascii="Times New Roman" w:hAnsi="Times New Roman" w:eastAsia="黑体"/>
          <w:color w:val="auto"/>
          <w:sz w:val="44"/>
          <w:szCs w:val="44"/>
          <w:highlight w:val="none"/>
        </w:rPr>
        <w:t>部分</w:t>
      </w:r>
      <w:r>
        <w:rPr>
          <w:rFonts w:hint="eastAsia" w:ascii="Times New Roman" w:hAnsi="Times New Roman" w:eastAsia="黑体"/>
          <w:color w:val="auto"/>
          <w:sz w:val="44"/>
          <w:szCs w:val="44"/>
          <w:highlight w:val="none"/>
          <w:lang w:val="en-US" w:eastAsia="zh-CN"/>
        </w:rPr>
        <w:t xml:space="preserve"> </w:t>
      </w:r>
      <w:r>
        <w:rPr>
          <w:rFonts w:hint="eastAsia" w:eastAsia="黑体"/>
          <w:color w:val="auto"/>
          <w:sz w:val="44"/>
          <w:szCs w:val="44"/>
          <w:highlight w:val="none"/>
          <w:lang w:val="en-US" w:eastAsia="zh-CN"/>
        </w:rPr>
        <w:t xml:space="preserve"> </w:t>
      </w:r>
      <w:r>
        <w:rPr>
          <w:rFonts w:hint="eastAsia" w:ascii="Times New Roman" w:hAnsi="Times New Roman" w:eastAsia="黑体"/>
          <w:color w:val="auto"/>
          <w:sz w:val="44"/>
          <w:szCs w:val="44"/>
          <w:highlight w:val="none"/>
        </w:rPr>
        <w:t>名词解释</w:t>
      </w:r>
      <w:bookmarkEnd w:id="63"/>
      <w:bookmarkEnd w:id="64"/>
    </w:p>
    <w:p>
      <w:pPr>
        <w:spacing w:line="600" w:lineRule="exact"/>
        <w:jc w:val="left"/>
        <w:rPr>
          <w:rFonts w:ascii="Times New Roman" w:hAnsi="Times New Roman"/>
          <w:b/>
          <w:color w:val="auto"/>
          <w:sz w:val="44"/>
          <w:szCs w:val="44"/>
          <w:highlight w:val="none"/>
        </w:rPr>
      </w:pP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1.财政拨款收入：指单位从同级财政部门取得的财政预算资金。</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2.事业收入：指事业单位开展专业业务活动及辅助活动取得的收入。如……（二级预算单位事业收入情况）等。</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3.经营收入：指事业单位在专业业务活动及其辅助活动之外开展非独立核算经营活动取得的收入。如……（二级预算单位经营收入情况）等。</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 xml:space="preserve">4.其他收入：指单位取得的除上述收入以外的各项收入。主要是……（收入类型）等。 </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 xml:space="preserve">5.使用非财政拨款结余（含专用结余）：指事业单位使用以前年度积累的非财政拨款结余弥补当年收支差额的金额。 </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 xml:space="preserve">6.年初结转和结余：指以前年度尚未完成、结转到本年按有关规定继续使用的资金。 </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7.结余分配：指事业单位按照会计制度规定缴纳的所得税、提取的专用结余以及转入非财政拨款结余的金额等。</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8.年末结转和结余：指单位按有关规定结转到下年或以后年度继续使用的资金。</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9.一般公共服务（类）……（款）……（项）：指……</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10.外交（类）……（款）……（项）：指……</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11.公共安全（类）……（款）……（项）：指……</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12.教育（类）……（款）……（项）：指……</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13.科学技术（类）……（款）……（项）：指……</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14.文化旅游体育与传媒（类）……（款）……（项）：指……</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15.社会保障和就业（类）……（款）……（项）：指……</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16.卫生健康（类）……（款）……（项）：指……</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17.节能环保（类）……（款）……（项）</w:t>
      </w:r>
      <w:r>
        <w:rPr>
          <w:rFonts w:hint="eastAsia" w:eastAsia="仿宋_GB2312" w:cs="仿宋_GB2312"/>
          <w:color w:val="auto"/>
          <w:kern w:val="2"/>
          <w:sz w:val="32"/>
          <w:szCs w:val="32"/>
          <w:highlight w:val="none"/>
          <w:lang w:val="en-US" w:eastAsia="zh-CN" w:bidi="ar-SA"/>
        </w:rPr>
        <w:t>：</w:t>
      </w:r>
      <w:r>
        <w:rPr>
          <w:rFonts w:hint="eastAsia" w:ascii="Times New Roman" w:hAnsi="Times New Roman" w:eastAsia="仿宋_GB2312" w:cs="仿宋_GB2312"/>
          <w:color w:val="auto"/>
          <w:kern w:val="2"/>
          <w:sz w:val="32"/>
          <w:szCs w:val="32"/>
          <w:highlight w:val="none"/>
          <w:lang w:val="en-US" w:eastAsia="zh-CN" w:bidi="ar-SA"/>
        </w:rPr>
        <w:t>指……</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18.城乡社区（类）……（款）……（项）：指……</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19.农林水（类）……（款）……（项）：指……</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20.交通运输（类）……（款）……（项）：指……</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21.资源勘探工业信息等（类）……（款）……（项）：指……</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22.商业服务业（类）……（款）……（项）：指……</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23.金融（类）……（款）……（项）：指……</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24.自然资源海洋气象等（类）……（款）……（项）：指……</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25.住房保障（类）……（款）……（项）：指……</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26.粮油物资储备（类）……（款）……（项）：指……</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b/>
          <w:bCs/>
          <w:color w:val="auto"/>
          <w:kern w:val="2"/>
          <w:sz w:val="32"/>
          <w:szCs w:val="32"/>
          <w:highlight w:val="none"/>
          <w:lang w:val="en-US" w:eastAsia="zh-CN" w:bidi="ar-SA"/>
        </w:rPr>
        <w:t>（</w:t>
      </w:r>
      <w:r>
        <w:rPr>
          <w:rFonts w:hint="eastAsia" w:eastAsia="仿宋_GB2312" w:cs="仿宋_GB2312"/>
          <w:b/>
          <w:bCs/>
          <w:color w:val="auto"/>
          <w:kern w:val="2"/>
          <w:sz w:val="32"/>
          <w:szCs w:val="32"/>
          <w:highlight w:val="none"/>
          <w:lang w:val="en-US" w:eastAsia="zh-CN" w:bidi="ar-SA"/>
        </w:rPr>
        <w:t>注：</w:t>
      </w:r>
      <w:r>
        <w:rPr>
          <w:rFonts w:hint="eastAsia" w:ascii="Times New Roman" w:hAnsi="Times New Roman" w:eastAsia="仿宋_GB2312" w:cs="仿宋_GB2312"/>
          <w:b/>
          <w:bCs/>
          <w:color w:val="auto"/>
          <w:kern w:val="2"/>
          <w:sz w:val="32"/>
          <w:szCs w:val="32"/>
          <w:highlight w:val="none"/>
          <w:lang w:val="en-US" w:eastAsia="zh-CN" w:bidi="ar-SA"/>
        </w:rPr>
        <w:t>解释本部门决算报表中涉及的全部功能分类科目至项级，不涉及的科目请自行删除。请参照</w:t>
      </w:r>
      <w:r>
        <w:rPr>
          <w:rFonts w:hint="eastAsia" w:eastAsia="仿宋_GB2312" w:cs="仿宋_GB2312"/>
          <w:b/>
          <w:bCs/>
          <w:color w:val="auto"/>
          <w:kern w:val="2"/>
          <w:sz w:val="32"/>
          <w:szCs w:val="32"/>
          <w:highlight w:val="none"/>
          <w:lang w:val="en-US" w:eastAsia="zh-CN" w:bidi="ar-SA"/>
        </w:rPr>
        <w:t>《</w:t>
      </w:r>
      <w:r>
        <w:rPr>
          <w:rFonts w:hint="eastAsia" w:ascii="Times New Roman" w:hAnsi="Times New Roman" w:eastAsia="仿宋_GB2312" w:cs="仿宋_GB2312"/>
          <w:b/>
          <w:bCs/>
          <w:color w:val="auto"/>
          <w:kern w:val="2"/>
          <w:sz w:val="32"/>
          <w:szCs w:val="32"/>
          <w:highlight w:val="none"/>
          <w:lang w:val="en-US" w:eastAsia="zh-CN" w:bidi="ar-SA"/>
        </w:rPr>
        <w:t>202</w:t>
      </w:r>
      <w:r>
        <w:rPr>
          <w:rFonts w:hint="eastAsia" w:eastAsia="仿宋_GB2312" w:cs="仿宋_GB2312"/>
          <w:b/>
          <w:bCs/>
          <w:color w:val="auto"/>
          <w:kern w:val="2"/>
          <w:sz w:val="32"/>
          <w:szCs w:val="32"/>
          <w:highlight w:val="none"/>
          <w:lang w:val="en-US" w:eastAsia="zh-CN" w:bidi="ar-SA"/>
        </w:rPr>
        <w:t>4</w:t>
      </w:r>
      <w:r>
        <w:rPr>
          <w:rFonts w:hint="eastAsia" w:ascii="Times New Roman" w:hAnsi="Times New Roman" w:eastAsia="仿宋_GB2312" w:cs="仿宋_GB2312"/>
          <w:b/>
          <w:bCs/>
          <w:color w:val="auto"/>
          <w:kern w:val="2"/>
          <w:sz w:val="32"/>
          <w:szCs w:val="32"/>
          <w:highlight w:val="none"/>
          <w:lang w:val="en-US" w:eastAsia="zh-CN" w:bidi="ar-SA"/>
        </w:rPr>
        <w:t>年政府收支分类科目</w:t>
      </w:r>
      <w:r>
        <w:rPr>
          <w:rFonts w:hint="eastAsia" w:eastAsia="仿宋_GB2312" w:cs="仿宋_GB2312"/>
          <w:b/>
          <w:bCs/>
          <w:color w:val="auto"/>
          <w:kern w:val="2"/>
          <w:sz w:val="32"/>
          <w:szCs w:val="32"/>
          <w:highlight w:val="none"/>
          <w:lang w:val="en-US" w:eastAsia="zh-CN" w:bidi="ar-SA"/>
        </w:rPr>
        <w:t>》</w:t>
      </w:r>
      <w:r>
        <w:rPr>
          <w:rFonts w:hint="eastAsia" w:ascii="Times New Roman" w:hAnsi="Times New Roman" w:eastAsia="仿宋_GB2312" w:cs="仿宋_GB2312"/>
          <w:b/>
          <w:bCs/>
          <w:color w:val="auto"/>
          <w:kern w:val="2"/>
          <w:sz w:val="32"/>
          <w:szCs w:val="32"/>
          <w:highlight w:val="none"/>
          <w:lang w:val="en-US" w:eastAsia="zh-CN" w:bidi="ar-SA"/>
        </w:rPr>
        <w:t>增减内容）</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27.基本支出：指为保障机构正常运转、完成日常工作任务而发生的人员支出和公用支出。</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 xml:space="preserve">28.项目支出：指在基本支出之外为完成特定行政任务和事业发展目标所发生的支出。 </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29.经营支出：指事业单位在专业业务活动及其辅助活动之外开展非独立核算经营活动发生的支出。</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30.</w:t>
      </w:r>
      <w:r>
        <w:rPr>
          <w:rFonts w:hint="eastAsia" w:eastAsia="仿宋_GB2312" w:cs="仿宋_GB2312"/>
          <w:color w:val="auto"/>
          <w:kern w:val="2"/>
          <w:sz w:val="32"/>
          <w:szCs w:val="32"/>
          <w:highlight w:val="none"/>
          <w:lang w:val="en-US" w:eastAsia="zh-CN" w:bidi="ar-SA"/>
        </w:rPr>
        <w:t>“</w:t>
      </w:r>
      <w:r>
        <w:rPr>
          <w:rFonts w:hint="eastAsia" w:ascii="Times New Roman" w:hAnsi="Times New Roman" w:eastAsia="仿宋_GB2312" w:cs="仿宋_GB2312"/>
          <w:color w:val="auto"/>
          <w:kern w:val="2"/>
          <w:sz w:val="32"/>
          <w:szCs w:val="32"/>
          <w:highlight w:val="none"/>
          <w:lang w:val="en-US" w:eastAsia="zh-CN" w:bidi="ar-SA"/>
        </w:rPr>
        <w:t>三公</w:t>
      </w:r>
      <w:r>
        <w:rPr>
          <w:rFonts w:hint="eastAsia" w:eastAsia="仿宋_GB2312" w:cs="仿宋_GB2312"/>
          <w:color w:val="auto"/>
          <w:kern w:val="2"/>
          <w:sz w:val="32"/>
          <w:szCs w:val="32"/>
          <w:highlight w:val="none"/>
          <w:lang w:val="en-US" w:eastAsia="zh-CN" w:bidi="ar-SA"/>
        </w:rPr>
        <w:t>”</w:t>
      </w:r>
      <w:r>
        <w:rPr>
          <w:rFonts w:hint="eastAsia" w:ascii="Times New Roman" w:hAnsi="Times New Roman" w:eastAsia="仿宋_GB2312" w:cs="仿宋_GB2312"/>
          <w:color w:val="auto"/>
          <w:kern w:val="2"/>
          <w:sz w:val="32"/>
          <w:szCs w:val="32"/>
          <w:highlight w:val="none"/>
          <w:lang w:val="en-US" w:eastAsia="zh-CN" w:bidi="ar-SA"/>
        </w:rPr>
        <w:t>经费：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31.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32.……</w:t>
      </w:r>
    </w:p>
    <w:p>
      <w:pPr>
        <w:spacing w:line="600" w:lineRule="exact"/>
        <w:ind w:firstLine="640"/>
        <w:rPr>
          <w:rFonts w:hint="eastAsia" w:ascii="Times New Roman" w:hAnsi="Times New Roman" w:eastAsia="仿宋_GB2312" w:cs="仿宋_GB2312"/>
          <w:b/>
          <w:bCs/>
          <w:color w:val="auto"/>
          <w:kern w:val="2"/>
          <w:sz w:val="32"/>
          <w:szCs w:val="32"/>
          <w:highlight w:val="none"/>
          <w:lang w:val="en-US" w:eastAsia="zh-CN" w:bidi="ar-SA"/>
        </w:rPr>
      </w:pPr>
      <w:r>
        <w:rPr>
          <w:rFonts w:hint="eastAsia" w:ascii="Times New Roman" w:hAnsi="Times New Roman" w:eastAsia="仿宋_GB2312" w:cs="仿宋_GB2312"/>
          <w:b/>
          <w:bCs/>
          <w:color w:val="auto"/>
          <w:kern w:val="2"/>
          <w:sz w:val="32"/>
          <w:szCs w:val="32"/>
          <w:highlight w:val="none"/>
          <w:lang w:val="en-US" w:eastAsia="zh-CN" w:bidi="ar-SA"/>
        </w:rPr>
        <w:t>（注：名词解释部分请根据各部门实际列支情况罗列，并根据本部门职责职能增减名词解释内容）</w:t>
      </w:r>
    </w:p>
    <w:p>
      <w:pPr>
        <w:spacing w:line="600" w:lineRule="exact"/>
        <w:jc w:val="center"/>
        <w:rPr>
          <w:rStyle w:val="28"/>
          <w:rFonts w:hint="eastAsia" w:ascii="Times New Roman" w:hAnsi="Times New Roman" w:eastAsia="黑体"/>
          <w:b w:val="0"/>
          <w:color w:val="auto"/>
          <w:highlight w:val="yellow"/>
          <w:lang w:eastAsia="zh-CN"/>
        </w:rPr>
      </w:pPr>
      <w:bookmarkStart w:id="65" w:name="_Toc15377226"/>
      <w:r>
        <w:rPr>
          <w:rFonts w:hint="eastAsia" w:ascii="Times New Roman" w:hAnsi="Times New Roman" w:eastAsia="仿宋_GB2312" w:cs="仿宋_GB2312"/>
          <w:color w:val="auto"/>
          <w:kern w:val="2"/>
          <w:sz w:val="32"/>
          <w:szCs w:val="32"/>
          <w:highlight w:val="none"/>
          <w:lang w:val="en-US" w:eastAsia="zh-CN" w:bidi="ar-SA"/>
        </w:rPr>
        <w:br w:type="page"/>
      </w:r>
      <w:bookmarkStart w:id="66" w:name="_Toc15396614"/>
      <w:r>
        <w:rPr>
          <w:rFonts w:hint="eastAsia" w:ascii="Times New Roman" w:hAnsi="Times New Roman" w:eastAsia="黑体"/>
          <w:color w:val="auto"/>
          <w:sz w:val="44"/>
          <w:szCs w:val="44"/>
          <w:highlight w:val="yellow"/>
        </w:rPr>
        <w:t>第四部分</w:t>
      </w:r>
      <w:r>
        <w:rPr>
          <w:rFonts w:hint="eastAsia" w:ascii="Times New Roman" w:hAnsi="Times New Roman" w:eastAsia="黑体"/>
          <w:color w:val="auto"/>
          <w:sz w:val="44"/>
          <w:szCs w:val="44"/>
          <w:highlight w:val="yellow"/>
          <w:lang w:val="en-US" w:eastAsia="zh-CN"/>
        </w:rPr>
        <w:t xml:space="preserve"> </w:t>
      </w:r>
      <w:r>
        <w:rPr>
          <w:rFonts w:hint="eastAsia" w:ascii="Times New Roman" w:hAnsi="Times New Roman" w:eastAsia="黑体"/>
          <w:color w:val="auto"/>
          <w:sz w:val="44"/>
          <w:szCs w:val="44"/>
          <w:highlight w:val="yellow"/>
        </w:rPr>
        <w:t xml:space="preserve"> 附件</w:t>
      </w:r>
      <w:bookmarkEnd w:id="66"/>
    </w:p>
    <w:p>
      <w:pPr>
        <w:keepNext w:val="0"/>
        <w:keepLines w:val="0"/>
        <w:pageBreakBefore w:val="0"/>
        <w:kinsoku/>
        <w:wordWrap/>
        <w:overflowPunct/>
        <w:topLinePunct w:val="0"/>
        <w:autoSpaceDE/>
        <w:autoSpaceDN/>
        <w:bidi w:val="0"/>
        <w:spacing w:line="572" w:lineRule="exact"/>
        <w:jc w:val="left"/>
        <w:textAlignment w:val="auto"/>
        <w:outlineLvl w:val="0"/>
        <w:rPr>
          <w:rFonts w:hint="eastAsia" w:ascii="Times New Roman" w:hAnsi="Times New Roman" w:eastAsia="黑体" w:cs="黑体"/>
          <w:color w:val="FF0000"/>
          <w:sz w:val="32"/>
          <w:szCs w:val="32"/>
          <w:highlight w:val="yellow"/>
        </w:rPr>
      </w:pPr>
    </w:p>
    <w:p>
      <w:pPr>
        <w:keepNext w:val="0"/>
        <w:keepLines w:val="0"/>
        <w:pageBreakBefore w:val="0"/>
        <w:kinsoku/>
        <w:wordWrap/>
        <w:overflowPunct/>
        <w:topLinePunct w:val="0"/>
        <w:autoSpaceDE/>
        <w:autoSpaceDN/>
        <w:bidi w:val="0"/>
        <w:spacing w:line="572" w:lineRule="exact"/>
        <w:jc w:val="left"/>
        <w:textAlignment w:val="auto"/>
        <w:outlineLvl w:val="0"/>
        <w:rPr>
          <w:rFonts w:hint="eastAsia" w:ascii="Times New Roman" w:hAnsi="Times New Roman" w:eastAsia="黑体" w:cs="方正小标宋简体"/>
          <w:color w:val="auto"/>
          <w:sz w:val="44"/>
          <w:szCs w:val="44"/>
          <w:highlight w:val="yellow"/>
          <w:lang w:val="en-US" w:eastAsia="zh-CN"/>
        </w:rPr>
      </w:pPr>
      <w:r>
        <w:rPr>
          <w:rFonts w:hint="eastAsia" w:ascii="Times New Roman" w:hAnsi="Times New Roman" w:eastAsia="黑体" w:cs="黑体"/>
          <w:color w:val="auto"/>
          <w:sz w:val="32"/>
          <w:szCs w:val="32"/>
          <w:highlight w:val="yellow"/>
        </w:rPr>
        <w:t>附件</w:t>
      </w:r>
      <w:r>
        <w:rPr>
          <w:rFonts w:hint="eastAsia" w:ascii="Times New Roman" w:hAnsi="Times New Roman" w:eastAsia="黑体" w:cs="黑体"/>
          <w:color w:val="auto"/>
          <w:sz w:val="32"/>
          <w:szCs w:val="32"/>
          <w:highlight w:val="yellow"/>
          <w:lang w:val="en-US" w:eastAsia="zh-CN"/>
        </w:rPr>
        <w:t>1</w:t>
      </w:r>
    </w:p>
    <w:p>
      <w:pPr>
        <w:keepNext w:val="0"/>
        <w:keepLines w:val="0"/>
        <w:pageBreakBefore w:val="0"/>
        <w:widowControl/>
        <w:kinsoku/>
        <w:wordWrap/>
        <w:overflowPunct/>
        <w:topLinePunct w:val="0"/>
        <w:autoSpaceDE/>
        <w:autoSpaceDN/>
        <w:bidi w:val="0"/>
        <w:spacing w:line="578" w:lineRule="exact"/>
        <w:contextualSpacing/>
        <w:jc w:val="center"/>
        <w:textAlignment w:val="auto"/>
        <w:outlineLvl w:val="9"/>
        <w:rPr>
          <w:rFonts w:hint="default" w:ascii="Times New Roman" w:hAnsi="Times New Roman" w:eastAsia="方正小标宋简体" w:cs="Times New Roman"/>
          <w:b w:val="0"/>
          <w:bCs/>
          <w:sz w:val="44"/>
          <w:szCs w:val="44"/>
          <w:highlight w:val="yellow"/>
          <w:shd w:val="clear" w:color="auto" w:fill="FFFFFF"/>
        </w:rPr>
      </w:pPr>
    </w:p>
    <w:p>
      <w:pPr>
        <w:keepNext w:val="0"/>
        <w:keepLines w:val="0"/>
        <w:pageBreakBefore w:val="0"/>
        <w:widowControl/>
        <w:kinsoku/>
        <w:wordWrap/>
        <w:overflowPunct/>
        <w:topLinePunct w:val="0"/>
        <w:autoSpaceDE/>
        <w:autoSpaceDN/>
        <w:bidi w:val="0"/>
        <w:spacing w:line="578" w:lineRule="exact"/>
        <w:contextualSpacing/>
        <w:jc w:val="center"/>
        <w:textAlignment w:val="auto"/>
        <w:outlineLvl w:val="9"/>
        <w:rPr>
          <w:rFonts w:hint="default" w:ascii="Times New Roman" w:hAnsi="Times New Roman" w:eastAsia="方正小标宋简体" w:cs="Times New Roman"/>
          <w:b w:val="0"/>
          <w:bCs/>
          <w:sz w:val="44"/>
          <w:szCs w:val="44"/>
          <w:highlight w:val="yellow"/>
          <w:shd w:val="clear" w:color="auto" w:fill="FFFFFF"/>
        </w:rPr>
      </w:pPr>
      <w:r>
        <w:rPr>
          <w:rFonts w:hint="default" w:ascii="Times New Roman" w:hAnsi="Times New Roman" w:eastAsia="方正小标宋简体" w:cs="Times New Roman"/>
          <w:b w:val="0"/>
          <w:bCs/>
          <w:sz w:val="44"/>
          <w:szCs w:val="44"/>
          <w:highlight w:val="yellow"/>
          <w:shd w:val="clear" w:color="auto" w:fill="FFFFFF"/>
        </w:rPr>
        <w:t>部门</w:t>
      </w:r>
      <w:r>
        <w:rPr>
          <w:rFonts w:hint="default" w:ascii="Times New Roman" w:hAnsi="Times New Roman" w:eastAsia="方正小标宋简体" w:cs="Times New Roman"/>
          <w:b w:val="0"/>
          <w:bCs/>
          <w:sz w:val="44"/>
          <w:szCs w:val="44"/>
          <w:highlight w:val="yellow"/>
          <w:shd w:val="clear" w:color="auto" w:fill="FFFFFF"/>
          <w:lang w:eastAsia="zh-CN"/>
        </w:rPr>
        <w:t>预算</w:t>
      </w:r>
      <w:r>
        <w:rPr>
          <w:rFonts w:hint="default" w:ascii="Times New Roman" w:hAnsi="Times New Roman" w:eastAsia="方正小标宋简体" w:cs="Times New Roman"/>
          <w:b w:val="0"/>
          <w:bCs/>
          <w:sz w:val="44"/>
          <w:szCs w:val="44"/>
          <w:highlight w:val="yellow"/>
          <w:shd w:val="clear" w:color="auto" w:fill="FFFFFF"/>
        </w:rPr>
        <w:t>绩效</w:t>
      </w:r>
      <w:r>
        <w:rPr>
          <w:rFonts w:hint="eastAsia" w:ascii="Times New Roman" w:hAnsi="Times New Roman" w:eastAsia="方正小标宋简体" w:cs="Times New Roman"/>
          <w:b w:val="0"/>
          <w:bCs/>
          <w:sz w:val="44"/>
          <w:szCs w:val="44"/>
          <w:highlight w:val="yellow"/>
          <w:shd w:val="clear" w:color="auto" w:fill="FFFFFF"/>
          <w:lang w:eastAsia="zh-CN"/>
        </w:rPr>
        <w:t>评价</w:t>
      </w:r>
      <w:r>
        <w:rPr>
          <w:rFonts w:hint="default" w:ascii="Times New Roman" w:hAnsi="Times New Roman" w:eastAsia="方正小标宋简体" w:cs="Times New Roman"/>
          <w:b w:val="0"/>
          <w:bCs/>
          <w:sz w:val="44"/>
          <w:szCs w:val="44"/>
          <w:highlight w:val="yellow"/>
          <w:shd w:val="clear" w:color="auto" w:fill="FFFFFF"/>
        </w:rPr>
        <w:t>报告范本</w:t>
      </w:r>
    </w:p>
    <w:p>
      <w:pPr>
        <w:keepNext w:val="0"/>
        <w:keepLines w:val="0"/>
        <w:pageBreakBefore w:val="0"/>
        <w:widowControl/>
        <w:kinsoku/>
        <w:wordWrap/>
        <w:overflowPunct/>
        <w:topLinePunct w:val="0"/>
        <w:autoSpaceDE/>
        <w:autoSpaceDN/>
        <w:bidi w:val="0"/>
        <w:spacing w:line="578" w:lineRule="exact"/>
        <w:contextualSpacing/>
        <w:jc w:val="center"/>
        <w:textAlignment w:val="auto"/>
        <w:outlineLvl w:val="9"/>
        <w:rPr>
          <w:rFonts w:hint="default" w:ascii="Times New Roman" w:hAnsi="Times New Roman" w:eastAsia="仿宋_GB2312" w:cs="Times New Roman"/>
          <w:sz w:val="32"/>
          <w:szCs w:val="32"/>
          <w:highlight w:val="yellow"/>
          <w:shd w:val="clear" w:color="auto" w:fill="FFFFFF"/>
        </w:rPr>
      </w:pPr>
      <w:r>
        <w:rPr>
          <w:rFonts w:hint="default" w:ascii="Times New Roman" w:hAnsi="Times New Roman" w:eastAsia="仿宋_GB2312" w:cs="Times New Roman"/>
          <w:sz w:val="32"/>
          <w:szCs w:val="32"/>
          <w:highlight w:val="yellow"/>
          <w:shd w:val="clear" w:color="auto" w:fill="FFFFFF"/>
        </w:rPr>
        <w:t>（报告范围包括机关和下属单位）</w:t>
      </w:r>
    </w:p>
    <w:p>
      <w:pPr>
        <w:keepNext w:val="0"/>
        <w:keepLines w:val="0"/>
        <w:pageBreakBefore w:val="0"/>
        <w:widowControl/>
        <w:kinsoku/>
        <w:wordWrap/>
        <w:overflowPunct/>
        <w:topLinePunct w:val="0"/>
        <w:autoSpaceDE/>
        <w:autoSpaceDN/>
        <w:bidi w:val="0"/>
        <w:adjustRightInd w:val="0"/>
        <w:snapToGrid w:val="0"/>
        <w:spacing w:line="578" w:lineRule="exact"/>
        <w:ind w:firstLine="480" w:firstLineChars="200"/>
        <w:contextualSpacing/>
        <w:jc w:val="left"/>
        <w:textAlignment w:val="auto"/>
        <w:outlineLvl w:val="9"/>
        <w:rPr>
          <w:rFonts w:hint="default" w:ascii="Times New Roman" w:hAnsi="Times New Roman" w:eastAsia="黑体" w:cs="Times New Roman"/>
          <w:color w:val="000000"/>
          <w:kern w:val="0"/>
          <w:sz w:val="24"/>
          <w:szCs w:val="32"/>
          <w:highlight w:val="yellow"/>
          <w:shd w:val="clear" w:color="auto" w:fill="FFFFFF"/>
        </w:rPr>
      </w:pPr>
    </w:p>
    <w:p>
      <w:pPr>
        <w:keepNext w:val="0"/>
        <w:keepLines w:val="0"/>
        <w:pageBreakBefore w:val="0"/>
        <w:widowControl/>
        <w:numPr>
          <w:ilvl w:val="0"/>
          <w:numId w:val="0"/>
        </w:numPr>
        <w:kinsoku/>
        <w:wordWrap/>
        <w:overflowPunct/>
        <w:topLinePunct w:val="0"/>
        <w:autoSpaceDE/>
        <w:autoSpaceDN/>
        <w:bidi w:val="0"/>
        <w:adjustRightInd w:val="0"/>
        <w:snapToGrid w:val="0"/>
        <w:spacing w:line="578" w:lineRule="exact"/>
        <w:ind w:firstLine="640" w:firstLineChars="200"/>
        <w:contextualSpacing/>
        <w:jc w:val="left"/>
        <w:textAlignment w:val="auto"/>
        <w:outlineLvl w:val="9"/>
        <w:rPr>
          <w:rFonts w:hint="default" w:ascii="Times New Roman" w:hAnsi="Times New Roman" w:eastAsia="黑体" w:cs="Times New Roman"/>
          <w:color w:val="000000"/>
          <w:kern w:val="0"/>
          <w:sz w:val="32"/>
          <w:szCs w:val="32"/>
          <w:highlight w:val="yellow"/>
          <w:shd w:val="clear" w:color="auto" w:fill="FFFFFF"/>
          <w:lang w:val="zh-CN"/>
        </w:rPr>
      </w:pPr>
      <w:r>
        <w:rPr>
          <w:rFonts w:hint="eastAsia" w:ascii="Times New Roman" w:hAnsi="Times New Roman" w:eastAsia="黑体" w:cs="Times New Roman"/>
          <w:color w:val="000000"/>
          <w:kern w:val="0"/>
          <w:sz w:val="32"/>
          <w:szCs w:val="32"/>
          <w:highlight w:val="yellow"/>
          <w:shd w:val="clear" w:color="auto" w:fill="FFFFFF"/>
          <w:lang w:val="zh-CN"/>
        </w:rPr>
        <w:t>一、</w:t>
      </w:r>
      <w:r>
        <w:rPr>
          <w:rFonts w:hint="default" w:ascii="Times New Roman" w:hAnsi="Times New Roman" w:eastAsia="黑体" w:cs="Times New Roman"/>
          <w:color w:val="000000"/>
          <w:kern w:val="0"/>
          <w:sz w:val="32"/>
          <w:szCs w:val="32"/>
          <w:highlight w:val="yellow"/>
          <w:shd w:val="clear" w:color="auto" w:fill="FFFFFF"/>
          <w:lang w:val="zh-CN"/>
        </w:rPr>
        <w:t>部门（单位）基本情况</w:t>
      </w:r>
    </w:p>
    <w:p>
      <w:pPr>
        <w:keepNext w:val="0"/>
        <w:keepLines w:val="0"/>
        <w:pageBreakBefore w:val="0"/>
        <w:widowControl/>
        <w:numPr>
          <w:ilvl w:val="0"/>
          <w:numId w:val="0"/>
        </w:numPr>
        <w:kinsoku/>
        <w:wordWrap/>
        <w:overflowPunct/>
        <w:topLinePunct w:val="0"/>
        <w:autoSpaceDE/>
        <w:autoSpaceDN/>
        <w:bidi w:val="0"/>
        <w:adjustRightInd w:val="0"/>
        <w:snapToGrid w:val="0"/>
        <w:spacing w:line="578" w:lineRule="exact"/>
        <w:ind w:firstLine="643" w:firstLineChars="200"/>
        <w:contextualSpacing/>
        <w:jc w:val="left"/>
        <w:textAlignment w:val="auto"/>
        <w:outlineLvl w:val="9"/>
        <w:rPr>
          <w:rFonts w:hint="default" w:ascii="Times New Roman" w:hAnsi="Times New Roman" w:cs="Times New Roman"/>
          <w:szCs w:val="32"/>
          <w:highlight w:val="yellow"/>
        </w:rPr>
      </w:pPr>
      <w:r>
        <w:rPr>
          <w:rFonts w:hint="eastAsia" w:ascii="Times New Roman" w:hAnsi="Times New Roman" w:eastAsia="楷体_GB2312" w:cs="楷体_GB2312"/>
          <w:b/>
          <w:color w:val="auto"/>
          <w:sz w:val="32"/>
          <w:szCs w:val="32"/>
          <w:highlight w:val="yellow"/>
          <w:lang w:val="zh-CN"/>
        </w:rPr>
        <w:t>（一）</w:t>
      </w:r>
      <w:r>
        <w:rPr>
          <w:rFonts w:hint="default" w:ascii="Times New Roman" w:hAnsi="Times New Roman" w:eastAsia="楷体_GB2312" w:cs="楷体_GB2312"/>
          <w:b/>
          <w:color w:val="auto"/>
          <w:sz w:val="32"/>
          <w:szCs w:val="32"/>
          <w:highlight w:val="yellow"/>
          <w:lang w:val="zh-CN"/>
        </w:rPr>
        <w:t>机构组成。</w:t>
      </w:r>
      <w:r>
        <w:rPr>
          <w:rFonts w:hint="eastAsia" w:ascii="Times New Roman" w:hAnsi="Times New Roman" w:eastAsia="仿宋_GB2312" w:cs="仿宋_GB2312"/>
          <w:color w:val="auto"/>
          <w:kern w:val="2"/>
          <w:sz w:val="32"/>
          <w:szCs w:val="32"/>
          <w:highlight w:val="yellow"/>
          <w:lang w:val="en-US" w:eastAsia="zh-CN" w:bidi="ar-SA"/>
        </w:rPr>
        <w:t>***内设</w:t>
      </w:r>
      <w:r>
        <w:rPr>
          <w:rFonts w:hint="default" w:ascii="Times New Roman" w:hAnsi="Times New Roman" w:eastAsia="仿宋_GB2312" w:cs="仿宋_GB2312"/>
          <w:color w:val="auto"/>
          <w:kern w:val="2"/>
          <w:sz w:val="32"/>
          <w:szCs w:val="32"/>
          <w:highlight w:val="yellow"/>
          <w:lang w:val="en-US" w:eastAsia="zh-CN" w:bidi="ar-SA"/>
        </w:rPr>
        <w:t>处室</w:t>
      </w:r>
      <w:r>
        <w:rPr>
          <w:rFonts w:hint="eastAsia" w:ascii="Times New Roman" w:hAnsi="Times New Roman" w:eastAsia="仿宋_GB2312" w:cs="仿宋_GB2312"/>
          <w:color w:val="auto"/>
          <w:kern w:val="2"/>
          <w:sz w:val="32"/>
          <w:szCs w:val="32"/>
          <w:highlight w:val="yellow"/>
          <w:lang w:val="en-US" w:eastAsia="zh-CN" w:bidi="ar-SA"/>
        </w:rPr>
        <w:t>及下属单位情况</w:t>
      </w:r>
      <w:r>
        <w:rPr>
          <w:rFonts w:hint="default" w:ascii="Times New Roman" w:hAnsi="Times New Roman" w:eastAsia="仿宋_GB2312" w:cs="仿宋_GB2312"/>
          <w:color w:val="auto"/>
          <w:kern w:val="2"/>
          <w:sz w:val="32"/>
          <w:szCs w:val="32"/>
          <w:highlight w:val="yellow"/>
          <w:lang w:val="en-US" w:eastAsia="zh-CN" w:bidi="ar-SA"/>
        </w:rPr>
        <w:t>。</w:t>
      </w:r>
    </w:p>
    <w:p>
      <w:pPr>
        <w:keepNext w:val="0"/>
        <w:keepLines w:val="0"/>
        <w:pageBreakBefore w:val="0"/>
        <w:widowControl/>
        <w:kinsoku/>
        <w:wordWrap/>
        <w:overflowPunct/>
        <w:topLinePunct w:val="0"/>
        <w:autoSpaceDE/>
        <w:autoSpaceDN/>
        <w:bidi w:val="0"/>
        <w:adjustRightInd w:val="0"/>
        <w:snapToGrid w:val="0"/>
        <w:spacing w:line="578" w:lineRule="exact"/>
        <w:ind w:firstLine="643" w:firstLineChars="200"/>
        <w:contextualSpacing/>
        <w:jc w:val="left"/>
        <w:textAlignment w:val="auto"/>
        <w:outlineLvl w:val="9"/>
        <w:rPr>
          <w:rFonts w:hint="default" w:ascii="Times New Roman" w:hAnsi="Times New Roman" w:eastAsia="楷体_GB2312" w:cs="Times New Roman"/>
          <w:b/>
          <w:bCs/>
          <w:color w:val="000000"/>
          <w:kern w:val="0"/>
          <w:szCs w:val="32"/>
          <w:highlight w:val="yellow"/>
          <w:shd w:val="clear" w:color="auto" w:fill="FFFFFF"/>
          <w:lang w:val="zh-CN"/>
        </w:rPr>
      </w:pPr>
      <w:r>
        <w:rPr>
          <w:rFonts w:hint="default" w:ascii="Times New Roman" w:hAnsi="Times New Roman" w:eastAsia="楷体_GB2312" w:cs="楷体_GB2312"/>
          <w:b/>
          <w:color w:val="auto"/>
          <w:sz w:val="32"/>
          <w:szCs w:val="32"/>
          <w:highlight w:val="yellow"/>
          <w:lang w:val="zh-CN"/>
        </w:rPr>
        <w:t>（二）机构职能</w:t>
      </w:r>
      <w:r>
        <w:rPr>
          <w:rFonts w:hint="eastAsia" w:ascii="Times New Roman" w:hAnsi="Times New Roman" w:eastAsia="楷体_GB2312" w:cs="楷体_GB2312"/>
          <w:b/>
          <w:color w:val="auto"/>
          <w:sz w:val="32"/>
          <w:szCs w:val="32"/>
          <w:highlight w:val="yellow"/>
          <w:lang w:val="zh-CN"/>
        </w:rPr>
        <w:t>。</w:t>
      </w:r>
      <w:r>
        <w:rPr>
          <w:rFonts w:hint="eastAsia" w:ascii="Times New Roman" w:hAnsi="Times New Roman" w:eastAsia="仿宋_GB2312" w:cs="仿宋_GB2312"/>
          <w:color w:val="auto"/>
          <w:kern w:val="2"/>
          <w:sz w:val="32"/>
          <w:szCs w:val="32"/>
          <w:highlight w:val="yellow"/>
          <w:lang w:val="en-US" w:eastAsia="zh-CN" w:bidi="ar-SA"/>
        </w:rPr>
        <w:t>***</w:t>
      </w:r>
      <w:r>
        <w:rPr>
          <w:rFonts w:hint="eastAsia" w:ascii="Times New Roman" w:hAnsi="Times New Roman" w:eastAsia="仿宋_GB2312" w:cs="Times New Roman"/>
          <w:sz w:val="32"/>
          <w:szCs w:val="32"/>
          <w:highlight w:val="yellow"/>
          <w:lang w:val="en-US" w:eastAsia="zh-CN"/>
        </w:rPr>
        <w:t>职责和功能。</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default" w:ascii="Times New Roman" w:hAnsi="Times New Roman" w:cs="Times New Roman"/>
          <w:szCs w:val="32"/>
          <w:highlight w:val="yellow"/>
        </w:rPr>
      </w:pPr>
      <w:r>
        <w:rPr>
          <w:rFonts w:hint="default" w:ascii="Times New Roman" w:hAnsi="Times New Roman" w:eastAsia="楷体_GB2312" w:cs="Times New Roman"/>
          <w:b/>
          <w:bCs/>
          <w:color w:val="000000"/>
          <w:kern w:val="0"/>
          <w:sz w:val="32"/>
          <w:szCs w:val="32"/>
          <w:highlight w:val="yellow"/>
          <w:shd w:val="clear" w:color="auto" w:fill="FFFFFF"/>
          <w:lang w:val="zh-CN"/>
        </w:rPr>
        <w:t>（</w:t>
      </w:r>
      <w:r>
        <w:rPr>
          <w:rFonts w:hint="eastAsia" w:ascii="Times New Roman" w:hAnsi="Times New Roman" w:eastAsia="楷体_GB2312" w:cs="Times New Roman"/>
          <w:b/>
          <w:bCs/>
          <w:color w:val="000000"/>
          <w:kern w:val="0"/>
          <w:sz w:val="32"/>
          <w:szCs w:val="32"/>
          <w:highlight w:val="yellow"/>
          <w:shd w:val="clear" w:color="auto" w:fill="FFFFFF"/>
          <w:lang w:val="zh-CN"/>
        </w:rPr>
        <w:t>三</w:t>
      </w:r>
      <w:r>
        <w:rPr>
          <w:rFonts w:hint="default" w:ascii="Times New Roman" w:hAnsi="Times New Roman" w:eastAsia="楷体_GB2312" w:cs="Times New Roman"/>
          <w:b/>
          <w:bCs/>
          <w:color w:val="000000"/>
          <w:kern w:val="0"/>
          <w:sz w:val="32"/>
          <w:szCs w:val="32"/>
          <w:highlight w:val="yellow"/>
          <w:shd w:val="clear" w:color="auto" w:fill="FFFFFF"/>
          <w:lang w:val="zh-CN"/>
        </w:rPr>
        <w:t>）人员概况</w:t>
      </w:r>
      <w:r>
        <w:rPr>
          <w:rFonts w:hint="eastAsia" w:ascii="Times New Roman" w:hAnsi="Times New Roman" w:eastAsia="楷体_GB2312" w:cs="Times New Roman"/>
          <w:b/>
          <w:bCs/>
          <w:color w:val="000000"/>
          <w:kern w:val="0"/>
          <w:sz w:val="32"/>
          <w:szCs w:val="32"/>
          <w:highlight w:val="yellow"/>
          <w:shd w:val="clear" w:color="auto" w:fill="FFFFFF"/>
          <w:lang w:val="zh-CN"/>
        </w:rPr>
        <w:t>。</w:t>
      </w:r>
      <w:r>
        <w:rPr>
          <w:rFonts w:hint="default" w:ascii="Times New Roman" w:hAnsi="Times New Roman" w:eastAsia="仿宋_GB2312" w:cs="Times New Roman"/>
          <w:sz w:val="32"/>
          <w:szCs w:val="32"/>
          <w:highlight w:val="yellow"/>
          <w:lang w:val="en-US" w:eastAsia="zh-CN"/>
        </w:rPr>
        <w:t>截至202</w:t>
      </w:r>
      <w:r>
        <w:rPr>
          <w:rFonts w:hint="eastAsia" w:ascii="Times New Roman" w:hAnsi="Times New Roman" w:eastAsia="仿宋_GB2312" w:cs="Times New Roman"/>
          <w:sz w:val="32"/>
          <w:szCs w:val="32"/>
          <w:highlight w:val="yellow"/>
          <w:lang w:val="en-US" w:eastAsia="zh-CN"/>
        </w:rPr>
        <w:t>4</w:t>
      </w:r>
      <w:r>
        <w:rPr>
          <w:rFonts w:hint="default" w:ascii="Times New Roman" w:hAnsi="Times New Roman" w:eastAsia="仿宋_GB2312" w:cs="Times New Roman"/>
          <w:sz w:val="32"/>
          <w:szCs w:val="32"/>
          <w:highlight w:val="yellow"/>
          <w:lang w:val="en-US" w:eastAsia="zh-CN"/>
        </w:rPr>
        <w:t>年末，</w:t>
      </w:r>
      <w:r>
        <w:rPr>
          <w:rFonts w:hint="eastAsia" w:ascii="Times New Roman" w:hAnsi="Times New Roman" w:eastAsia="仿宋_GB2312" w:cs="仿宋_GB2312"/>
          <w:color w:val="auto"/>
          <w:kern w:val="2"/>
          <w:sz w:val="32"/>
          <w:szCs w:val="32"/>
          <w:highlight w:val="yellow"/>
          <w:lang w:val="en-US" w:eastAsia="zh-CN" w:bidi="ar-SA"/>
        </w:rPr>
        <w:t>***</w:t>
      </w:r>
      <w:r>
        <w:rPr>
          <w:rFonts w:hint="default" w:ascii="Times New Roman" w:hAnsi="Times New Roman" w:eastAsia="仿宋_GB2312" w:cs="Times New Roman"/>
          <w:sz w:val="32"/>
          <w:szCs w:val="32"/>
          <w:highlight w:val="yellow"/>
          <w:lang w:val="en-US" w:eastAsia="zh-CN"/>
        </w:rPr>
        <w:t>及下属单位编制</w:t>
      </w:r>
      <w:r>
        <w:rPr>
          <w:rFonts w:hint="eastAsia" w:ascii="Times New Roman" w:hAnsi="Times New Roman" w:eastAsia="仿宋_GB2312" w:cs="Times New Roman"/>
          <w:sz w:val="32"/>
          <w:szCs w:val="32"/>
          <w:highlight w:val="yellow"/>
          <w:lang w:val="en-US" w:eastAsia="zh-CN"/>
        </w:rPr>
        <w:t>情况、</w:t>
      </w:r>
      <w:r>
        <w:rPr>
          <w:rFonts w:hint="default" w:ascii="Times New Roman" w:hAnsi="Times New Roman" w:eastAsia="仿宋_GB2312" w:cs="Times New Roman"/>
          <w:sz w:val="32"/>
          <w:szCs w:val="32"/>
          <w:highlight w:val="yellow"/>
          <w:lang w:val="en-US" w:eastAsia="zh-CN"/>
        </w:rPr>
        <w:t>年末实有人数</w:t>
      </w:r>
      <w:r>
        <w:rPr>
          <w:rFonts w:hint="eastAsia" w:ascii="Times New Roman" w:hAnsi="Times New Roman" w:eastAsia="仿宋_GB2312" w:cs="Times New Roman"/>
          <w:sz w:val="32"/>
          <w:szCs w:val="32"/>
          <w:highlight w:val="yellow"/>
          <w:lang w:val="en-US" w:eastAsia="zh-CN"/>
        </w:rPr>
        <w:t>情况。</w:t>
      </w:r>
    </w:p>
    <w:p>
      <w:pPr>
        <w:keepNext w:val="0"/>
        <w:keepLines w:val="0"/>
        <w:pageBreakBefore w:val="0"/>
        <w:widowControl/>
        <w:numPr>
          <w:ilvl w:val="0"/>
          <w:numId w:val="0"/>
        </w:numPr>
        <w:kinsoku/>
        <w:wordWrap/>
        <w:overflowPunct/>
        <w:topLinePunct w:val="0"/>
        <w:autoSpaceDE/>
        <w:autoSpaceDN/>
        <w:bidi w:val="0"/>
        <w:adjustRightInd w:val="0"/>
        <w:snapToGrid w:val="0"/>
        <w:spacing w:line="578" w:lineRule="exact"/>
        <w:ind w:firstLine="640" w:firstLineChars="200"/>
        <w:contextualSpacing/>
        <w:jc w:val="left"/>
        <w:textAlignment w:val="auto"/>
        <w:outlineLvl w:val="9"/>
        <w:rPr>
          <w:rFonts w:hint="default" w:ascii="Times New Roman" w:hAnsi="Times New Roman" w:eastAsia="黑体" w:cs="Times New Roman"/>
          <w:color w:val="000000"/>
          <w:kern w:val="0"/>
          <w:sz w:val="32"/>
          <w:szCs w:val="32"/>
          <w:highlight w:val="yellow"/>
          <w:shd w:val="clear" w:color="auto" w:fill="FFFFFF"/>
          <w:lang w:val="zh-CN" w:eastAsia="zh-CN"/>
        </w:rPr>
      </w:pPr>
      <w:r>
        <w:rPr>
          <w:rFonts w:hint="default" w:ascii="Times New Roman" w:hAnsi="Times New Roman" w:eastAsia="黑体" w:cs="Times New Roman"/>
          <w:color w:val="000000"/>
          <w:kern w:val="0"/>
          <w:sz w:val="32"/>
          <w:szCs w:val="32"/>
          <w:highlight w:val="yellow"/>
          <w:shd w:val="clear" w:color="auto" w:fill="FFFFFF"/>
          <w:lang w:val="zh-CN" w:eastAsia="zh-CN"/>
        </w:rPr>
        <w:t>二、部门资金收支情况</w:t>
      </w:r>
    </w:p>
    <w:p>
      <w:pPr>
        <w:keepNext w:val="0"/>
        <w:keepLines w:val="0"/>
        <w:pageBreakBefore w:val="0"/>
        <w:widowControl/>
        <w:kinsoku/>
        <w:wordWrap/>
        <w:overflowPunct/>
        <w:topLinePunct w:val="0"/>
        <w:autoSpaceDE/>
        <w:autoSpaceDN/>
        <w:bidi w:val="0"/>
        <w:adjustRightInd w:val="0"/>
        <w:snapToGrid w:val="0"/>
        <w:spacing w:line="578" w:lineRule="exact"/>
        <w:ind w:firstLine="643" w:firstLineChars="200"/>
        <w:contextualSpacing/>
        <w:jc w:val="left"/>
        <w:textAlignment w:val="auto"/>
        <w:outlineLvl w:val="9"/>
        <w:rPr>
          <w:rFonts w:hint="default" w:ascii="Times New Roman" w:hAnsi="Times New Roman" w:eastAsia="楷体_GB2312" w:cs="Times New Roman"/>
          <w:b/>
          <w:bCs/>
          <w:color w:val="000000"/>
          <w:kern w:val="0"/>
          <w:szCs w:val="32"/>
          <w:highlight w:val="yellow"/>
          <w:shd w:val="clear" w:color="auto" w:fill="FFFFFF"/>
          <w:lang w:val="en-US"/>
        </w:rPr>
      </w:pPr>
      <w:r>
        <w:rPr>
          <w:rFonts w:hint="default" w:ascii="Times New Roman" w:hAnsi="Times New Roman" w:eastAsia="楷体_GB2312" w:cs="Times New Roman"/>
          <w:b/>
          <w:bCs/>
          <w:color w:val="000000"/>
          <w:kern w:val="0"/>
          <w:sz w:val="32"/>
          <w:szCs w:val="32"/>
          <w:highlight w:val="yellow"/>
          <w:shd w:val="clear" w:color="auto" w:fill="FFFFFF"/>
          <w:lang w:val="zh-CN"/>
        </w:rPr>
        <w:t>（一）</w:t>
      </w:r>
      <w:r>
        <w:rPr>
          <w:rFonts w:hint="eastAsia" w:ascii="Times New Roman" w:hAnsi="Times New Roman" w:eastAsia="楷体_GB2312" w:cs="Times New Roman"/>
          <w:b/>
          <w:bCs/>
          <w:color w:val="000000"/>
          <w:kern w:val="0"/>
          <w:sz w:val="32"/>
          <w:szCs w:val="32"/>
          <w:highlight w:val="yellow"/>
          <w:shd w:val="clear" w:color="auto" w:fill="FFFFFF"/>
          <w:lang w:val="zh-CN"/>
        </w:rPr>
        <w:t>收入情况</w:t>
      </w:r>
      <w:r>
        <w:rPr>
          <w:rFonts w:hint="default" w:ascii="Times New Roman" w:hAnsi="Times New Roman" w:eastAsia="楷体_GB2312" w:cs="Times New Roman"/>
          <w:b/>
          <w:bCs/>
          <w:color w:val="000000"/>
          <w:kern w:val="0"/>
          <w:sz w:val="32"/>
          <w:szCs w:val="32"/>
          <w:highlight w:val="yellow"/>
          <w:shd w:val="clear" w:color="auto" w:fill="FFFFFF"/>
          <w:lang w:val="zh-CN"/>
        </w:rPr>
        <w:t>。</w:t>
      </w:r>
      <w:r>
        <w:rPr>
          <w:rFonts w:hint="eastAsia" w:ascii="Times New Roman" w:hAnsi="Times New Roman" w:eastAsia="仿宋_GB2312" w:cs="仿宋_GB2312"/>
          <w:color w:val="auto"/>
          <w:kern w:val="2"/>
          <w:sz w:val="32"/>
          <w:szCs w:val="32"/>
          <w:highlight w:val="yellow"/>
          <w:lang w:val="en-US" w:eastAsia="zh-CN" w:bidi="ar-SA"/>
        </w:rPr>
        <w:t>***</w:t>
      </w:r>
      <w:r>
        <w:rPr>
          <w:rFonts w:hint="eastAsia" w:ascii="Times New Roman" w:hAnsi="Times New Roman" w:eastAsia="仿宋_GB2312" w:cs="Times New Roman"/>
          <w:sz w:val="32"/>
          <w:szCs w:val="32"/>
          <w:highlight w:val="yellow"/>
          <w:lang w:val="en-US" w:eastAsia="zh-CN"/>
        </w:rPr>
        <w:t>2024年年初预算收入情况、决算报表收入情况。</w:t>
      </w:r>
    </w:p>
    <w:p>
      <w:pPr>
        <w:keepNext w:val="0"/>
        <w:keepLines w:val="0"/>
        <w:pageBreakBefore w:val="0"/>
        <w:widowControl/>
        <w:kinsoku/>
        <w:wordWrap/>
        <w:overflowPunct/>
        <w:topLinePunct w:val="0"/>
        <w:autoSpaceDE/>
        <w:autoSpaceDN/>
        <w:bidi w:val="0"/>
        <w:adjustRightInd w:val="0"/>
        <w:snapToGrid w:val="0"/>
        <w:spacing w:line="578" w:lineRule="exact"/>
        <w:ind w:firstLine="643" w:firstLineChars="200"/>
        <w:contextualSpacing/>
        <w:jc w:val="left"/>
        <w:textAlignment w:val="auto"/>
        <w:outlineLvl w:val="9"/>
        <w:rPr>
          <w:rFonts w:hint="default" w:ascii="Times New Roman" w:hAnsi="Times New Roman" w:cs="Times New Roman"/>
          <w:szCs w:val="32"/>
          <w:highlight w:val="yellow"/>
          <w:lang w:val="zh-CN" w:eastAsia="zh-CN"/>
        </w:rPr>
      </w:pPr>
      <w:r>
        <w:rPr>
          <w:rFonts w:hint="default" w:ascii="Times New Roman" w:hAnsi="Times New Roman" w:eastAsia="楷体_GB2312" w:cs="Times New Roman"/>
          <w:b/>
          <w:bCs/>
          <w:color w:val="000000"/>
          <w:kern w:val="0"/>
          <w:sz w:val="32"/>
          <w:szCs w:val="32"/>
          <w:highlight w:val="yellow"/>
          <w:shd w:val="clear" w:color="auto" w:fill="FFFFFF"/>
          <w:lang w:val="zh-CN"/>
        </w:rPr>
        <w:t>（</w:t>
      </w:r>
      <w:r>
        <w:rPr>
          <w:rFonts w:hint="eastAsia" w:ascii="Times New Roman" w:hAnsi="Times New Roman" w:eastAsia="楷体_GB2312" w:cs="Times New Roman"/>
          <w:b/>
          <w:bCs/>
          <w:color w:val="000000"/>
          <w:kern w:val="0"/>
          <w:sz w:val="32"/>
          <w:szCs w:val="32"/>
          <w:highlight w:val="yellow"/>
          <w:shd w:val="clear" w:color="auto" w:fill="FFFFFF"/>
          <w:lang w:val="zh-CN"/>
        </w:rPr>
        <w:t>二</w:t>
      </w:r>
      <w:r>
        <w:rPr>
          <w:rFonts w:hint="default" w:ascii="Times New Roman" w:hAnsi="Times New Roman" w:eastAsia="楷体_GB2312" w:cs="Times New Roman"/>
          <w:b/>
          <w:bCs/>
          <w:color w:val="000000"/>
          <w:kern w:val="0"/>
          <w:sz w:val="32"/>
          <w:szCs w:val="32"/>
          <w:highlight w:val="yellow"/>
          <w:shd w:val="clear" w:color="auto" w:fill="FFFFFF"/>
          <w:lang w:val="zh-CN"/>
        </w:rPr>
        <w:t>）</w:t>
      </w:r>
      <w:r>
        <w:rPr>
          <w:rFonts w:hint="eastAsia" w:ascii="Times New Roman" w:hAnsi="Times New Roman" w:eastAsia="楷体_GB2312" w:cs="Times New Roman"/>
          <w:b/>
          <w:bCs/>
          <w:color w:val="000000"/>
          <w:kern w:val="0"/>
          <w:sz w:val="32"/>
          <w:szCs w:val="32"/>
          <w:highlight w:val="yellow"/>
          <w:shd w:val="clear" w:color="auto" w:fill="FFFFFF"/>
          <w:lang w:val="zh-CN"/>
        </w:rPr>
        <w:t>支出情况</w:t>
      </w:r>
      <w:r>
        <w:rPr>
          <w:rFonts w:hint="default" w:ascii="Times New Roman" w:hAnsi="Times New Roman" w:eastAsia="楷体_GB2312" w:cs="Times New Roman"/>
          <w:b/>
          <w:bCs/>
          <w:color w:val="000000"/>
          <w:kern w:val="0"/>
          <w:sz w:val="32"/>
          <w:szCs w:val="32"/>
          <w:highlight w:val="yellow"/>
          <w:shd w:val="clear" w:color="auto" w:fill="FFFFFF"/>
          <w:lang w:val="zh-CN"/>
        </w:rPr>
        <w:t>。</w:t>
      </w:r>
      <w:r>
        <w:rPr>
          <w:rFonts w:hint="eastAsia" w:ascii="Times New Roman" w:hAnsi="Times New Roman" w:eastAsia="仿宋_GB2312" w:cs="仿宋_GB2312"/>
          <w:color w:val="auto"/>
          <w:kern w:val="2"/>
          <w:sz w:val="32"/>
          <w:szCs w:val="32"/>
          <w:highlight w:val="yellow"/>
          <w:lang w:val="en-US" w:eastAsia="zh-CN" w:bidi="ar-SA"/>
        </w:rPr>
        <w:t>***</w:t>
      </w:r>
      <w:r>
        <w:rPr>
          <w:rFonts w:hint="eastAsia" w:ascii="Times New Roman" w:hAnsi="Times New Roman" w:eastAsia="仿宋_GB2312" w:cs="Times New Roman"/>
          <w:sz w:val="32"/>
          <w:szCs w:val="32"/>
          <w:highlight w:val="yellow"/>
          <w:lang w:val="en-US" w:eastAsia="zh-CN"/>
        </w:rPr>
        <w:t>2024年年初预算支出情况、决算报表支出情况。</w:t>
      </w:r>
    </w:p>
    <w:p>
      <w:pPr>
        <w:keepNext w:val="0"/>
        <w:keepLines w:val="0"/>
        <w:pageBreakBefore w:val="0"/>
        <w:widowControl/>
        <w:kinsoku/>
        <w:wordWrap/>
        <w:overflowPunct/>
        <w:topLinePunct w:val="0"/>
        <w:autoSpaceDE/>
        <w:autoSpaceDN/>
        <w:bidi w:val="0"/>
        <w:adjustRightInd w:val="0"/>
        <w:snapToGrid w:val="0"/>
        <w:spacing w:line="578" w:lineRule="exact"/>
        <w:ind w:firstLine="643" w:firstLineChars="200"/>
        <w:contextualSpacing/>
        <w:jc w:val="left"/>
        <w:textAlignment w:val="auto"/>
        <w:outlineLvl w:val="9"/>
        <w:rPr>
          <w:rFonts w:hint="default" w:ascii="Times New Roman" w:hAnsi="Times New Roman" w:eastAsia="仿宋_GB2312" w:cs="Times New Roman"/>
          <w:b w:val="0"/>
          <w:bCs w:val="0"/>
          <w:color w:val="000000"/>
          <w:kern w:val="0"/>
          <w:szCs w:val="32"/>
          <w:highlight w:val="yellow"/>
          <w:shd w:val="clear" w:color="auto" w:fill="FFFFFF"/>
          <w:lang w:val="zh-CN" w:eastAsia="zh-CN"/>
        </w:rPr>
      </w:pPr>
      <w:r>
        <w:rPr>
          <w:rFonts w:hint="default" w:ascii="Times New Roman" w:hAnsi="Times New Roman" w:eastAsia="楷体_GB2312" w:cs="Times New Roman"/>
          <w:b/>
          <w:bCs/>
          <w:color w:val="000000"/>
          <w:kern w:val="0"/>
          <w:sz w:val="32"/>
          <w:szCs w:val="32"/>
          <w:highlight w:val="yellow"/>
          <w:shd w:val="clear" w:color="auto" w:fill="FFFFFF"/>
          <w:lang w:val="zh-CN"/>
        </w:rPr>
        <w:t>（</w:t>
      </w:r>
      <w:r>
        <w:rPr>
          <w:rFonts w:hint="eastAsia" w:ascii="Times New Roman" w:hAnsi="Times New Roman" w:eastAsia="楷体_GB2312" w:cs="Times New Roman"/>
          <w:b/>
          <w:bCs/>
          <w:color w:val="000000"/>
          <w:kern w:val="0"/>
          <w:sz w:val="32"/>
          <w:szCs w:val="32"/>
          <w:highlight w:val="yellow"/>
          <w:shd w:val="clear" w:color="auto" w:fill="FFFFFF"/>
          <w:lang w:val="zh-CN"/>
        </w:rPr>
        <w:t>三</w:t>
      </w:r>
      <w:r>
        <w:rPr>
          <w:rFonts w:hint="default" w:ascii="Times New Roman" w:hAnsi="Times New Roman" w:eastAsia="楷体_GB2312" w:cs="Times New Roman"/>
          <w:b/>
          <w:bCs/>
          <w:color w:val="000000"/>
          <w:kern w:val="0"/>
          <w:sz w:val="32"/>
          <w:szCs w:val="32"/>
          <w:highlight w:val="yellow"/>
          <w:shd w:val="clear" w:color="auto" w:fill="FFFFFF"/>
          <w:lang w:val="zh-CN"/>
        </w:rPr>
        <w:t>）结余分配和结转结余情况</w:t>
      </w:r>
      <w:r>
        <w:rPr>
          <w:rFonts w:hint="eastAsia" w:ascii="Times New Roman" w:hAnsi="Times New Roman" w:eastAsia="楷体_GB2312" w:cs="Times New Roman"/>
          <w:b/>
          <w:bCs/>
          <w:color w:val="000000"/>
          <w:kern w:val="0"/>
          <w:sz w:val="32"/>
          <w:szCs w:val="32"/>
          <w:highlight w:val="yellow"/>
          <w:shd w:val="clear" w:color="auto" w:fill="FFFFFF"/>
          <w:lang w:val="zh-CN" w:eastAsia="zh-CN"/>
        </w:rPr>
        <w:t>。</w:t>
      </w:r>
      <w:r>
        <w:rPr>
          <w:rFonts w:hint="eastAsia" w:ascii="Times New Roman" w:hAnsi="Times New Roman" w:eastAsia="仿宋_GB2312" w:cs="仿宋_GB2312"/>
          <w:color w:val="auto"/>
          <w:kern w:val="2"/>
          <w:sz w:val="32"/>
          <w:szCs w:val="32"/>
          <w:highlight w:val="yellow"/>
          <w:lang w:val="en-US" w:eastAsia="zh-CN" w:bidi="ar-SA"/>
        </w:rPr>
        <w:t>***</w:t>
      </w:r>
      <w:r>
        <w:rPr>
          <w:rFonts w:hint="eastAsia" w:ascii="Times New Roman" w:hAnsi="Times New Roman" w:eastAsia="仿宋_GB2312" w:cs="Times New Roman"/>
          <w:sz w:val="32"/>
          <w:szCs w:val="32"/>
          <w:highlight w:val="yellow"/>
          <w:lang w:val="en-US" w:eastAsia="zh-CN"/>
        </w:rPr>
        <w:t>2024年决算报表</w:t>
      </w:r>
      <w:r>
        <w:rPr>
          <w:rFonts w:hint="default" w:ascii="Times New Roman" w:hAnsi="Times New Roman" w:eastAsia="仿宋_GB2312" w:cs="Times New Roman"/>
          <w:sz w:val="32"/>
          <w:szCs w:val="32"/>
          <w:highlight w:val="yellow"/>
          <w:lang w:val="en-US" w:eastAsia="zh-CN"/>
        </w:rPr>
        <w:t>结转结余</w:t>
      </w:r>
      <w:r>
        <w:rPr>
          <w:rFonts w:hint="eastAsia" w:ascii="Times New Roman" w:hAnsi="Times New Roman" w:eastAsia="仿宋_GB2312" w:cs="Times New Roman"/>
          <w:sz w:val="32"/>
          <w:szCs w:val="32"/>
          <w:highlight w:val="yellow"/>
          <w:lang w:val="en-US" w:eastAsia="zh-CN"/>
        </w:rPr>
        <w:t>情况</w:t>
      </w:r>
      <w:r>
        <w:rPr>
          <w:rFonts w:hint="default" w:ascii="Times New Roman" w:hAnsi="Times New Roman" w:eastAsia="仿宋_GB2312" w:cs="Times New Roman"/>
          <w:sz w:val="32"/>
          <w:szCs w:val="32"/>
          <w:highlight w:val="yellow"/>
          <w:lang w:val="en-US" w:eastAsia="zh-CN"/>
        </w:rPr>
        <w:t>。</w:t>
      </w:r>
    </w:p>
    <w:p>
      <w:pPr>
        <w:keepNext w:val="0"/>
        <w:keepLines w:val="0"/>
        <w:pageBreakBefore w:val="0"/>
        <w:widowControl/>
        <w:numPr>
          <w:ilvl w:val="0"/>
          <w:numId w:val="0"/>
        </w:numPr>
        <w:kinsoku/>
        <w:wordWrap/>
        <w:overflowPunct/>
        <w:topLinePunct w:val="0"/>
        <w:autoSpaceDE/>
        <w:autoSpaceDN/>
        <w:bidi w:val="0"/>
        <w:adjustRightInd w:val="0"/>
        <w:snapToGrid w:val="0"/>
        <w:spacing w:line="578" w:lineRule="exact"/>
        <w:ind w:firstLine="640" w:firstLineChars="200"/>
        <w:contextualSpacing/>
        <w:jc w:val="left"/>
        <w:textAlignment w:val="auto"/>
        <w:outlineLvl w:val="9"/>
        <w:rPr>
          <w:rFonts w:hint="default" w:ascii="Times New Roman" w:hAnsi="Times New Roman" w:eastAsia="黑体" w:cs="Times New Roman"/>
          <w:color w:val="000000"/>
          <w:kern w:val="0"/>
          <w:sz w:val="32"/>
          <w:szCs w:val="32"/>
          <w:highlight w:val="yellow"/>
          <w:shd w:val="clear" w:color="auto" w:fill="FFFFFF"/>
          <w:lang w:val="zh-CN" w:eastAsia="zh-CN"/>
        </w:rPr>
      </w:pPr>
      <w:r>
        <w:rPr>
          <w:rFonts w:hint="default" w:ascii="Times New Roman" w:hAnsi="Times New Roman" w:eastAsia="黑体" w:cs="Times New Roman"/>
          <w:color w:val="000000"/>
          <w:kern w:val="0"/>
          <w:sz w:val="32"/>
          <w:szCs w:val="32"/>
          <w:highlight w:val="yellow"/>
          <w:shd w:val="clear" w:color="auto" w:fill="FFFFFF"/>
          <w:lang w:val="zh-CN" w:eastAsia="zh-CN"/>
        </w:rPr>
        <w:t>三、部门预算绩效分析</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8" w:lineRule="exact"/>
        <w:ind w:firstLine="643" w:firstLineChars="200"/>
        <w:contextualSpacing/>
        <w:jc w:val="left"/>
        <w:textAlignment w:val="auto"/>
        <w:outlineLvl w:val="9"/>
        <w:rPr>
          <w:rFonts w:hint="default" w:ascii="Times New Roman" w:hAnsi="Times New Roman" w:eastAsia="仿宋_GB2312" w:cs="仿宋_GB2312"/>
          <w:color w:val="auto"/>
          <w:kern w:val="2"/>
          <w:sz w:val="32"/>
          <w:szCs w:val="32"/>
          <w:highlight w:val="yellow"/>
          <w:lang w:val="zh-CN" w:eastAsia="zh-CN" w:bidi="ar-SA"/>
        </w:rPr>
      </w:pPr>
      <w:r>
        <w:rPr>
          <w:rFonts w:hint="default" w:ascii="Times New Roman" w:hAnsi="Times New Roman" w:eastAsia="楷体_GB2312" w:cs="Times New Roman"/>
          <w:b/>
          <w:bCs/>
          <w:color w:val="000000"/>
          <w:kern w:val="0"/>
          <w:sz w:val="32"/>
          <w:szCs w:val="32"/>
          <w:highlight w:val="yellow"/>
          <w:shd w:val="clear" w:color="auto" w:fill="FFFFFF"/>
          <w:lang w:val="zh-CN"/>
        </w:rPr>
        <w:t>（一）</w:t>
      </w:r>
      <w:r>
        <w:rPr>
          <w:rFonts w:hint="eastAsia" w:ascii="Times New Roman" w:hAnsi="Times New Roman" w:eastAsia="楷体_GB2312" w:cs="Times New Roman"/>
          <w:b/>
          <w:bCs/>
          <w:color w:val="000000"/>
          <w:kern w:val="0"/>
          <w:sz w:val="32"/>
          <w:szCs w:val="32"/>
          <w:highlight w:val="yellow"/>
          <w:shd w:val="clear" w:color="auto" w:fill="FFFFFF"/>
          <w:lang w:val="zh-CN"/>
        </w:rPr>
        <w:t>部门预算</w:t>
      </w:r>
      <w:r>
        <w:rPr>
          <w:rFonts w:hint="default" w:ascii="Times New Roman" w:hAnsi="Times New Roman" w:eastAsia="楷体_GB2312" w:cs="Times New Roman"/>
          <w:b/>
          <w:bCs/>
          <w:color w:val="000000"/>
          <w:kern w:val="0"/>
          <w:sz w:val="32"/>
          <w:szCs w:val="32"/>
          <w:highlight w:val="yellow"/>
          <w:shd w:val="clear" w:color="auto" w:fill="FFFFFF"/>
          <w:lang w:val="zh-CN"/>
        </w:rPr>
        <w:t>总体绩效分析。</w:t>
      </w:r>
      <w:r>
        <w:rPr>
          <w:rFonts w:hint="default" w:ascii="Times New Roman" w:hAnsi="Times New Roman" w:eastAsia="仿宋_GB2312" w:cs="仿宋_GB2312"/>
          <w:color w:val="auto"/>
          <w:kern w:val="2"/>
          <w:sz w:val="32"/>
          <w:szCs w:val="32"/>
          <w:highlight w:val="yellow"/>
          <w:lang w:val="zh-CN" w:eastAsia="zh-CN" w:bidi="ar-SA"/>
        </w:rPr>
        <w:t>根据部门预算绩效评价指标体系</w:t>
      </w:r>
      <w:r>
        <w:rPr>
          <w:rFonts w:hint="eastAsia" w:ascii="Times New Roman" w:hAnsi="Times New Roman" w:eastAsia="仿宋_GB2312" w:cs="仿宋_GB2312"/>
          <w:color w:val="auto"/>
          <w:kern w:val="2"/>
          <w:sz w:val="32"/>
          <w:szCs w:val="32"/>
          <w:highlight w:val="yellow"/>
          <w:lang w:val="zh-CN" w:eastAsia="zh-CN" w:bidi="ar-SA"/>
        </w:rPr>
        <w:t>“</w:t>
      </w:r>
      <w:r>
        <w:rPr>
          <w:rFonts w:hint="default" w:ascii="Times New Roman" w:hAnsi="Times New Roman" w:eastAsia="仿宋_GB2312" w:cs="仿宋_GB2312"/>
          <w:color w:val="auto"/>
          <w:kern w:val="2"/>
          <w:sz w:val="32"/>
          <w:szCs w:val="32"/>
          <w:highlight w:val="yellow"/>
          <w:lang w:val="zh-CN" w:eastAsia="zh-CN" w:bidi="ar-SA"/>
        </w:rPr>
        <w:t>总体绩效</w:t>
      </w:r>
      <w:r>
        <w:rPr>
          <w:rFonts w:hint="eastAsia" w:ascii="Times New Roman" w:hAnsi="Times New Roman" w:eastAsia="仿宋_GB2312" w:cs="仿宋_GB2312"/>
          <w:color w:val="auto"/>
          <w:kern w:val="2"/>
          <w:sz w:val="32"/>
          <w:szCs w:val="32"/>
          <w:highlight w:val="yellow"/>
          <w:lang w:val="zh-CN" w:eastAsia="zh-CN" w:bidi="ar-SA"/>
        </w:rPr>
        <w:t>”</w:t>
      </w:r>
      <w:r>
        <w:rPr>
          <w:rFonts w:hint="default" w:ascii="Times New Roman" w:hAnsi="Times New Roman" w:eastAsia="仿宋_GB2312" w:cs="仿宋_GB2312"/>
          <w:color w:val="auto"/>
          <w:kern w:val="2"/>
          <w:sz w:val="32"/>
          <w:szCs w:val="32"/>
          <w:highlight w:val="yellow"/>
          <w:lang w:val="zh-CN" w:eastAsia="zh-CN" w:bidi="ar-SA"/>
        </w:rPr>
        <w:t>涉及</w:t>
      </w:r>
      <w:r>
        <w:rPr>
          <w:rFonts w:hint="eastAsia" w:ascii="Times New Roman" w:hAnsi="Times New Roman" w:eastAsia="仿宋_GB2312" w:cs="仿宋_GB2312"/>
          <w:color w:val="auto"/>
          <w:kern w:val="2"/>
          <w:sz w:val="32"/>
          <w:szCs w:val="32"/>
          <w:highlight w:val="yellow"/>
          <w:lang w:val="zh-CN" w:eastAsia="zh-CN" w:bidi="ar-SA"/>
        </w:rPr>
        <w:t>二、三级</w:t>
      </w:r>
      <w:r>
        <w:rPr>
          <w:rFonts w:hint="default" w:ascii="Times New Roman" w:hAnsi="Times New Roman" w:eastAsia="仿宋_GB2312" w:cs="仿宋_GB2312"/>
          <w:color w:val="auto"/>
          <w:kern w:val="2"/>
          <w:sz w:val="32"/>
          <w:szCs w:val="32"/>
          <w:highlight w:val="yellow"/>
          <w:lang w:val="zh-CN" w:eastAsia="zh-CN" w:bidi="ar-SA"/>
        </w:rPr>
        <w:t>指标进行</w:t>
      </w:r>
      <w:r>
        <w:rPr>
          <w:rFonts w:hint="eastAsia" w:ascii="Times New Roman" w:hAnsi="Times New Roman" w:eastAsia="仿宋_GB2312" w:cs="仿宋_GB2312"/>
          <w:color w:val="auto"/>
          <w:kern w:val="2"/>
          <w:sz w:val="32"/>
          <w:szCs w:val="32"/>
          <w:highlight w:val="yellow"/>
          <w:lang w:val="zh-CN" w:eastAsia="zh-CN" w:bidi="ar-SA"/>
        </w:rPr>
        <w:t>逐项</w:t>
      </w:r>
      <w:r>
        <w:rPr>
          <w:rFonts w:hint="default" w:ascii="Times New Roman" w:hAnsi="Times New Roman" w:eastAsia="仿宋_GB2312" w:cs="仿宋_GB2312"/>
          <w:color w:val="auto"/>
          <w:kern w:val="2"/>
          <w:sz w:val="32"/>
          <w:szCs w:val="32"/>
          <w:highlight w:val="yellow"/>
          <w:lang w:val="zh-CN" w:eastAsia="zh-CN" w:bidi="ar-SA"/>
        </w:rPr>
        <w:t>绩效分析</w:t>
      </w:r>
      <w:r>
        <w:rPr>
          <w:rFonts w:hint="eastAsia" w:ascii="Times New Roman" w:hAnsi="Times New Roman" w:eastAsia="仿宋_GB2312" w:cs="仿宋_GB2312"/>
          <w:color w:val="auto"/>
          <w:kern w:val="2"/>
          <w:sz w:val="32"/>
          <w:szCs w:val="32"/>
          <w:highlight w:val="yellow"/>
          <w:lang w:val="zh-CN" w:eastAsia="zh-CN" w:bidi="ar-SA"/>
        </w:rPr>
        <w:t>并评分</w:t>
      </w:r>
      <w:r>
        <w:rPr>
          <w:rFonts w:hint="default" w:ascii="Times New Roman" w:hAnsi="Times New Roman" w:eastAsia="仿宋_GB2312" w:cs="仿宋_GB2312"/>
          <w:color w:val="auto"/>
          <w:kern w:val="2"/>
          <w:sz w:val="32"/>
          <w:szCs w:val="32"/>
          <w:highlight w:val="yellow"/>
          <w:lang w:val="zh-CN" w:eastAsia="zh-CN" w:bidi="ar-SA"/>
        </w:rPr>
        <w:t>，依次包括履职效能、预算管理、财务管理、资产管理、采购管理等情况。</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8" w:lineRule="exact"/>
        <w:ind w:firstLine="640" w:firstLineChars="200"/>
        <w:contextualSpacing/>
        <w:jc w:val="left"/>
        <w:textAlignment w:val="auto"/>
        <w:outlineLvl w:val="9"/>
        <w:rPr>
          <w:rFonts w:hint="eastAsia" w:ascii="Times New Roman" w:hAnsi="Times New Roman" w:eastAsia="仿宋_GB2312" w:cs="仿宋_GB2312"/>
          <w:color w:val="auto"/>
          <w:kern w:val="2"/>
          <w:sz w:val="32"/>
          <w:szCs w:val="32"/>
          <w:highlight w:val="yellow"/>
          <w:lang w:val="zh-CN" w:eastAsia="zh-CN" w:bidi="ar-SA"/>
        </w:rPr>
      </w:pPr>
      <w:r>
        <w:rPr>
          <w:rFonts w:hint="eastAsia" w:ascii="Times New Roman" w:hAnsi="Times New Roman" w:eastAsia="仿宋_GB2312" w:cs="仿宋_GB2312"/>
          <w:color w:val="auto"/>
          <w:kern w:val="2"/>
          <w:sz w:val="32"/>
          <w:szCs w:val="32"/>
          <w:highlight w:val="yellow"/>
          <w:lang w:val="en-US" w:eastAsia="zh-CN" w:bidi="ar-SA"/>
        </w:rPr>
        <w:t>1.</w:t>
      </w:r>
      <w:r>
        <w:rPr>
          <w:rFonts w:hint="eastAsia" w:ascii="Times New Roman" w:hAnsi="Times New Roman" w:eastAsia="仿宋_GB2312" w:cs="仿宋_GB2312"/>
          <w:color w:val="auto"/>
          <w:kern w:val="2"/>
          <w:sz w:val="32"/>
          <w:szCs w:val="32"/>
          <w:highlight w:val="yellow"/>
          <w:lang w:val="zh-CN" w:eastAsia="zh-CN" w:bidi="ar-SA"/>
        </w:rPr>
        <w:t>履职效能。部门整体绩效目标中选定3-5个核心职能目标，对职能目标完成效果情况绩效分析。</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8" w:lineRule="exact"/>
        <w:ind w:firstLine="640" w:firstLineChars="200"/>
        <w:contextualSpacing/>
        <w:jc w:val="left"/>
        <w:textAlignment w:val="auto"/>
        <w:outlineLvl w:val="9"/>
        <w:rPr>
          <w:rFonts w:hint="eastAsia" w:ascii="Times New Roman" w:hAnsi="Times New Roman" w:eastAsia="仿宋_GB2312" w:cs="仿宋_GB2312"/>
          <w:color w:val="auto"/>
          <w:kern w:val="2"/>
          <w:sz w:val="32"/>
          <w:szCs w:val="32"/>
          <w:highlight w:val="yellow"/>
          <w:lang w:val="zh-CN" w:eastAsia="zh-CN" w:bidi="ar-SA"/>
        </w:rPr>
      </w:pPr>
      <w:r>
        <w:rPr>
          <w:rFonts w:hint="eastAsia" w:ascii="Times New Roman" w:hAnsi="Times New Roman" w:eastAsia="仿宋_GB2312" w:cs="仿宋_GB2312"/>
          <w:color w:val="auto"/>
          <w:kern w:val="2"/>
          <w:sz w:val="32"/>
          <w:szCs w:val="32"/>
          <w:highlight w:val="yellow"/>
          <w:lang w:val="en-US" w:eastAsia="zh-CN" w:bidi="ar-SA"/>
        </w:rPr>
        <w:t>2.</w:t>
      </w:r>
      <w:r>
        <w:rPr>
          <w:rFonts w:hint="default" w:ascii="Times New Roman" w:hAnsi="Times New Roman" w:eastAsia="仿宋_GB2312" w:cs="仿宋_GB2312"/>
          <w:color w:val="auto"/>
          <w:kern w:val="2"/>
          <w:sz w:val="32"/>
          <w:szCs w:val="32"/>
          <w:highlight w:val="yellow"/>
          <w:lang w:val="zh-CN" w:eastAsia="zh-CN" w:bidi="ar-SA"/>
        </w:rPr>
        <w:t>预算管理</w:t>
      </w:r>
      <w:r>
        <w:rPr>
          <w:rFonts w:hint="eastAsia" w:ascii="Times New Roman" w:hAnsi="Times New Roman" w:eastAsia="仿宋_GB2312" w:cs="仿宋_GB2312"/>
          <w:color w:val="auto"/>
          <w:kern w:val="2"/>
          <w:sz w:val="32"/>
          <w:szCs w:val="32"/>
          <w:highlight w:val="yellow"/>
          <w:lang w:val="zh-CN" w:eastAsia="zh-CN" w:bidi="ar-SA"/>
        </w:rPr>
        <w:t>。围绕预算编制质量、单位收入统筹、支出执行进度、预算年终结余、严控一般性支出</w:t>
      </w:r>
      <w:r>
        <w:rPr>
          <w:rFonts w:hint="default" w:ascii="Times New Roman" w:hAnsi="Times New Roman" w:eastAsia="仿宋_GB2312" w:cs="仿宋_GB2312"/>
          <w:color w:val="auto"/>
          <w:kern w:val="2"/>
          <w:sz w:val="32"/>
          <w:szCs w:val="32"/>
          <w:highlight w:val="yellow"/>
          <w:lang w:val="zh-CN" w:eastAsia="zh-CN" w:bidi="ar-SA"/>
        </w:rPr>
        <w:t>进行绩效分析</w:t>
      </w:r>
      <w:r>
        <w:rPr>
          <w:rFonts w:hint="eastAsia" w:ascii="Times New Roman" w:hAnsi="Times New Roman" w:eastAsia="仿宋_GB2312" w:cs="仿宋_GB2312"/>
          <w:color w:val="auto"/>
          <w:kern w:val="2"/>
          <w:sz w:val="32"/>
          <w:szCs w:val="32"/>
          <w:highlight w:val="yellow"/>
          <w:lang w:val="zh-CN" w:eastAsia="zh-CN" w:bidi="ar-SA"/>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8" w:lineRule="exact"/>
        <w:ind w:firstLine="640" w:firstLineChars="200"/>
        <w:contextualSpacing/>
        <w:jc w:val="left"/>
        <w:textAlignment w:val="auto"/>
        <w:outlineLvl w:val="9"/>
        <w:rPr>
          <w:rFonts w:hint="eastAsia" w:ascii="Times New Roman" w:hAnsi="Times New Roman" w:eastAsia="仿宋_GB2312" w:cs="仿宋_GB2312"/>
          <w:color w:val="auto"/>
          <w:kern w:val="2"/>
          <w:sz w:val="32"/>
          <w:szCs w:val="32"/>
          <w:highlight w:val="yellow"/>
          <w:lang w:val="zh-CN" w:eastAsia="zh-CN" w:bidi="ar-SA"/>
        </w:rPr>
      </w:pPr>
      <w:r>
        <w:rPr>
          <w:rFonts w:hint="eastAsia" w:ascii="Times New Roman" w:hAnsi="Times New Roman" w:eastAsia="仿宋_GB2312" w:cs="仿宋_GB2312"/>
          <w:color w:val="auto"/>
          <w:kern w:val="2"/>
          <w:sz w:val="32"/>
          <w:szCs w:val="32"/>
          <w:highlight w:val="yellow"/>
          <w:lang w:val="en-US" w:eastAsia="zh-CN" w:bidi="ar-SA"/>
        </w:rPr>
        <w:t>3.</w:t>
      </w:r>
      <w:r>
        <w:rPr>
          <w:rFonts w:hint="default" w:ascii="Times New Roman" w:hAnsi="Times New Roman" w:eastAsia="仿宋_GB2312" w:cs="仿宋_GB2312"/>
          <w:color w:val="auto"/>
          <w:kern w:val="2"/>
          <w:sz w:val="32"/>
          <w:szCs w:val="32"/>
          <w:highlight w:val="yellow"/>
          <w:lang w:val="zh-CN" w:eastAsia="zh-CN" w:bidi="ar-SA"/>
        </w:rPr>
        <w:t>财务管理</w:t>
      </w:r>
      <w:r>
        <w:rPr>
          <w:rFonts w:hint="eastAsia" w:ascii="Times New Roman" w:hAnsi="Times New Roman" w:eastAsia="仿宋_GB2312" w:cs="仿宋_GB2312"/>
          <w:color w:val="auto"/>
          <w:kern w:val="2"/>
          <w:sz w:val="32"/>
          <w:szCs w:val="32"/>
          <w:highlight w:val="yellow"/>
          <w:lang w:val="zh-CN" w:eastAsia="zh-CN" w:bidi="ar-SA"/>
        </w:rPr>
        <w:t>。围绕财务管理制度、财务岗位设置、资金使用规范</w:t>
      </w:r>
      <w:r>
        <w:rPr>
          <w:rFonts w:hint="default" w:ascii="Times New Roman" w:hAnsi="Times New Roman" w:eastAsia="仿宋_GB2312" w:cs="仿宋_GB2312"/>
          <w:color w:val="auto"/>
          <w:kern w:val="2"/>
          <w:sz w:val="32"/>
          <w:szCs w:val="32"/>
          <w:highlight w:val="yellow"/>
          <w:lang w:val="zh-CN" w:eastAsia="zh-CN" w:bidi="ar-SA"/>
        </w:rPr>
        <w:t>进行绩效分析</w:t>
      </w:r>
      <w:r>
        <w:rPr>
          <w:rFonts w:hint="eastAsia" w:ascii="Times New Roman" w:hAnsi="Times New Roman" w:eastAsia="仿宋_GB2312" w:cs="仿宋_GB2312"/>
          <w:color w:val="auto"/>
          <w:kern w:val="2"/>
          <w:sz w:val="32"/>
          <w:szCs w:val="32"/>
          <w:highlight w:val="yellow"/>
          <w:lang w:val="zh-CN" w:eastAsia="zh-CN" w:bidi="ar-SA"/>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8" w:lineRule="exact"/>
        <w:ind w:firstLine="640" w:firstLineChars="200"/>
        <w:contextualSpacing/>
        <w:jc w:val="left"/>
        <w:textAlignment w:val="auto"/>
        <w:outlineLvl w:val="9"/>
        <w:rPr>
          <w:rFonts w:hint="eastAsia" w:ascii="Times New Roman" w:hAnsi="Times New Roman" w:eastAsia="仿宋_GB2312" w:cs="仿宋_GB2312"/>
          <w:color w:val="auto"/>
          <w:kern w:val="2"/>
          <w:sz w:val="32"/>
          <w:szCs w:val="32"/>
          <w:highlight w:val="yellow"/>
          <w:lang w:val="zh-CN" w:eastAsia="zh-CN" w:bidi="ar-SA"/>
        </w:rPr>
      </w:pPr>
      <w:r>
        <w:rPr>
          <w:rFonts w:hint="eastAsia" w:ascii="Times New Roman" w:hAnsi="Times New Roman" w:eastAsia="仿宋_GB2312" w:cs="仿宋_GB2312"/>
          <w:color w:val="auto"/>
          <w:kern w:val="2"/>
          <w:sz w:val="32"/>
          <w:szCs w:val="32"/>
          <w:highlight w:val="yellow"/>
          <w:lang w:val="en-US" w:eastAsia="zh-CN" w:bidi="ar-SA"/>
        </w:rPr>
        <w:t>4.</w:t>
      </w:r>
      <w:r>
        <w:rPr>
          <w:rFonts w:hint="default" w:ascii="Times New Roman" w:hAnsi="Times New Roman" w:eastAsia="仿宋_GB2312" w:cs="仿宋_GB2312"/>
          <w:color w:val="auto"/>
          <w:kern w:val="2"/>
          <w:sz w:val="32"/>
          <w:szCs w:val="32"/>
          <w:highlight w:val="yellow"/>
          <w:lang w:val="zh-CN" w:eastAsia="zh-CN" w:bidi="ar-SA"/>
        </w:rPr>
        <w:t>资产管理</w:t>
      </w:r>
      <w:r>
        <w:rPr>
          <w:rFonts w:hint="eastAsia" w:ascii="Times New Roman" w:hAnsi="Times New Roman" w:eastAsia="仿宋_GB2312" w:cs="仿宋_GB2312"/>
          <w:color w:val="auto"/>
          <w:kern w:val="2"/>
          <w:sz w:val="32"/>
          <w:szCs w:val="32"/>
          <w:highlight w:val="yellow"/>
          <w:lang w:val="zh-CN" w:eastAsia="zh-CN" w:bidi="ar-SA"/>
        </w:rPr>
        <w:t>。围绕人均资产变化率、资产利用率、资产盘活率</w:t>
      </w:r>
      <w:r>
        <w:rPr>
          <w:rFonts w:hint="default" w:ascii="Times New Roman" w:hAnsi="Times New Roman" w:eastAsia="仿宋_GB2312" w:cs="仿宋_GB2312"/>
          <w:color w:val="auto"/>
          <w:kern w:val="2"/>
          <w:sz w:val="32"/>
          <w:szCs w:val="32"/>
          <w:highlight w:val="yellow"/>
          <w:lang w:val="zh-CN" w:eastAsia="zh-CN" w:bidi="ar-SA"/>
        </w:rPr>
        <w:t>进行绩效分析</w:t>
      </w:r>
      <w:r>
        <w:rPr>
          <w:rFonts w:hint="eastAsia" w:ascii="Times New Roman" w:hAnsi="Times New Roman" w:eastAsia="仿宋_GB2312" w:cs="仿宋_GB2312"/>
          <w:color w:val="auto"/>
          <w:kern w:val="2"/>
          <w:sz w:val="32"/>
          <w:szCs w:val="32"/>
          <w:highlight w:val="yellow"/>
          <w:lang w:val="zh-CN" w:eastAsia="zh-CN" w:bidi="ar-SA"/>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8" w:lineRule="exact"/>
        <w:ind w:firstLine="640" w:firstLineChars="200"/>
        <w:contextualSpacing/>
        <w:jc w:val="left"/>
        <w:textAlignment w:val="auto"/>
        <w:outlineLvl w:val="9"/>
        <w:rPr>
          <w:rFonts w:hint="eastAsia" w:ascii="Times New Roman" w:hAnsi="Times New Roman" w:eastAsia="仿宋_GB2312" w:cs="仿宋_GB2312"/>
          <w:color w:val="auto"/>
          <w:kern w:val="2"/>
          <w:sz w:val="32"/>
          <w:szCs w:val="32"/>
          <w:highlight w:val="yellow"/>
          <w:lang w:val="zh-CN" w:eastAsia="zh-CN" w:bidi="ar-SA"/>
        </w:rPr>
      </w:pPr>
      <w:r>
        <w:rPr>
          <w:rFonts w:hint="eastAsia" w:ascii="Times New Roman" w:hAnsi="Times New Roman" w:eastAsia="仿宋_GB2312" w:cs="仿宋_GB2312"/>
          <w:color w:val="auto"/>
          <w:kern w:val="2"/>
          <w:sz w:val="32"/>
          <w:szCs w:val="32"/>
          <w:highlight w:val="yellow"/>
          <w:lang w:val="en-US" w:eastAsia="zh-CN" w:bidi="ar-SA"/>
        </w:rPr>
        <w:t>5.</w:t>
      </w:r>
      <w:r>
        <w:rPr>
          <w:rFonts w:hint="default" w:ascii="Times New Roman" w:hAnsi="Times New Roman" w:eastAsia="仿宋_GB2312" w:cs="仿宋_GB2312"/>
          <w:color w:val="auto"/>
          <w:kern w:val="2"/>
          <w:sz w:val="32"/>
          <w:szCs w:val="32"/>
          <w:highlight w:val="yellow"/>
          <w:lang w:val="zh-CN" w:eastAsia="zh-CN" w:bidi="ar-SA"/>
        </w:rPr>
        <w:t>采购管理</w:t>
      </w:r>
      <w:r>
        <w:rPr>
          <w:rFonts w:hint="eastAsia" w:ascii="Times New Roman" w:hAnsi="Times New Roman" w:eastAsia="仿宋_GB2312" w:cs="仿宋_GB2312"/>
          <w:color w:val="auto"/>
          <w:kern w:val="2"/>
          <w:sz w:val="32"/>
          <w:szCs w:val="32"/>
          <w:highlight w:val="yellow"/>
          <w:lang w:val="zh-CN" w:eastAsia="zh-CN" w:bidi="ar-SA"/>
        </w:rPr>
        <w:t>。围绕支持中小企业发展、采购执行率</w:t>
      </w:r>
      <w:r>
        <w:rPr>
          <w:rFonts w:hint="default" w:ascii="Times New Roman" w:hAnsi="Times New Roman" w:eastAsia="仿宋_GB2312" w:cs="仿宋_GB2312"/>
          <w:color w:val="auto"/>
          <w:kern w:val="2"/>
          <w:sz w:val="32"/>
          <w:szCs w:val="32"/>
          <w:highlight w:val="yellow"/>
          <w:lang w:val="zh-CN" w:eastAsia="zh-CN" w:bidi="ar-SA"/>
        </w:rPr>
        <w:t>进行绩效分析</w:t>
      </w:r>
      <w:r>
        <w:rPr>
          <w:rFonts w:hint="eastAsia" w:ascii="Times New Roman" w:hAnsi="Times New Roman" w:eastAsia="仿宋_GB2312" w:cs="仿宋_GB2312"/>
          <w:color w:val="auto"/>
          <w:kern w:val="2"/>
          <w:sz w:val="32"/>
          <w:szCs w:val="32"/>
          <w:highlight w:val="yellow"/>
          <w:lang w:val="zh-CN" w:eastAsia="zh-CN" w:bidi="ar-SA"/>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8" w:lineRule="exact"/>
        <w:ind w:firstLine="643" w:firstLineChars="200"/>
        <w:contextualSpacing/>
        <w:jc w:val="both"/>
        <w:textAlignment w:val="auto"/>
        <w:outlineLvl w:val="9"/>
        <w:rPr>
          <w:rFonts w:hint="default" w:ascii="Times New Roman" w:hAnsi="Times New Roman" w:eastAsia="仿宋_GB2312" w:cs="仿宋_GB2312"/>
          <w:color w:val="auto"/>
          <w:kern w:val="2"/>
          <w:sz w:val="32"/>
          <w:szCs w:val="32"/>
          <w:highlight w:val="yellow"/>
          <w:lang w:val="en-US" w:eastAsia="zh-CN" w:bidi="ar-SA"/>
        </w:rPr>
      </w:pPr>
      <w:r>
        <w:rPr>
          <w:rFonts w:hint="default" w:ascii="Times New Roman" w:hAnsi="Times New Roman" w:eastAsia="楷体_GB2312" w:cs="Times New Roman"/>
          <w:b/>
          <w:bCs/>
          <w:color w:val="000000"/>
          <w:kern w:val="0"/>
          <w:sz w:val="32"/>
          <w:szCs w:val="32"/>
          <w:highlight w:val="yellow"/>
          <w:shd w:val="clear" w:color="auto" w:fill="FFFFFF"/>
          <w:lang w:val="zh-CN"/>
        </w:rPr>
        <w:t>（二）部门预算项目绩效分析。</w:t>
      </w:r>
      <w:r>
        <w:rPr>
          <w:rFonts w:hint="eastAsia" w:ascii="Times New Roman" w:hAnsi="Times New Roman" w:eastAsia="仿宋_GB2312" w:cs="仿宋_GB2312"/>
          <w:color w:val="auto"/>
          <w:kern w:val="2"/>
          <w:sz w:val="32"/>
          <w:szCs w:val="32"/>
          <w:highlight w:val="yellow"/>
          <w:lang w:val="zh-CN" w:eastAsia="zh-CN" w:bidi="ar-SA"/>
        </w:rPr>
        <w:t>填报以下数据，并</w:t>
      </w:r>
      <w:r>
        <w:rPr>
          <w:rFonts w:hint="default" w:ascii="Times New Roman" w:hAnsi="Times New Roman" w:eastAsia="仿宋_GB2312" w:cs="仿宋_GB2312"/>
          <w:color w:val="auto"/>
          <w:kern w:val="2"/>
          <w:sz w:val="32"/>
          <w:szCs w:val="32"/>
          <w:highlight w:val="yellow"/>
          <w:lang w:val="zh-CN" w:eastAsia="zh-CN" w:bidi="ar-SA"/>
        </w:rPr>
        <w:t>根据部门预算绩效评价指标体系</w:t>
      </w:r>
      <w:r>
        <w:rPr>
          <w:rFonts w:hint="eastAsia" w:ascii="Times New Roman" w:hAnsi="Times New Roman" w:eastAsia="仿宋_GB2312" w:cs="仿宋_GB2312"/>
          <w:color w:val="auto"/>
          <w:kern w:val="2"/>
          <w:sz w:val="32"/>
          <w:szCs w:val="32"/>
          <w:highlight w:val="yellow"/>
          <w:lang w:val="zh-CN" w:eastAsia="zh-CN" w:bidi="ar-SA"/>
        </w:rPr>
        <w:t>“</w:t>
      </w:r>
      <w:r>
        <w:rPr>
          <w:rFonts w:hint="default" w:ascii="Times New Roman" w:hAnsi="Times New Roman" w:eastAsia="仿宋_GB2312" w:cs="仿宋_GB2312"/>
          <w:color w:val="auto"/>
          <w:kern w:val="2"/>
          <w:sz w:val="32"/>
          <w:szCs w:val="32"/>
          <w:highlight w:val="yellow"/>
          <w:lang w:val="zh-CN" w:eastAsia="zh-CN" w:bidi="ar-SA"/>
        </w:rPr>
        <w:t>项目绩效</w:t>
      </w:r>
      <w:r>
        <w:rPr>
          <w:rFonts w:hint="eastAsia" w:ascii="Times New Roman" w:hAnsi="Times New Roman" w:eastAsia="仿宋_GB2312" w:cs="仿宋_GB2312"/>
          <w:color w:val="auto"/>
          <w:kern w:val="2"/>
          <w:sz w:val="32"/>
          <w:szCs w:val="32"/>
          <w:highlight w:val="yellow"/>
          <w:lang w:val="zh-CN" w:eastAsia="zh-CN" w:bidi="ar-SA"/>
        </w:rPr>
        <w:t>”</w:t>
      </w:r>
      <w:r>
        <w:rPr>
          <w:rFonts w:hint="default" w:ascii="Times New Roman" w:hAnsi="Times New Roman" w:eastAsia="仿宋_GB2312" w:cs="仿宋_GB2312"/>
          <w:color w:val="auto"/>
          <w:kern w:val="2"/>
          <w:sz w:val="32"/>
          <w:szCs w:val="32"/>
          <w:highlight w:val="yellow"/>
          <w:lang w:val="zh-CN" w:eastAsia="zh-CN" w:bidi="ar-SA"/>
        </w:rPr>
        <w:t>涉及</w:t>
      </w:r>
      <w:r>
        <w:rPr>
          <w:rFonts w:hint="eastAsia" w:ascii="Times New Roman" w:hAnsi="Times New Roman" w:eastAsia="仿宋_GB2312" w:cs="仿宋_GB2312"/>
          <w:color w:val="auto"/>
          <w:kern w:val="2"/>
          <w:sz w:val="32"/>
          <w:szCs w:val="32"/>
          <w:highlight w:val="yellow"/>
          <w:lang w:val="zh-CN" w:eastAsia="zh-CN" w:bidi="ar-SA"/>
        </w:rPr>
        <w:t>二、三级</w:t>
      </w:r>
      <w:r>
        <w:rPr>
          <w:rFonts w:hint="default" w:ascii="Times New Roman" w:hAnsi="Times New Roman" w:eastAsia="仿宋_GB2312" w:cs="仿宋_GB2312"/>
          <w:color w:val="auto"/>
          <w:kern w:val="2"/>
          <w:sz w:val="32"/>
          <w:szCs w:val="32"/>
          <w:highlight w:val="yellow"/>
          <w:lang w:val="zh-CN" w:eastAsia="zh-CN" w:bidi="ar-SA"/>
        </w:rPr>
        <w:t>指标进行</w:t>
      </w:r>
      <w:r>
        <w:rPr>
          <w:rFonts w:hint="eastAsia" w:ascii="Times New Roman" w:hAnsi="Times New Roman" w:eastAsia="仿宋_GB2312" w:cs="仿宋_GB2312"/>
          <w:color w:val="auto"/>
          <w:kern w:val="2"/>
          <w:sz w:val="32"/>
          <w:szCs w:val="32"/>
          <w:highlight w:val="yellow"/>
          <w:lang w:val="zh-CN" w:eastAsia="zh-CN" w:bidi="ar-SA"/>
        </w:rPr>
        <w:t>逐项</w:t>
      </w:r>
      <w:r>
        <w:rPr>
          <w:rFonts w:hint="default" w:ascii="Times New Roman" w:hAnsi="Times New Roman" w:eastAsia="仿宋_GB2312" w:cs="仿宋_GB2312"/>
          <w:color w:val="auto"/>
          <w:kern w:val="2"/>
          <w:sz w:val="32"/>
          <w:szCs w:val="32"/>
          <w:highlight w:val="yellow"/>
          <w:lang w:val="zh-CN" w:eastAsia="zh-CN" w:bidi="ar-SA"/>
        </w:rPr>
        <w:t>绩效分析</w:t>
      </w:r>
      <w:r>
        <w:rPr>
          <w:rFonts w:hint="eastAsia" w:ascii="Times New Roman" w:hAnsi="Times New Roman" w:eastAsia="仿宋_GB2312" w:cs="仿宋_GB2312"/>
          <w:color w:val="auto"/>
          <w:kern w:val="2"/>
          <w:sz w:val="32"/>
          <w:szCs w:val="32"/>
          <w:highlight w:val="yellow"/>
          <w:lang w:val="zh-CN" w:eastAsia="zh-CN" w:bidi="ar-SA"/>
        </w:rPr>
        <w:t>并评分</w:t>
      </w:r>
      <w:r>
        <w:rPr>
          <w:rFonts w:hint="default" w:ascii="Times New Roman" w:hAnsi="Times New Roman" w:eastAsia="仿宋_GB2312" w:cs="仿宋_GB2312"/>
          <w:color w:val="auto"/>
          <w:kern w:val="2"/>
          <w:sz w:val="32"/>
          <w:szCs w:val="32"/>
          <w:highlight w:val="yellow"/>
          <w:lang w:val="zh-CN" w:eastAsia="zh-CN" w:bidi="ar-SA"/>
        </w:rPr>
        <w:t>，依次包括项目</w:t>
      </w:r>
      <w:r>
        <w:rPr>
          <w:rFonts w:hint="default" w:ascii="Times New Roman" w:hAnsi="Times New Roman" w:eastAsia="仿宋_GB2312" w:cs="仿宋_GB2312"/>
          <w:color w:val="auto"/>
          <w:kern w:val="2"/>
          <w:sz w:val="32"/>
          <w:szCs w:val="32"/>
          <w:highlight w:val="yellow"/>
          <w:lang w:val="en-US" w:eastAsia="zh-CN" w:bidi="ar-SA"/>
        </w:rPr>
        <w:t>决策、项目执行、目标实现等情况</w:t>
      </w:r>
      <w:r>
        <w:rPr>
          <w:rFonts w:hint="eastAsia" w:ascii="Times New Roman" w:hAnsi="Times New Roman" w:eastAsia="仿宋_GB2312" w:cs="仿宋_GB2312"/>
          <w:color w:val="auto"/>
          <w:kern w:val="2"/>
          <w:sz w:val="32"/>
          <w:szCs w:val="32"/>
          <w:highlight w:val="yellow"/>
          <w:lang w:val="en-US" w:eastAsia="zh-CN" w:bidi="ar-SA"/>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8" w:lineRule="exact"/>
        <w:ind w:firstLine="640" w:firstLineChars="200"/>
        <w:contextualSpacing/>
        <w:jc w:val="both"/>
        <w:textAlignment w:val="auto"/>
        <w:outlineLvl w:val="9"/>
        <w:rPr>
          <w:rFonts w:hint="default" w:ascii="Times New Roman" w:hAnsi="Times New Roman" w:eastAsia="仿宋_GB2312" w:cs="仿宋_GB2312"/>
          <w:color w:val="auto"/>
          <w:kern w:val="2"/>
          <w:sz w:val="32"/>
          <w:szCs w:val="32"/>
          <w:highlight w:val="yellow"/>
          <w:lang w:val="zh-CN" w:eastAsia="zh-CN" w:bidi="ar-SA"/>
        </w:rPr>
      </w:pPr>
      <w:r>
        <w:rPr>
          <w:rFonts w:hint="default" w:ascii="Times New Roman" w:hAnsi="Times New Roman" w:eastAsia="仿宋_GB2312" w:cs="仿宋_GB2312"/>
          <w:color w:val="auto"/>
          <w:kern w:val="2"/>
          <w:sz w:val="32"/>
          <w:szCs w:val="32"/>
          <w:highlight w:val="yellow"/>
          <w:lang w:val="en-US" w:eastAsia="zh-CN" w:bidi="ar-SA"/>
        </w:rPr>
        <w:t>常年项目绩效分析。</w:t>
      </w:r>
      <w:r>
        <w:rPr>
          <w:rFonts w:hint="default" w:ascii="Times New Roman" w:hAnsi="Times New Roman" w:eastAsia="仿宋_GB2312" w:cs="仿宋_GB2312"/>
          <w:color w:val="auto"/>
          <w:kern w:val="2"/>
          <w:sz w:val="32"/>
          <w:szCs w:val="32"/>
          <w:highlight w:val="yellow"/>
          <w:lang w:val="zh-CN" w:eastAsia="zh-CN" w:bidi="ar-SA"/>
        </w:rPr>
        <w:t>该类项目总数</w:t>
      </w:r>
      <w:r>
        <w:rPr>
          <w:rFonts w:hint="eastAsia" w:ascii="Times New Roman" w:hAnsi="Times New Roman" w:eastAsia="仿宋_GB2312" w:cs="仿宋_GB2312"/>
          <w:color w:val="auto"/>
          <w:kern w:val="2"/>
          <w:sz w:val="32"/>
          <w:szCs w:val="32"/>
          <w:highlight w:val="yellow"/>
          <w:lang w:val="en-US" w:eastAsia="zh-CN" w:bidi="ar-SA"/>
        </w:rPr>
        <w:t>***</w:t>
      </w:r>
      <w:r>
        <w:rPr>
          <w:rFonts w:hint="default" w:ascii="Times New Roman" w:hAnsi="Times New Roman" w:eastAsia="仿宋_GB2312" w:cs="仿宋_GB2312"/>
          <w:color w:val="auto"/>
          <w:kern w:val="2"/>
          <w:sz w:val="32"/>
          <w:szCs w:val="32"/>
          <w:highlight w:val="yellow"/>
          <w:lang w:val="zh-CN" w:eastAsia="zh-CN" w:bidi="ar-SA"/>
        </w:rPr>
        <w:t>个，涉及预算总金额</w:t>
      </w:r>
      <w:r>
        <w:rPr>
          <w:rFonts w:hint="eastAsia" w:ascii="Times New Roman" w:hAnsi="Times New Roman" w:eastAsia="仿宋_GB2312" w:cs="仿宋_GB2312"/>
          <w:color w:val="auto"/>
          <w:kern w:val="2"/>
          <w:sz w:val="32"/>
          <w:szCs w:val="32"/>
          <w:highlight w:val="yellow"/>
          <w:lang w:val="en-US" w:eastAsia="zh-CN" w:bidi="ar-SA"/>
        </w:rPr>
        <w:t>***</w:t>
      </w:r>
      <w:r>
        <w:rPr>
          <w:rFonts w:hint="default" w:ascii="Times New Roman" w:hAnsi="Times New Roman" w:eastAsia="仿宋_GB2312" w:cs="仿宋_GB2312"/>
          <w:color w:val="auto"/>
          <w:kern w:val="2"/>
          <w:sz w:val="32"/>
          <w:szCs w:val="32"/>
          <w:highlight w:val="yellow"/>
          <w:lang w:val="zh-CN" w:eastAsia="zh-CN" w:bidi="ar-SA"/>
        </w:rPr>
        <w:t>万元，1</w:t>
      </w:r>
      <w:r>
        <w:rPr>
          <w:rFonts w:hint="eastAsia" w:ascii="Times New Roman" w:hAnsi="Times New Roman" w:eastAsia="仿宋_GB2312" w:cs="仿宋_GB2312"/>
          <w:color w:val="auto"/>
          <w:kern w:val="2"/>
          <w:sz w:val="32"/>
          <w:szCs w:val="32"/>
          <w:highlight w:val="yellow"/>
          <w:lang w:val="zh-CN" w:eastAsia="zh-CN" w:bidi="ar-SA"/>
        </w:rPr>
        <w:t>—</w:t>
      </w:r>
      <w:r>
        <w:rPr>
          <w:rFonts w:hint="default" w:ascii="Times New Roman" w:hAnsi="Times New Roman" w:eastAsia="仿宋_GB2312" w:cs="仿宋_GB2312"/>
          <w:color w:val="auto"/>
          <w:kern w:val="2"/>
          <w:sz w:val="32"/>
          <w:szCs w:val="32"/>
          <w:highlight w:val="yellow"/>
          <w:lang w:val="zh-CN" w:eastAsia="zh-CN" w:bidi="ar-SA"/>
        </w:rPr>
        <w:t>1</w:t>
      </w:r>
      <w:r>
        <w:rPr>
          <w:rFonts w:hint="default" w:ascii="Times New Roman" w:hAnsi="Times New Roman" w:eastAsia="仿宋_GB2312" w:cs="仿宋_GB2312"/>
          <w:color w:val="auto"/>
          <w:kern w:val="2"/>
          <w:sz w:val="32"/>
          <w:szCs w:val="32"/>
          <w:highlight w:val="yellow"/>
          <w:lang w:val="en-US" w:eastAsia="zh-CN" w:bidi="ar-SA"/>
        </w:rPr>
        <w:t>2</w:t>
      </w:r>
      <w:r>
        <w:rPr>
          <w:rFonts w:hint="default" w:ascii="Times New Roman" w:hAnsi="Times New Roman" w:eastAsia="仿宋_GB2312" w:cs="仿宋_GB2312"/>
          <w:color w:val="auto"/>
          <w:kern w:val="2"/>
          <w:sz w:val="32"/>
          <w:szCs w:val="32"/>
          <w:highlight w:val="yellow"/>
          <w:lang w:val="zh-CN" w:eastAsia="zh-CN" w:bidi="ar-SA"/>
        </w:rPr>
        <w:t>月预算执行总体进度为</w:t>
      </w:r>
      <w:r>
        <w:rPr>
          <w:rFonts w:hint="eastAsia" w:ascii="Times New Roman" w:hAnsi="Times New Roman" w:eastAsia="仿宋_GB2312" w:cs="仿宋_GB2312"/>
          <w:color w:val="auto"/>
          <w:kern w:val="2"/>
          <w:sz w:val="32"/>
          <w:szCs w:val="32"/>
          <w:highlight w:val="yellow"/>
          <w:lang w:val="en-US" w:eastAsia="zh-CN" w:bidi="ar-SA"/>
        </w:rPr>
        <w:t>***</w:t>
      </w:r>
      <w:r>
        <w:rPr>
          <w:rFonts w:hint="default" w:ascii="Times New Roman" w:hAnsi="Times New Roman" w:eastAsia="仿宋_GB2312" w:cs="仿宋_GB2312"/>
          <w:color w:val="auto"/>
          <w:kern w:val="2"/>
          <w:sz w:val="32"/>
          <w:szCs w:val="32"/>
          <w:highlight w:val="yellow"/>
          <w:lang w:val="zh-CN" w:eastAsia="zh-CN" w:bidi="ar-SA"/>
        </w:rPr>
        <w:t>%，其中：预算结余率大于</w:t>
      </w:r>
      <w:r>
        <w:rPr>
          <w:rFonts w:hint="default" w:ascii="Times New Roman" w:hAnsi="Times New Roman" w:eastAsia="仿宋_GB2312" w:cs="仿宋_GB2312"/>
          <w:color w:val="auto"/>
          <w:kern w:val="2"/>
          <w:sz w:val="32"/>
          <w:szCs w:val="32"/>
          <w:highlight w:val="yellow"/>
          <w:lang w:val="en-US" w:eastAsia="zh-CN" w:bidi="ar-SA"/>
        </w:rPr>
        <w:t>10%</w:t>
      </w:r>
      <w:r>
        <w:rPr>
          <w:rFonts w:hint="default" w:ascii="Times New Roman" w:hAnsi="Times New Roman" w:eastAsia="仿宋_GB2312" w:cs="仿宋_GB2312"/>
          <w:color w:val="auto"/>
          <w:kern w:val="2"/>
          <w:sz w:val="32"/>
          <w:szCs w:val="32"/>
          <w:highlight w:val="yellow"/>
          <w:lang w:val="zh-CN" w:eastAsia="zh-CN" w:bidi="ar-SA"/>
        </w:rPr>
        <w:t>的项目共计</w:t>
      </w:r>
      <w:r>
        <w:rPr>
          <w:rFonts w:hint="eastAsia" w:ascii="Times New Roman" w:hAnsi="Times New Roman" w:eastAsia="仿宋_GB2312" w:cs="仿宋_GB2312"/>
          <w:color w:val="auto"/>
          <w:kern w:val="2"/>
          <w:sz w:val="32"/>
          <w:szCs w:val="32"/>
          <w:highlight w:val="yellow"/>
          <w:lang w:val="en-US" w:eastAsia="zh-CN" w:bidi="ar-SA"/>
        </w:rPr>
        <w:t>***</w:t>
      </w:r>
      <w:r>
        <w:rPr>
          <w:rFonts w:hint="default" w:ascii="Times New Roman" w:hAnsi="Times New Roman" w:eastAsia="仿宋_GB2312" w:cs="仿宋_GB2312"/>
          <w:color w:val="auto"/>
          <w:kern w:val="2"/>
          <w:sz w:val="32"/>
          <w:szCs w:val="32"/>
          <w:highlight w:val="yellow"/>
          <w:lang w:val="zh-CN" w:eastAsia="zh-CN" w:bidi="ar-SA"/>
        </w:rPr>
        <w:t>个。</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8" w:lineRule="exact"/>
        <w:ind w:firstLine="640" w:firstLineChars="200"/>
        <w:contextualSpacing/>
        <w:jc w:val="both"/>
        <w:textAlignment w:val="auto"/>
        <w:outlineLvl w:val="9"/>
        <w:rPr>
          <w:rFonts w:hint="default" w:ascii="Times New Roman" w:hAnsi="Times New Roman" w:eastAsia="仿宋_GB2312" w:cs="仿宋_GB2312"/>
          <w:color w:val="auto"/>
          <w:kern w:val="2"/>
          <w:sz w:val="32"/>
          <w:szCs w:val="32"/>
          <w:highlight w:val="yellow"/>
          <w:lang w:val="zh-CN" w:eastAsia="zh-CN" w:bidi="ar-SA"/>
        </w:rPr>
      </w:pPr>
      <w:r>
        <w:rPr>
          <w:rFonts w:hint="default" w:ascii="Times New Roman" w:hAnsi="Times New Roman" w:eastAsia="仿宋_GB2312" w:cs="仿宋_GB2312"/>
          <w:color w:val="auto"/>
          <w:kern w:val="2"/>
          <w:sz w:val="32"/>
          <w:szCs w:val="32"/>
          <w:highlight w:val="yellow"/>
          <w:lang w:val="en-US" w:eastAsia="zh-CN" w:bidi="ar-SA"/>
        </w:rPr>
        <w:t>阶段</w:t>
      </w:r>
      <w:r>
        <w:rPr>
          <w:rFonts w:hint="eastAsia" w:ascii="Times New Roman" w:hAnsi="Times New Roman" w:eastAsia="仿宋_GB2312" w:cs="仿宋_GB2312"/>
          <w:color w:val="auto"/>
          <w:kern w:val="2"/>
          <w:sz w:val="32"/>
          <w:szCs w:val="32"/>
          <w:highlight w:val="yellow"/>
          <w:lang w:val="en-US" w:eastAsia="zh-CN" w:bidi="ar-SA"/>
        </w:rPr>
        <w:t>（</w:t>
      </w:r>
      <w:r>
        <w:rPr>
          <w:rFonts w:hint="default" w:ascii="Times New Roman" w:hAnsi="Times New Roman" w:eastAsia="仿宋_GB2312" w:cs="仿宋_GB2312"/>
          <w:color w:val="auto"/>
          <w:kern w:val="2"/>
          <w:sz w:val="32"/>
          <w:szCs w:val="32"/>
          <w:highlight w:val="yellow"/>
          <w:lang w:val="en-US" w:eastAsia="zh-CN" w:bidi="ar-SA"/>
        </w:rPr>
        <w:t>一次性</w:t>
      </w:r>
      <w:r>
        <w:rPr>
          <w:rFonts w:hint="eastAsia" w:ascii="Times New Roman" w:hAnsi="Times New Roman" w:eastAsia="仿宋_GB2312" w:cs="仿宋_GB2312"/>
          <w:color w:val="auto"/>
          <w:kern w:val="2"/>
          <w:sz w:val="32"/>
          <w:szCs w:val="32"/>
          <w:highlight w:val="yellow"/>
          <w:lang w:val="en-US" w:eastAsia="zh-CN" w:bidi="ar-SA"/>
        </w:rPr>
        <w:t>）</w:t>
      </w:r>
      <w:r>
        <w:rPr>
          <w:rFonts w:hint="default" w:ascii="Times New Roman" w:hAnsi="Times New Roman" w:eastAsia="仿宋_GB2312" w:cs="仿宋_GB2312"/>
          <w:color w:val="auto"/>
          <w:kern w:val="2"/>
          <w:sz w:val="32"/>
          <w:szCs w:val="32"/>
          <w:highlight w:val="yellow"/>
          <w:lang w:val="en-US" w:eastAsia="zh-CN" w:bidi="ar-SA"/>
        </w:rPr>
        <w:t>项目绩效分析。</w:t>
      </w:r>
      <w:r>
        <w:rPr>
          <w:rFonts w:hint="default" w:ascii="Times New Roman" w:hAnsi="Times New Roman" w:eastAsia="仿宋_GB2312" w:cs="仿宋_GB2312"/>
          <w:color w:val="auto"/>
          <w:kern w:val="2"/>
          <w:sz w:val="32"/>
          <w:szCs w:val="32"/>
          <w:highlight w:val="yellow"/>
          <w:lang w:val="zh-CN" w:eastAsia="zh-CN" w:bidi="ar-SA"/>
        </w:rPr>
        <w:t>该类项目总数</w:t>
      </w:r>
      <w:r>
        <w:rPr>
          <w:rFonts w:hint="eastAsia" w:ascii="Times New Roman" w:hAnsi="Times New Roman" w:eastAsia="仿宋_GB2312" w:cs="仿宋_GB2312"/>
          <w:color w:val="auto"/>
          <w:kern w:val="2"/>
          <w:sz w:val="32"/>
          <w:szCs w:val="32"/>
          <w:highlight w:val="yellow"/>
          <w:lang w:val="en-US" w:eastAsia="zh-CN" w:bidi="ar-SA"/>
        </w:rPr>
        <w:t>***</w:t>
      </w:r>
      <w:r>
        <w:rPr>
          <w:rFonts w:hint="default" w:ascii="Times New Roman" w:hAnsi="Times New Roman" w:eastAsia="仿宋_GB2312" w:cs="仿宋_GB2312"/>
          <w:color w:val="auto"/>
          <w:kern w:val="2"/>
          <w:sz w:val="32"/>
          <w:szCs w:val="32"/>
          <w:highlight w:val="yellow"/>
          <w:lang w:val="zh-CN" w:eastAsia="zh-CN" w:bidi="ar-SA"/>
        </w:rPr>
        <w:t>个，涉及预算总金额</w:t>
      </w:r>
      <w:r>
        <w:rPr>
          <w:rFonts w:hint="eastAsia" w:ascii="Times New Roman" w:hAnsi="Times New Roman" w:eastAsia="仿宋_GB2312" w:cs="仿宋_GB2312"/>
          <w:color w:val="auto"/>
          <w:kern w:val="2"/>
          <w:sz w:val="32"/>
          <w:szCs w:val="32"/>
          <w:highlight w:val="yellow"/>
          <w:lang w:val="en-US" w:eastAsia="zh-CN" w:bidi="ar-SA"/>
        </w:rPr>
        <w:t>***</w:t>
      </w:r>
      <w:r>
        <w:rPr>
          <w:rFonts w:hint="default" w:ascii="Times New Roman" w:hAnsi="Times New Roman" w:eastAsia="仿宋_GB2312" w:cs="仿宋_GB2312"/>
          <w:color w:val="auto"/>
          <w:kern w:val="2"/>
          <w:sz w:val="32"/>
          <w:szCs w:val="32"/>
          <w:highlight w:val="yellow"/>
          <w:lang w:val="zh-CN" w:eastAsia="zh-CN" w:bidi="ar-SA"/>
        </w:rPr>
        <w:t>万元，1</w:t>
      </w:r>
      <w:r>
        <w:rPr>
          <w:rFonts w:hint="eastAsia" w:ascii="Times New Roman" w:hAnsi="Times New Roman" w:eastAsia="仿宋_GB2312" w:cs="仿宋_GB2312"/>
          <w:color w:val="auto"/>
          <w:kern w:val="2"/>
          <w:sz w:val="32"/>
          <w:szCs w:val="32"/>
          <w:highlight w:val="yellow"/>
          <w:lang w:val="zh-CN" w:eastAsia="zh-CN" w:bidi="ar-SA"/>
        </w:rPr>
        <w:t>—</w:t>
      </w:r>
      <w:r>
        <w:rPr>
          <w:rFonts w:hint="default" w:ascii="Times New Roman" w:hAnsi="Times New Roman" w:eastAsia="仿宋_GB2312" w:cs="仿宋_GB2312"/>
          <w:color w:val="auto"/>
          <w:kern w:val="2"/>
          <w:sz w:val="32"/>
          <w:szCs w:val="32"/>
          <w:highlight w:val="yellow"/>
          <w:lang w:val="zh-CN" w:eastAsia="zh-CN" w:bidi="ar-SA"/>
        </w:rPr>
        <w:t>1</w:t>
      </w:r>
      <w:r>
        <w:rPr>
          <w:rFonts w:hint="default" w:ascii="Times New Roman" w:hAnsi="Times New Roman" w:eastAsia="仿宋_GB2312" w:cs="仿宋_GB2312"/>
          <w:color w:val="auto"/>
          <w:kern w:val="2"/>
          <w:sz w:val="32"/>
          <w:szCs w:val="32"/>
          <w:highlight w:val="yellow"/>
          <w:lang w:val="en-US" w:eastAsia="zh-CN" w:bidi="ar-SA"/>
        </w:rPr>
        <w:t>2</w:t>
      </w:r>
      <w:r>
        <w:rPr>
          <w:rFonts w:hint="default" w:ascii="Times New Roman" w:hAnsi="Times New Roman" w:eastAsia="仿宋_GB2312" w:cs="仿宋_GB2312"/>
          <w:color w:val="auto"/>
          <w:kern w:val="2"/>
          <w:sz w:val="32"/>
          <w:szCs w:val="32"/>
          <w:highlight w:val="yellow"/>
          <w:lang w:val="zh-CN" w:eastAsia="zh-CN" w:bidi="ar-SA"/>
        </w:rPr>
        <w:t>月预算执行总体进度为</w:t>
      </w:r>
      <w:r>
        <w:rPr>
          <w:rFonts w:hint="eastAsia" w:ascii="Times New Roman" w:hAnsi="Times New Roman" w:eastAsia="仿宋_GB2312" w:cs="仿宋_GB2312"/>
          <w:color w:val="auto"/>
          <w:kern w:val="2"/>
          <w:sz w:val="32"/>
          <w:szCs w:val="32"/>
          <w:highlight w:val="yellow"/>
          <w:lang w:val="en-US" w:eastAsia="zh-CN" w:bidi="ar-SA"/>
        </w:rPr>
        <w:t>***</w:t>
      </w:r>
      <w:r>
        <w:rPr>
          <w:rFonts w:hint="default" w:ascii="Times New Roman" w:hAnsi="Times New Roman" w:eastAsia="仿宋_GB2312" w:cs="仿宋_GB2312"/>
          <w:color w:val="auto"/>
          <w:kern w:val="2"/>
          <w:sz w:val="32"/>
          <w:szCs w:val="32"/>
          <w:highlight w:val="yellow"/>
          <w:lang w:val="zh-CN" w:eastAsia="zh-CN" w:bidi="ar-SA"/>
        </w:rPr>
        <w:t>%，其中：预算结余率大于</w:t>
      </w:r>
      <w:r>
        <w:rPr>
          <w:rFonts w:hint="default" w:ascii="Times New Roman" w:hAnsi="Times New Roman" w:eastAsia="仿宋_GB2312" w:cs="仿宋_GB2312"/>
          <w:color w:val="auto"/>
          <w:kern w:val="2"/>
          <w:sz w:val="32"/>
          <w:szCs w:val="32"/>
          <w:highlight w:val="yellow"/>
          <w:lang w:val="en-US" w:eastAsia="zh-CN" w:bidi="ar-SA"/>
        </w:rPr>
        <w:t>10%</w:t>
      </w:r>
      <w:r>
        <w:rPr>
          <w:rFonts w:hint="default" w:ascii="Times New Roman" w:hAnsi="Times New Roman" w:eastAsia="仿宋_GB2312" w:cs="仿宋_GB2312"/>
          <w:color w:val="auto"/>
          <w:kern w:val="2"/>
          <w:sz w:val="32"/>
          <w:szCs w:val="32"/>
          <w:highlight w:val="yellow"/>
          <w:lang w:val="zh-CN" w:eastAsia="zh-CN" w:bidi="ar-SA"/>
        </w:rPr>
        <w:t>的项目共计</w:t>
      </w:r>
      <w:r>
        <w:rPr>
          <w:rFonts w:hint="eastAsia" w:ascii="Times New Roman" w:hAnsi="Times New Roman" w:eastAsia="仿宋_GB2312" w:cs="仿宋_GB2312"/>
          <w:color w:val="auto"/>
          <w:kern w:val="2"/>
          <w:sz w:val="32"/>
          <w:szCs w:val="32"/>
          <w:highlight w:val="yellow"/>
          <w:lang w:val="en-US" w:eastAsia="zh-CN" w:bidi="ar-SA"/>
        </w:rPr>
        <w:t>***</w:t>
      </w:r>
      <w:r>
        <w:rPr>
          <w:rFonts w:hint="default" w:ascii="Times New Roman" w:hAnsi="Times New Roman" w:eastAsia="仿宋_GB2312" w:cs="仿宋_GB2312"/>
          <w:color w:val="auto"/>
          <w:kern w:val="2"/>
          <w:sz w:val="32"/>
          <w:szCs w:val="32"/>
          <w:highlight w:val="yellow"/>
          <w:lang w:val="zh-CN" w:eastAsia="zh-CN" w:bidi="ar-SA"/>
        </w:rPr>
        <w:t>个。</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8" w:lineRule="exact"/>
        <w:ind w:firstLine="640" w:firstLineChars="200"/>
        <w:contextualSpacing/>
        <w:jc w:val="both"/>
        <w:textAlignment w:val="auto"/>
        <w:outlineLvl w:val="9"/>
        <w:rPr>
          <w:rFonts w:hint="eastAsia" w:ascii="Times New Roman" w:hAnsi="Times New Roman" w:eastAsia="仿宋_GB2312" w:cs="仿宋_GB2312"/>
          <w:color w:val="auto"/>
          <w:kern w:val="2"/>
          <w:sz w:val="32"/>
          <w:szCs w:val="32"/>
          <w:highlight w:val="yellow"/>
          <w:lang w:val="zh-CN" w:eastAsia="zh-CN" w:bidi="ar-SA"/>
        </w:rPr>
      </w:pPr>
      <w:r>
        <w:rPr>
          <w:rFonts w:hint="eastAsia" w:ascii="Times New Roman" w:hAnsi="Times New Roman" w:eastAsia="仿宋_GB2312" w:cs="仿宋_GB2312"/>
          <w:color w:val="auto"/>
          <w:kern w:val="2"/>
          <w:sz w:val="32"/>
          <w:szCs w:val="32"/>
          <w:highlight w:val="yellow"/>
          <w:lang w:val="en-US" w:eastAsia="zh-CN" w:bidi="ar-SA"/>
        </w:rPr>
        <w:t>1.</w:t>
      </w:r>
      <w:r>
        <w:rPr>
          <w:rFonts w:hint="eastAsia" w:ascii="Times New Roman" w:hAnsi="Times New Roman" w:eastAsia="仿宋_GB2312" w:cs="仿宋_GB2312"/>
          <w:color w:val="auto"/>
          <w:kern w:val="2"/>
          <w:sz w:val="32"/>
          <w:szCs w:val="32"/>
          <w:highlight w:val="yellow"/>
          <w:lang w:val="zh-CN" w:eastAsia="zh-CN" w:bidi="ar-SA"/>
        </w:rPr>
        <w:t>项目决策。围绕决策程序、目标设置、项目入库</w:t>
      </w:r>
      <w:r>
        <w:rPr>
          <w:rFonts w:hint="default" w:ascii="Times New Roman" w:hAnsi="Times New Roman" w:eastAsia="仿宋_GB2312" w:cs="仿宋_GB2312"/>
          <w:color w:val="auto"/>
          <w:kern w:val="2"/>
          <w:sz w:val="32"/>
          <w:szCs w:val="32"/>
          <w:highlight w:val="yellow"/>
          <w:lang w:val="zh-CN" w:eastAsia="zh-CN" w:bidi="ar-SA"/>
        </w:rPr>
        <w:t>进行绩效分析</w:t>
      </w:r>
      <w:r>
        <w:rPr>
          <w:rFonts w:hint="eastAsia" w:ascii="Times New Roman" w:hAnsi="Times New Roman" w:eastAsia="仿宋_GB2312" w:cs="仿宋_GB2312"/>
          <w:color w:val="auto"/>
          <w:kern w:val="2"/>
          <w:sz w:val="32"/>
          <w:szCs w:val="32"/>
          <w:highlight w:val="yellow"/>
          <w:lang w:val="zh-CN" w:eastAsia="zh-CN" w:bidi="ar-SA"/>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8" w:lineRule="exact"/>
        <w:ind w:firstLine="640" w:firstLineChars="200"/>
        <w:contextualSpacing/>
        <w:jc w:val="both"/>
        <w:textAlignment w:val="auto"/>
        <w:outlineLvl w:val="9"/>
        <w:rPr>
          <w:rFonts w:hint="eastAsia" w:ascii="Times New Roman" w:hAnsi="Times New Roman" w:eastAsia="仿宋_GB2312" w:cs="仿宋_GB2312"/>
          <w:color w:val="auto"/>
          <w:kern w:val="2"/>
          <w:sz w:val="32"/>
          <w:szCs w:val="32"/>
          <w:highlight w:val="yellow"/>
          <w:lang w:val="zh-CN" w:eastAsia="zh-CN" w:bidi="ar-SA"/>
        </w:rPr>
      </w:pPr>
      <w:r>
        <w:rPr>
          <w:rFonts w:hint="eastAsia" w:ascii="Times New Roman" w:hAnsi="Times New Roman" w:eastAsia="仿宋_GB2312" w:cs="仿宋_GB2312"/>
          <w:color w:val="auto"/>
          <w:kern w:val="2"/>
          <w:sz w:val="32"/>
          <w:szCs w:val="32"/>
          <w:highlight w:val="yellow"/>
          <w:lang w:val="en-US" w:eastAsia="zh-CN" w:bidi="ar-SA"/>
        </w:rPr>
        <w:t>2.项目执行</w:t>
      </w:r>
      <w:r>
        <w:rPr>
          <w:rFonts w:hint="eastAsia" w:ascii="Times New Roman" w:hAnsi="Times New Roman" w:eastAsia="仿宋_GB2312" w:cs="仿宋_GB2312"/>
          <w:color w:val="auto"/>
          <w:kern w:val="2"/>
          <w:sz w:val="32"/>
          <w:szCs w:val="32"/>
          <w:highlight w:val="yellow"/>
          <w:lang w:val="zh-CN" w:eastAsia="zh-CN" w:bidi="ar-SA"/>
        </w:rPr>
        <w:t>。围绕资金执行同向、项目调整、执行结果</w:t>
      </w:r>
      <w:r>
        <w:rPr>
          <w:rFonts w:hint="default" w:ascii="Times New Roman" w:hAnsi="Times New Roman" w:eastAsia="仿宋_GB2312" w:cs="仿宋_GB2312"/>
          <w:color w:val="auto"/>
          <w:kern w:val="2"/>
          <w:sz w:val="32"/>
          <w:szCs w:val="32"/>
          <w:highlight w:val="yellow"/>
          <w:lang w:val="zh-CN" w:eastAsia="zh-CN" w:bidi="ar-SA"/>
        </w:rPr>
        <w:t>进行绩效分析</w:t>
      </w:r>
      <w:r>
        <w:rPr>
          <w:rFonts w:hint="eastAsia" w:ascii="Times New Roman" w:hAnsi="Times New Roman" w:eastAsia="仿宋_GB2312" w:cs="仿宋_GB2312"/>
          <w:color w:val="auto"/>
          <w:kern w:val="2"/>
          <w:sz w:val="32"/>
          <w:szCs w:val="32"/>
          <w:highlight w:val="yellow"/>
          <w:lang w:val="zh-CN" w:eastAsia="zh-CN" w:bidi="ar-SA"/>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8" w:lineRule="exact"/>
        <w:ind w:firstLine="640" w:firstLineChars="200"/>
        <w:contextualSpacing/>
        <w:jc w:val="both"/>
        <w:textAlignment w:val="auto"/>
        <w:outlineLvl w:val="9"/>
        <w:rPr>
          <w:rFonts w:hint="eastAsia" w:ascii="Times New Roman" w:hAnsi="Times New Roman" w:eastAsia="仿宋_GB2312" w:cs="仿宋_GB2312"/>
          <w:color w:val="auto"/>
          <w:kern w:val="2"/>
          <w:sz w:val="32"/>
          <w:szCs w:val="32"/>
          <w:highlight w:val="yellow"/>
          <w:lang w:val="zh-CN" w:eastAsia="zh-CN" w:bidi="ar-SA"/>
        </w:rPr>
      </w:pPr>
      <w:r>
        <w:rPr>
          <w:rFonts w:hint="eastAsia" w:ascii="Times New Roman" w:hAnsi="Times New Roman" w:eastAsia="仿宋_GB2312" w:cs="仿宋_GB2312"/>
          <w:color w:val="auto"/>
          <w:kern w:val="2"/>
          <w:sz w:val="32"/>
          <w:szCs w:val="32"/>
          <w:highlight w:val="yellow"/>
          <w:lang w:val="en-US" w:eastAsia="zh-CN" w:bidi="ar-SA"/>
        </w:rPr>
        <w:t>3.</w:t>
      </w:r>
      <w:r>
        <w:rPr>
          <w:rFonts w:hint="eastAsia" w:ascii="Times New Roman" w:hAnsi="Times New Roman" w:eastAsia="仿宋_GB2312" w:cs="仿宋_GB2312"/>
          <w:color w:val="auto"/>
          <w:kern w:val="2"/>
          <w:sz w:val="32"/>
          <w:szCs w:val="32"/>
          <w:highlight w:val="yellow"/>
          <w:lang w:val="zh-CN" w:eastAsia="zh-CN" w:bidi="ar-SA"/>
        </w:rPr>
        <w:t>目标实现。围绕目标完成、目标偏离、实现效果</w:t>
      </w:r>
      <w:r>
        <w:rPr>
          <w:rFonts w:hint="default" w:ascii="Times New Roman" w:hAnsi="Times New Roman" w:eastAsia="仿宋_GB2312" w:cs="仿宋_GB2312"/>
          <w:color w:val="auto"/>
          <w:kern w:val="2"/>
          <w:sz w:val="32"/>
          <w:szCs w:val="32"/>
          <w:highlight w:val="yellow"/>
          <w:lang w:val="zh-CN" w:eastAsia="zh-CN" w:bidi="ar-SA"/>
        </w:rPr>
        <w:t>进行绩效分析</w:t>
      </w:r>
      <w:r>
        <w:rPr>
          <w:rFonts w:hint="eastAsia" w:ascii="Times New Roman" w:hAnsi="Times New Roman" w:eastAsia="仿宋_GB2312" w:cs="仿宋_GB2312"/>
          <w:color w:val="auto"/>
          <w:kern w:val="2"/>
          <w:sz w:val="32"/>
          <w:szCs w:val="32"/>
          <w:highlight w:val="yellow"/>
          <w:lang w:val="zh-CN" w:eastAsia="zh-CN" w:bidi="ar-SA"/>
        </w:rPr>
        <w:t>。</w:t>
      </w:r>
    </w:p>
    <w:p>
      <w:pPr>
        <w:keepNext w:val="0"/>
        <w:keepLines w:val="0"/>
        <w:pageBreakBefore w:val="0"/>
        <w:widowControl w:val="0"/>
        <w:kinsoku/>
        <w:wordWrap/>
        <w:overflowPunct/>
        <w:topLinePunct w:val="0"/>
        <w:autoSpaceDE/>
        <w:autoSpaceDN/>
        <w:bidi w:val="0"/>
        <w:snapToGrid w:val="0"/>
        <w:spacing w:line="600" w:lineRule="exact"/>
        <w:ind w:firstLine="640" w:firstLineChars="200"/>
        <w:textAlignment w:val="auto"/>
        <w:rPr>
          <w:rFonts w:hint="eastAsia" w:ascii="Times New Roman" w:hAnsi="Times New Roman" w:eastAsia="仿宋_GB2312" w:cs="Times New Roman"/>
          <w:sz w:val="32"/>
          <w:szCs w:val="32"/>
          <w:highlight w:val="yellow"/>
          <w:lang w:val="en-US" w:eastAsia="zh-CN"/>
        </w:rPr>
      </w:pPr>
      <w:r>
        <w:rPr>
          <w:rFonts w:hint="default" w:ascii="Times New Roman" w:hAnsi="Times New Roman" w:eastAsia="仿宋_GB2312" w:cs="Times New Roman"/>
          <w:sz w:val="32"/>
          <w:szCs w:val="32"/>
          <w:highlight w:val="yellow"/>
          <w:lang w:val="en-US" w:eastAsia="zh-CN"/>
        </w:rPr>
        <w:t>省级部门对2024年度一般公共预算、政府性基金预算、国有资本经营预算安排的常年项目、阶段项目绩效目标完成情况，以及债券资金、政府购买服务有关情况进行梳理阐述</w:t>
      </w:r>
      <w:r>
        <w:rPr>
          <w:rFonts w:hint="eastAsia" w:ascii="Times New Roman" w:hAnsi="Times New Roman" w:eastAsia="仿宋_GB2312" w:cs="Times New Roman"/>
          <w:sz w:val="32"/>
          <w:szCs w:val="32"/>
          <w:highlight w:val="yellow"/>
          <w:lang w:val="en-US" w:eastAsia="zh-CN"/>
        </w:rPr>
        <w:t>。</w:t>
      </w:r>
    </w:p>
    <w:p>
      <w:pPr>
        <w:keepNext w:val="0"/>
        <w:keepLines w:val="0"/>
        <w:pageBreakBefore w:val="0"/>
        <w:widowControl w:val="0"/>
        <w:kinsoku/>
        <w:wordWrap/>
        <w:overflowPunct/>
        <w:topLinePunct w:val="0"/>
        <w:autoSpaceDE/>
        <w:autoSpaceDN/>
        <w:bidi w:val="0"/>
        <w:snapToGrid w:val="0"/>
        <w:spacing w:line="600" w:lineRule="exact"/>
        <w:ind w:firstLine="643" w:firstLineChars="200"/>
        <w:textAlignment w:val="auto"/>
        <w:rPr>
          <w:rFonts w:hint="default" w:ascii="Times New Roman" w:hAnsi="Times New Roman" w:eastAsia="仿宋_GB2312" w:cs="Times New Roman"/>
          <w:sz w:val="32"/>
          <w:szCs w:val="32"/>
          <w:highlight w:val="yellow"/>
          <w:u w:val="none"/>
          <w:lang w:bidi="ar"/>
        </w:rPr>
      </w:pPr>
      <w:r>
        <w:rPr>
          <w:rFonts w:hint="default" w:ascii="Times New Roman" w:hAnsi="Times New Roman" w:eastAsia="楷体_GB2312" w:cs="Times New Roman"/>
          <w:b/>
          <w:bCs/>
          <w:color w:val="000000"/>
          <w:kern w:val="0"/>
          <w:sz w:val="32"/>
          <w:szCs w:val="32"/>
          <w:highlight w:val="yellow"/>
          <w:shd w:val="clear" w:color="auto" w:fill="FFFFFF"/>
          <w:lang w:val="zh-CN" w:eastAsia="zh-CN"/>
        </w:rPr>
        <w:t>（</w:t>
      </w:r>
      <w:r>
        <w:rPr>
          <w:rFonts w:hint="eastAsia" w:eastAsia="楷体_GB2312" w:cs="Times New Roman"/>
          <w:b/>
          <w:bCs/>
          <w:color w:val="000000"/>
          <w:kern w:val="0"/>
          <w:sz w:val="32"/>
          <w:szCs w:val="32"/>
          <w:highlight w:val="yellow"/>
          <w:shd w:val="clear" w:color="auto" w:fill="FFFFFF"/>
          <w:lang w:val="en-US" w:eastAsia="zh-CN"/>
        </w:rPr>
        <w:t>三</w:t>
      </w:r>
      <w:r>
        <w:rPr>
          <w:rFonts w:hint="default" w:ascii="Times New Roman" w:hAnsi="Times New Roman" w:eastAsia="楷体_GB2312" w:cs="Times New Roman"/>
          <w:b/>
          <w:bCs/>
          <w:color w:val="000000"/>
          <w:kern w:val="0"/>
          <w:sz w:val="32"/>
          <w:szCs w:val="32"/>
          <w:highlight w:val="yellow"/>
          <w:shd w:val="clear" w:color="auto" w:fill="FFFFFF"/>
          <w:lang w:val="zh-CN" w:eastAsia="zh-CN"/>
        </w:rPr>
        <w:t>）绩效结果应用情况</w:t>
      </w:r>
      <w:r>
        <w:rPr>
          <w:rFonts w:hint="eastAsia" w:ascii="Times New Roman" w:hAnsi="Times New Roman" w:eastAsia="楷体_GB2312" w:cs="Times New Roman"/>
          <w:b/>
          <w:bCs/>
          <w:color w:val="000000"/>
          <w:kern w:val="0"/>
          <w:sz w:val="32"/>
          <w:szCs w:val="32"/>
          <w:highlight w:val="yellow"/>
          <w:shd w:val="clear" w:color="auto" w:fill="FFFFFF"/>
          <w:lang w:val="zh-CN" w:eastAsia="zh-CN"/>
        </w:rPr>
        <w:t>。</w:t>
      </w:r>
      <w:r>
        <w:rPr>
          <w:rFonts w:hint="eastAsia" w:ascii="Times New Roman" w:hAnsi="Times New Roman" w:eastAsia="仿宋_GB2312" w:cs="Times New Roman"/>
          <w:sz w:val="32"/>
          <w:szCs w:val="32"/>
          <w:highlight w:val="yellow"/>
          <w:u w:val="none"/>
          <w:lang w:val="zh-CN" w:eastAsia="zh-CN" w:bidi="ar"/>
        </w:rPr>
        <w:t>围绕内部应用情况、</w:t>
      </w:r>
      <w:r>
        <w:rPr>
          <w:rFonts w:hint="default" w:ascii="Times New Roman" w:hAnsi="Times New Roman" w:eastAsia="仿宋_GB2312" w:cs="Times New Roman"/>
          <w:sz w:val="32"/>
          <w:szCs w:val="32"/>
          <w:highlight w:val="yellow"/>
          <w:u w:val="none"/>
          <w:lang w:val="zh-CN" w:eastAsia="zh-CN" w:bidi="ar"/>
        </w:rPr>
        <w:t>信息公开情况</w:t>
      </w:r>
      <w:r>
        <w:rPr>
          <w:rFonts w:hint="eastAsia" w:ascii="Times New Roman" w:hAnsi="Times New Roman" w:eastAsia="仿宋_GB2312" w:cs="Times New Roman"/>
          <w:sz w:val="32"/>
          <w:szCs w:val="32"/>
          <w:highlight w:val="yellow"/>
          <w:u w:val="none"/>
          <w:lang w:val="zh-CN" w:eastAsia="zh-CN" w:bidi="ar"/>
        </w:rPr>
        <w:t>、</w:t>
      </w:r>
      <w:r>
        <w:rPr>
          <w:rFonts w:hint="default" w:ascii="Times New Roman" w:hAnsi="Times New Roman" w:eastAsia="仿宋_GB2312" w:cs="Times New Roman"/>
          <w:sz w:val="32"/>
          <w:szCs w:val="32"/>
          <w:highlight w:val="yellow"/>
          <w:u w:val="none"/>
          <w:lang w:val="zh-CN" w:eastAsia="zh-CN" w:bidi="ar"/>
        </w:rPr>
        <w:t>整改反馈情况</w:t>
      </w:r>
      <w:r>
        <w:rPr>
          <w:rFonts w:hint="eastAsia" w:ascii="Times New Roman" w:hAnsi="Times New Roman" w:eastAsia="仿宋_GB2312" w:cs="Times New Roman"/>
          <w:sz w:val="32"/>
          <w:szCs w:val="32"/>
          <w:highlight w:val="yellow"/>
          <w:u w:val="none"/>
          <w:lang w:val="zh-CN" w:eastAsia="zh-CN" w:bidi="ar"/>
        </w:rPr>
        <w:t>进行分析。</w:t>
      </w:r>
    </w:p>
    <w:p>
      <w:pPr>
        <w:keepNext w:val="0"/>
        <w:keepLines w:val="0"/>
        <w:pageBreakBefore w:val="0"/>
        <w:widowControl/>
        <w:numPr>
          <w:ilvl w:val="0"/>
          <w:numId w:val="0"/>
        </w:numPr>
        <w:kinsoku/>
        <w:wordWrap/>
        <w:overflowPunct/>
        <w:topLinePunct w:val="0"/>
        <w:autoSpaceDE/>
        <w:autoSpaceDN/>
        <w:bidi w:val="0"/>
        <w:adjustRightInd w:val="0"/>
        <w:snapToGrid w:val="0"/>
        <w:spacing w:line="578" w:lineRule="exact"/>
        <w:ind w:firstLine="640" w:firstLineChars="200"/>
        <w:contextualSpacing/>
        <w:jc w:val="left"/>
        <w:textAlignment w:val="auto"/>
        <w:outlineLvl w:val="9"/>
        <w:rPr>
          <w:rFonts w:hint="default" w:ascii="Times New Roman" w:hAnsi="Times New Roman" w:eastAsia="黑体" w:cs="Times New Roman"/>
          <w:color w:val="000000"/>
          <w:kern w:val="0"/>
          <w:sz w:val="32"/>
          <w:szCs w:val="32"/>
          <w:highlight w:val="yellow"/>
          <w:shd w:val="clear" w:color="auto" w:fill="FFFFFF"/>
          <w:lang w:val="zh-CN"/>
        </w:rPr>
      </w:pPr>
      <w:r>
        <w:rPr>
          <w:rFonts w:hint="default" w:ascii="Times New Roman" w:hAnsi="Times New Roman" w:eastAsia="黑体" w:cs="Times New Roman"/>
          <w:color w:val="000000"/>
          <w:kern w:val="0"/>
          <w:sz w:val="32"/>
          <w:szCs w:val="32"/>
          <w:highlight w:val="yellow"/>
          <w:shd w:val="clear" w:color="auto" w:fill="FFFFFF"/>
          <w:lang w:val="zh-CN" w:eastAsia="zh-CN"/>
        </w:rPr>
        <w:t>四、</w:t>
      </w:r>
      <w:r>
        <w:rPr>
          <w:rFonts w:hint="default" w:ascii="Times New Roman" w:hAnsi="Times New Roman" w:eastAsia="黑体" w:cs="Times New Roman"/>
          <w:color w:val="000000"/>
          <w:kern w:val="0"/>
          <w:sz w:val="32"/>
          <w:szCs w:val="32"/>
          <w:highlight w:val="yellow"/>
          <w:shd w:val="clear" w:color="auto" w:fill="FFFFFF"/>
          <w:lang w:val="zh-CN"/>
        </w:rPr>
        <w:t>评价结论及建议</w:t>
      </w:r>
    </w:p>
    <w:p>
      <w:pPr>
        <w:keepNext w:val="0"/>
        <w:keepLines w:val="0"/>
        <w:pageBreakBefore w:val="0"/>
        <w:widowControl/>
        <w:kinsoku/>
        <w:wordWrap/>
        <w:overflowPunct/>
        <w:topLinePunct w:val="0"/>
        <w:autoSpaceDE/>
        <w:autoSpaceDN/>
        <w:bidi w:val="0"/>
        <w:adjustRightInd w:val="0"/>
        <w:snapToGrid w:val="0"/>
        <w:spacing w:line="578" w:lineRule="exact"/>
        <w:ind w:firstLine="643" w:firstLineChars="200"/>
        <w:contextualSpacing/>
        <w:jc w:val="left"/>
        <w:textAlignment w:val="auto"/>
        <w:outlineLvl w:val="9"/>
        <w:rPr>
          <w:rFonts w:hint="default" w:ascii="Times New Roman" w:hAnsi="Times New Roman" w:eastAsia="仿宋_GB2312" w:cs="Times New Roman"/>
          <w:sz w:val="32"/>
          <w:szCs w:val="32"/>
          <w:highlight w:val="yellow"/>
          <w:u w:val="none"/>
          <w:lang w:val="en-US" w:eastAsia="zh-CN" w:bidi="ar"/>
        </w:rPr>
      </w:pPr>
      <w:r>
        <w:rPr>
          <w:rFonts w:hint="default" w:ascii="Times New Roman" w:hAnsi="Times New Roman" w:eastAsia="楷体_GB2312" w:cs="Times New Roman"/>
          <w:b/>
          <w:bCs/>
          <w:color w:val="000000"/>
          <w:kern w:val="0"/>
          <w:sz w:val="32"/>
          <w:szCs w:val="32"/>
          <w:highlight w:val="yellow"/>
          <w:shd w:val="clear" w:color="auto" w:fill="FFFFFF"/>
          <w:lang w:val="zh-CN"/>
        </w:rPr>
        <w:t>（一）评价结论。</w:t>
      </w:r>
      <w:r>
        <w:rPr>
          <w:rFonts w:hint="eastAsia" w:ascii="Times New Roman" w:hAnsi="Times New Roman" w:eastAsia="仿宋_GB2312" w:cs="Times New Roman"/>
          <w:sz w:val="32"/>
          <w:szCs w:val="32"/>
          <w:highlight w:val="yellow"/>
          <w:u w:val="none"/>
          <w:lang w:val="en-US" w:eastAsia="zh-CN" w:bidi="ar"/>
        </w:rPr>
        <w:t>简要阐述部门预算绩效自评总体结论，其中必须包含自评得分。</w:t>
      </w:r>
    </w:p>
    <w:p>
      <w:pPr>
        <w:keepNext w:val="0"/>
        <w:keepLines w:val="0"/>
        <w:pageBreakBefore w:val="0"/>
        <w:widowControl/>
        <w:kinsoku/>
        <w:wordWrap/>
        <w:overflowPunct/>
        <w:topLinePunct w:val="0"/>
        <w:autoSpaceDE/>
        <w:autoSpaceDN/>
        <w:bidi w:val="0"/>
        <w:adjustRightInd w:val="0"/>
        <w:snapToGrid w:val="0"/>
        <w:spacing w:line="578" w:lineRule="exact"/>
        <w:ind w:firstLine="643" w:firstLineChars="200"/>
        <w:contextualSpacing/>
        <w:jc w:val="left"/>
        <w:textAlignment w:val="auto"/>
        <w:outlineLvl w:val="9"/>
        <w:rPr>
          <w:rFonts w:hint="eastAsia" w:ascii="Times New Roman" w:hAnsi="Times New Roman" w:eastAsia="仿宋_GB2312" w:cs="Times New Roman"/>
          <w:sz w:val="32"/>
          <w:szCs w:val="32"/>
          <w:highlight w:val="yellow"/>
          <w:u w:val="none"/>
          <w:lang w:val="en-US" w:eastAsia="zh-CN" w:bidi="ar"/>
        </w:rPr>
      </w:pPr>
      <w:r>
        <w:rPr>
          <w:rFonts w:hint="default" w:ascii="Times New Roman" w:hAnsi="Times New Roman" w:eastAsia="楷体_GB2312" w:cs="Times New Roman"/>
          <w:b/>
          <w:bCs/>
          <w:color w:val="000000"/>
          <w:kern w:val="0"/>
          <w:sz w:val="32"/>
          <w:szCs w:val="32"/>
          <w:highlight w:val="yellow"/>
          <w:shd w:val="clear" w:color="auto" w:fill="FFFFFF"/>
          <w:lang w:val="zh-CN"/>
        </w:rPr>
        <w:t>（二）存在问题。</w:t>
      </w:r>
      <w:r>
        <w:rPr>
          <w:rFonts w:hint="eastAsia" w:ascii="Times New Roman" w:hAnsi="Times New Roman" w:eastAsia="仿宋_GB2312" w:cs="Times New Roman"/>
          <w:sz w:val="32"/>
          <w:szCs w:val="32"/>
          <w:highlight w:val="yellow"/>
          <w:u w:val="none"/>
          <w:lang w:val="en-US" w:eastAsia="zh-CN" w:bidi="ar"/>
        </w:rPr>
        <w:t>简要阐述部门预算绩效自评发现的主要问题。</w:t>
      </w:r>
    </w:p>
    <w:p>
      <w:pPr>
        <w:keepNext w:val="0"/>
        <w:keepLines w:val="0"/>
        <w:pageBreakBefore w:val="0"/>
        <w:widowControl/>
        <w:kinsoku/>
        <w:wordWrap/>
        <w:overflowPunct/>
        <w:topLinePunct w:val="0"/>
        <w:autoSpaceDE/>
        <w:autoSpaceDN/>
        <w:bidi w:val="0"/>
        <w:adjustRightInd w:val="0"/>
        <w:snapToGrid w:val="0"/>
        <w:spacing w:line="578" w:lineRule="exact"/>
        <w:ind w:firstLine="643" w:firstLineChars="200"/>
        <w:contextualSpacing/>
        <w:jc w:val="left"/>
        <w:textAlignment w:val="auto"/>
        <w:outlineLvl w:val="9"/>
        <w:rPr>
          <w:rFonts w:hint="eastAsia" w:ascii="Times New Roman" w:hAnsi="Times New Roman" w:eastAsia="仿宋_GB2312" w:cs="Times New Roman"/>
          <w:sz w:val="32"/>
          <w:szCs w:val="32"/>
          <w:highlight w:val="yellow"/>
          <w:u w:val="none"/>
          <w:lang w:val="en" w:eastAsia="zh-CN" w:bidi="ar"/>
        </w:rPr>
      </w:pPr>
      <w:r>
        <w:rPr>
          <w:rFonts w:hint="default" w:ascii="Times New Roman" w:hAnsi="Times New Roman" w:eastAsia="楷体_GB2312" w:cs="Times New Roman"/>
          <w:b/>
          <w:bCs/>
          <w:color w:val="000000"/>
          <w:kern w:val="0"/>
          <w:sz w:val="32"/>
          <w:szCs w:val="32"/>
          <w:highlight w:val="yellow"/>
          <w:shd w:val="clear" w:color="auto" w:fill="FFFFFF"/>
          <w:lang w:val="zh-CN" w:eastAsia="zh-CN"/>
        </w:rPr>
        <w:t>（三）改进建议。</w:t>
      </w:r>
      <w:r>
        <w:rPr>
          <w:rFonts w:hint="eastAsia" w:ascii="Times New Roman" w:hAnsi="Times New Roman" w:eastAsia="仿宋_GB2312" w:cs="Times New Roman"/>
          <w:sz w:val="32"/>
          <w:szCs w:val="32"/>
          <w:highlight w:val="yellow"/>
          <w:u w:val="none"/>
          <w:lang w:val="en-US" w:eastAsia="zh-CN" w:bidi="ar"/>
        </w:rPr>
        <w:t>简要阐述</w:t>
      </w:r>
      <w:bookmarkStart w:id="67" w:name="_Hlk110546638"/>
      <w:r>
        <w:rPr>
          <w:rFonts w:hint="eastAsia" w:ascii="Times New Roman" w:hAnsi="Times New Roman" w:eastAsia="仿宋_GB2312" w:cs="Times New Roman"/>
          <w:sz w:val="32"/>
          <w:szCs w:val="32"/>
          <w:highlight w:val="yellow"/>
          <w:u w:val="none"/>
          <w:lang w:val="en" w:eastAsia="zh-CN" w:bidi="ar"/>
        </w:rPr>
        <w:t>预算安排、完善政策、改进管理等方面的</w:t>
      </w:r>
      <w:r>
        <w:rPr>
          <w:rFonts w:hint="eastAsia" w:ascii="Times New Roman" w:hAnsi="Times New Roman" w:eastAsia="仿宋_GB2312" w:cs="Times New Roman"/>
          <w:sz w:val="32"/>
          <w:szCs w:val="32"/>
          <w:highlight w:val="yellow"/>
          <w:u w:val="none"/>
          <w:lang w:val="en-US" w:eastAsia="zh-CN" w:bidi="ar"/>
        </w:rPr>
        <w:t>措施</w:t>
      </w:r>
      <w:r>
        <w:rPr>
          <w:rFonts w:hint="eastAsia" w:ascii="Times New Roman" w:hAnsi="Times New Roman" w:eastAsia="仿宋_GB2312" w:cs="Times New Roman"/>
          <w:sz w:val="32"/>
          <w:szCs w:val="32"/>
          <w:highlight w:val="yellow"/>
          <w:u w:val="none"/>
          <w:lang w:val="en" w:eastAsia="zh-CN" w:bidi="ar"/>
        </w:rPr>
        <w:t>建议，其中</w:t>
      </w:r>
      <w:r>
        <w:rPr>
          <w:rFonts w:hint="eastAsia" w:ascii="Times New Roman" w:hAnsi="Times New Roman" w:eastAsia="仿宋_GB2312" w:cs="Times New Roman"/>
          <w:sz w:val="32"/>
          <w:szCs w:val="32"/>
          <w:highlight w:val="yellow"/>
          <w:u w:val="none"/>
          <w:lang w:val="en-US" w:eastAsia="zh-CN" w:bidi="ar"/>
        </w:rPr>
        <w:t>必须对应评价发现的主要问题一一提出措施建议。</w:t>
      </w:r>
    </w:p>
    <w:bookmarkEnd w:id="67"/>
    <w:p>
      <w:pPr>
        <w:pStyle w:val="3"/>
        <w:keepNext w:val="0"/>
        <w:keepLines w:val="0"/>
        <w:pageBreakBefore w:val="0"/>
        <w:numPr>
          <w:ilvl w:val="0"/>
          <w:numId w:val="0"/>
        </w:numPr>
        <w:kinsoku/>
        <w:wordWrap/>
        <w:overflowPunct/>
        <w:topLinePunct w:val="0"/>
        <w:autoSpaceDE/>
        <w:autoSpaceDN/>
        <w:bidi w:val="0"/>
        <w:spacing w:line="560" w:lineRule="exact"/>
        <w:ind w:firstLine="640" w:firstLineChars="200"/>
        <w:textAlignment w:val="auto"/>
        <w:rPr>
          <w:rFonts w:hint="eastAsia" w:ascii="Times New Roman" w:hAnsi="Times New Roman" w:eastAsia="仿宋_GB2312" w:cs="Times New Roman"/>
          <w:kern w:val="2"/>
          <w:sz w:val="32"/>
          <w:szCs w:val="32"/>
          <w:highlight w:val="yellow"/>
          <w:u w:val="none"/>
          <w:lang w:val="zh-CN" w:eastAsia="zh-CN" w:bidi="ar"/>
        </w:rPr>
      </w:pPr>
    </w:p>
    <w:p>
      <w:pPr>
        <w:pStyle w:val="3"/>
        <w:keepNext w:val="0"/>
        <w:keepLines w:val="0"/>
        <w:pageBreakBefore w:val="0"/>
        <w:numPr>
          <w:ilvl w:val="0"/>
          <w:numId w:val="0"/>
        </w:numPr>
        <w:kinsoku/>
        <w:wordWrap/>
        <w:overflowPunct/>
        <w:topLinePunct w:val="0"/>
        <w:autoSpaceDE/>
        <w:autoSpaceDN/>
        <w:bidi w:val="0"/>
        <w:spacing w:line="560" w:lineRule="exact"/>
        <w:ind w:firstLine="640" w:firstLineChars="200"/>
        <w:textAlignment w:val="auto"/>
        <w:rPr>
          <w:rFonts w:hint="eastAsia" w:ascii="Times New Roman" w:hAnsi="Times New Roman" w:eastAsia="仿宋_GB2312" w:cs="Times New Roman"/>
          <w:kern w:val="2"/>
          <w:sz w:val="32"/>
          <w:szCs w:val="32"/>
          <w:highlight w:val="yellow"/>
          <w:u w:val="none"/>
          <w:lang w:val="zh-CN" w:eastAsia="zh-CN" w:bidi="ar"/>
        </w:rPr>
      </w:pPr>
      <w:r>
        <w:rPr>
          <w:rFonts w:hint="eastAsia" w:ascii="Times New Roman" w:hAnsi="Times New Roman" w:eastAsia="仿宋_GB2312" w:cs="Times New Roman"/>
          <w:kern w:val="2"/>
          <w:sz w:val="32"/>
          <w:szCs w:val="32"/>
          <w:highlight w:val="yellow"/>
          <w:u w:val="none"/>
          <w:lang w:val="zh-CN" w:eastAsia="zh-CN" w:bidi="ar"/>
        </w:rPr>
        <w:t>附表：</w:t>
      </w:r>
      <w:r>
        <w:rPr>
          <w:rFonts w:hint="eastAsia" w:ascii="Times New Roman" w:hAnsi="Times New Roman" w:eastAsia="仿宋_GB2312" w:cs="Times New Roman"/>
          <w:kern w:val="2"/>
          <w:sz w:val="32"/>
          <w:szCs w:val="32"/>
          <w:highlight w:val="yellow"/>
          <w:u w:val="none"/>
          <w:lang w:val="en-US" w:eastAsia="zh-CN" w:bidi="ar"/>
        </w:rPr>
        <w:t>部门预算项目支出绩效自评表（2024年度）</w:t>
      </w:r>
    </w:p>
    <w:p>
      <w:pPr>
        <w:pStyle w:val="3"/>
        <w:keepNext w:val="0"/>
        <w:keepLines w:val="0"/>
        <w:pageBreakBefore w:val="0"/>
        <w:numPr>
          <w:ilvl w:val="0"/>
          <w:numId w:val="0"/>
        </w:numPr>
        <w:kinsoku/>
        <w:wordWrap/>
        <w:overflowPunct/>
        <w:topLinePunct w:val="0"/>
        <w:autoSpaceDE/>
        <w:autoSpaceDN/>
        <w:bidi w:val="0"/>
        <w:spacing w:line="560" w:lineRule="exact"/>
        <w:ind w:firstLine="640" w:firstLineChars="200"/>
        <w:textAlignment w:val="auto"/>
        <w:rPr>
          <w:rFonts w:hint="eastAsia" w:ascii="Times New Roman" w:hAnsi="Times New Roman" w:eastAsia="仿宋_GB2312" w:cs="仿宋_GB2312"/>
          <w:b w:val="0"/>
          <w:bCs w:val="0"/>
          <w:kern w:val="0"/>
          <w:position w:val="0"/>
          <w:sz w:val="32"/>
          <w:szCs w:val="32"/>
          <w:highlight w:val="yellow"/>
          <w:lang w:val="zh-CN" w:eastAsia="zh-CN" w:bidi="ar-SA"/>
        </w:rPr>
      </w:pPr>
      <w:r>
        <w:rPr>
          <w:rFonts w:hint="eastAsia" w:ascii="Times New Roman" w:hAnsi="Times New Roman" w:eastAsia="仿宋_GB2312" w:cs="仿宋_GB2312"/>
          <w:b w:val="0"/>
          <w:bCs w:val="0"/>
          <w:kern w:val="0"/>
          <w:position w:val="0"/>
          <w:sz w:val="32"/>
          <w:szCs w:val="32"/>
          <w:highlight w:val="yellow"/>
          <w:lang w:val="en-US" w:eastAsia="zh-CN" w:bidi="ar-SA"/>
        </w:rPr>
        <w:t>（注：按照绩效自评工作安排，各部门已在预算管理一体化系统绩效自评模块上传“部门预算项目支出绩效自评表（2024年度）”，该表格应作为附表予以公开）</w:t>
      </w:r>
    </w:p>
    <w:p>
      <w:pPr>
        <w:pStyle w:val="3"/>
        <w:keepNext w:val="0"/>
        <w:keepLines w:val="0"/>
        <w:pageBreakBefore w:val="0"/>
        <w:numPr>
          <w:ilvl w:val="0"/>
          <w:numId w:val="0"/>
        </w:numPr>
        <w:kinsoku/>
        <w:wordWrap/>
        <w:overflowPunct/>
        <w:topLinePunct w:val="0"/>
        <w:autoSpaceDE/>
        <w:autoSpaceDN/>
        <w:bidi w:val="0"/>
        <w:spacing w:line="560" w:lineRule="exact"/>
        <w:textAlignment w:val="auto"/>
        <w:rPr>
          <w:rFonts w:hint="eastAsia" w:ascii="Times New Roman" w:hAnsi="Times New Roman" w:cs="Times New Roman"/>
          <w:sz w:val="32"/>
          <w:szCs w:val="32"/>
          <w:highlight w:val="yellow"/>
          <w:lang w:val="zh-CN" w:eastAsia="zh-CN"/>
        </w:rPr>
      </w:pPr>
    </w:p>
    <w:p>
      <w:pPr>
        <w:pStyle w:val="8"/>
        <w:rPr>
          <w:rFonts w:hint="eastAsia" w:ascii="Times New Roman" w:hAnsi="Times New Roman" w:cs="宋体"/>
          <w:color w:val="FF0000"/>
          <w:kern w:val="0"/>
          <w:sz w:val="32"/>
          <w:szCs w:val="32"/>
          <w:highlight w:val="yellow"/>
          <w:shd w:val="clear" w:color="auto" w:fill="FFFFFF"/>
          <w:lang w:val="zh-CN"/>
        </w:rPr>
      </w:pPr>
    </w:p>
    <w:p>
      <w:pPr>
        <w:rPr>
          <w:rFonts w:hint="eastAsia" w:ascii="Times New Roman" w:hAnsi="Times New Roman" w:eastAsia="黑体" w:cs="黑体"/>
          <w:color w:val="auto"/>
          <w:kern w:val="0"/>
          <w:sz w:val="32"/>
          <w:szCs w:val="32"/>
          <w:highlight w:val="yellow"/>
          <w:shd w:val="clear" w:color="auto" w:fill="FFFFFF"/>
          <w:lang w:val="zh-CN"/>
        </w:rPr>
      </w:pPr>
      <w:r>
        <w:rPr>
          <w:rFonts w:hint="eastAsia" w:ascii="Times New Roman" w:hAnsi="Times New Roman" w:eastAsia="黑体" w:cs="黑体"/>
          <w:color w:val="auto"/>
          <w:kern w:val="0"/>
          <w:sz w:val="32"/>
          <w:szCs w:val="32"/>
          <w:highlight w:val="yellow"/>
          <w:shd w:val="clear" w:color="auto" w:fill="FFFFFF"/>
          <w:lang w:val="zh-CN"/>
        </w:rPr>
        <w:br w:type="page"/>
      </w:r>
    </w:p>
    <w:p>
      <w:pPr>
        <w:pStyle w:val="8"/>
        <w:rPr>
          <w:rFonts w:hint="eastAsia" w:ascii="Times New Roman" w:hAnsi="Times New Roman" w:eastAsia="黑体" w:cs="黑体"/>
          <w:color w:val="auto"/>
          <w:sz w:val="32"/>
          <w:szCs w:val="32"/>
          <w:highlight w:val="yellow"/>
          <w:lang w:val="en-US" w:eastAsia="zh-CN"/>
        </w:rPr>
      </w:pPr>
      <w:r>
        <w:rPr>
          <w:rFonts w:hint="eastAsia" w:ascii="Times New Roman" w:hAnsi="Times New Roman" w:eastAsia="黑体" w:cs="黑体"/>
          <w:color w:val="auto"/>
          <w:kern w:val="0"/>
          <w:sz w:val="32"/>
          <w:szCs w:val="32"/>
          <w:highlight w:val="yellow"/>
          <w:shd w:val="clear" w:color="auto" w:fill="FFFFFF"/>
          <w:lang w:val="zh-CN"/>
        </w:rPr>
        <w:t>附件</w:t>
      </w:r>
      <w:r>
        <w:rPr>
          <w:rFonts w:hint="eastAsia" w:ascii="Times New Roman" w:hAnsi="Times New Roman" w:eastAsia="黑体" w:cs="黑体"/>
          <w:color w:val="auto"/>
          <w:kern w:val="0"/>
          <w:sz w:val="32"/>
          <w:szCs w:val="32"/>
          <w:highlight w:val="yellow"/>
          <w:shd w:val="clear" w:color="auto" w:fill="FFFFFF"/>
          <w:lang w:val="en-US" w:eastAsia="zh-CN"/>
        </w:rPr>
        <w:t>2</w:t>
      </w:r>
    </w:p>
    <w:p>
      <w:pPr>
        <w:pStyle w:val="34"/>
        <w:keepNext w:val="0"/>
        <w:keepLines w:val="0"/>
        <w:pageBreakBefore w:val="0"/>
        <w:widowControl w:val="0"/>
        <w:kinsoku/>
        <w:wordWrap/>
        <w:overflowPunct/>
        <w:topLinePunct w:val="0"/>
        <w:autoSpaceDE/>
        <w:autoSpaceDN/>
        <w:bidi w:val="0"/>
        <w:spacing w:line="578" w:lineRule="exact"/>
        <w:ind w:left="0" w:leftChars="0"/>
        <w:jc w:val="center"/>
        <w:textAlignment w:val="auto"/>
        <w:rPr>
          <w:rFonts w:hint="eastAsia" w:ascii="Times New Roman" w:hAnsi="Times New Roman" w:eastAsia="方正小标宋简体" w:cs="方正小标宋简体"/>
          <w:color w:val="auto"/>
          <w:kern w:val="2"/>
          <w:sz w:val="44"/>
          <w:szCs w:val="44"/>
          <w:highlight w:val="yellow"/>
          <w:lang w:val="en-US" w:eastAsia="zh-CN"/>
        </w:rPr>
      </w:pPr>
    </w:p>
    <w:p>
      <w:pPr>
        <w:pStyle w:val="34"/>
        <w:keepNext w:val="0"/>
        <w:keepLines w:val="0"/>
        <w:pageBreakBefore w:val="0"/>
        <w:widowControl w:val="0"/>
        <w:kinsoku/>
        <w:wordWrap/>
        <w:overflowPunct/>
        <w:topLinePunct w:val="0"/>
        <w:autoSpaceDE/>
        <w:autoSpaceDN/>
        <w:bidi w:val="0"/>
        <w:spacing w:line="578" w:lineRule="exact"/>
        <w:ind w:left="0" w:leftChars="0"/>
        <w:jc w:val="center"/>
        <w:textAlignment w:val="auto"/>
        <w:rPr>
          <w:rFonts w:hint="eastAsia" w:ascii="Times New Roman" w:hAnsi="Times New Roman" w:eastAsia="方正小标宋简体" w:cs="方正小标宋简体"/>
          <w:color w:val="auto"/>
          <w:kern w:val="2"/>
          <w:sz w:val="44"/>
          <w:szCs w:val="44"/>
          <w:highlight w:val="yellow"/>
          <w:lang w:val="en-US" w:eastAsia="zh-CN"/>
        </w:rPr>
      </w:pPr>
      <w:r>
        <w:rPr>
          <w:rFonts w:hint="eastAsia" w:ascii="Times New Roman" w:hAnsi="Times New Roman" w:eastAsia="方正小标宋简体" w:cs="方正小标宋简体"/>
          <w:color w:val="auto"/>
          <w:kern w:val="2"/>
          <w:sz w:val="44"/>
          <w:szCs w:val="44"/>
          <w:highlight w:val="yellow"/>
          <w:lang w:val="en-US" w:eastAsia="zh-CN"/>
        </w:rPr>
        <w:t>专项预算项目绩效评价报告范本</w:t>
      </w:r>
    </w:p>
    <w:p>
      <w:pPr>
        <w:pStyle w:val="34"/>
        <w:keepNext w:val="0"/>
        <w:keepLines w:val="0"/>
        <w:pageBreakBefore w:val="0"/>
        <w:widowControl w:val="0"/>
        <w:kinsoku/>
        <w:wordWrap/>
        <w:overflowPunct/>
        <w:topLinePunct w:val="0"/>
        <w:autoSpaceDE/>
        <w:autoSpaceDN/>
        <w:bidi w:val="0"/>
        <w:spacing w:line="578" w:lineRule="exact"/>
        <w:ind w:left="0" w:leftChars="0" w:firstLine="640"/>
        <w:jc w:val="center"/>
        <w:textAlignment w:val="auto"/>
        <w:rPr>
          <w:rFonts w:ascii="Times New Roman" w:hAnsi="Times New Roman"/>
          <w:color w:val="auto"/>
          <w:kern w:val="2"/>
          <w:sz w:val="32"/>
          <w:szCs w:val="32"/>
          <w:highlight w:val="yellow"/>
        </w:rPr>
      </w:pPr>
    </w:p>
    <w:p>
      <w:pPr>
        <w:keepNext w:val="0"/>
        <w:keepLines w:val="0"/>
        <w:pageBreakBefore w:val="0"/>
        <w:widowControl w:val="0"/>
        <w:kinsoku/>
        <w:wordWrap/>
        <w:overflowPunct/>
        <w:topLinePunct w:val="0"/>
        <w:autoSpaceDE/>
        <w:autoSpaceDN/>
        <w:bidi w:val="0"/>
        <w:adjustRightInd w:val="0"/>
        <w:snapToGrid w:val="0"/>
        <w:spacing w:line="578" w:lineRule="exact"/>
        <w:ind w:firstLine="640" w:firstLineChars="200"/>
        <w:textAlignment w:val="auto"/>
        <w:rPr>
          <w:rFonts w:ascii="Times New Roman" w:hAnsi="Times New Roman" w:eastAsia="黑体"/>
          <w:sz w:val="32"/>
          <w:szCs w:val="32"/>
          <w:highlight w:val="yellow"/>
          <w:lang w:val="zh-CN"/>
        </w:rPr>
      </w:pPr>
      <w:r>
        <w:rPr>
          <w:rFonts w:hint="eastAsia" w:ascii="Times New Roman" w:hAnsi="Times New Roman" w:eastAsia="黑体"/>
          <w:sz w:val="32"/>
          <w:szCs w:val="32"/>
          <w:highlight w:val="yellow"/>
        </w:rPr>
        <w:t>一、</w:t>
      </w:r>
      <w:r>
        <w:rPr>
          <w:rFonts w:hint="eastAsia" w:ascii="Times New Roman" w:hAnsi="Times New Roman" w:eastAsia="黑体"/>
          <w:sz w:val="32"/>
          <w:szCs w:val="32"/>
          <w:highlight w:val="yellow"/>
          <w:lang w:val="zh-CN"/>
        </w:rPr>
        <w:t>项目概况</w:t>
      </w:r>
    </w:p>
    <w:p>
      <w:pPr>
        <w:keepNext w:val="0"/>
        <w:keepLines w:val="0"/>
        <w:pageBreakBefore w:val="0"/>
        <w:widowControl/>
        <w:numPr>
          <w:ilvl w:val="0"/>
          <w:numId w:val="0"/>
        </w:numPr>
        <w:kinsoku/>
        <w:wordWrap/>
        <w:overflowPunct/>
        <w:topLinePunct w:val="0"/>
        <w:autoSpaceDE/>
        <w:autoSpaceDN/>
        <w:bidi w:val="0"/>
        <w:adjustRightInd w:val="0"/>
        <w:snapToGrid w:val="0"/>
        <w:spacing w:line="578" w:lineRule="exact"/>
        <w:ind w:left="0" w:leftChars="0" w:firstLine="643" w:firstLineChars="200"/>
        <w:contextualSpacing/>
        <w:jc w:val="left"/>
        <w:textAlignment w:val="auto"/>
        <w:rPr>
          <w:rFonts w:hint="eastAsia" w:ascii="Times New Roman" w:hAnsi="Times New Roman" w:eastAsia="仿宋_GB2312" w:cs="仿宋_GB2312"/>
          <w:color w:val="auto"/>
          <w:kern w:val="0"/>
          <w:sz w:val="32"/>
          <w:szCs w:val="32"/>
          <w:highlight w:val="yellow"/>
          <w:u w:val="none"/>
          <w:shd w:val="clear" w:color="auto" w:fill="FFFFFF"/>
          <w:lang w:val="zh-CN"/>
        </w:rPr>
      </w:pPr>
      <w:r>
        <w:rPr>
          <w:rFonts w:hint="eastAsia" w:ascii="Times New Roman" w:hAnsi="Times New Roman" w:eastAsia="楷体_GB2312"/>
          <w:b/>
          <w:color w:val="auto"/>
          <w:sz w:val="32"/>
          <w:szCs w:val="32"/>
          <w:highlight w:val="yellow"/>
          <w:u w:val="none"/>
          <w:lang w:val="zh-CN"/>
        </w:rPr>
        <w:t>（一）设立背景及基本情况。</w:t>
      </w:r>
      <w:r>
        <w:rPr>
          <w:rFonts w:hint="eastAsia" w:ascii="Times New Roman" w:hAnsi="Times New Roman" w:eastAsia="仿宋_GB2312" w:cs="仿宋_GB2312"/>
          <w:b w:val="0"/>
          <w:bCs w:val="0"/>
          <w:kern w:val="0"/>
          <w:position w:val="0"/>
          <w:sz w:val="32"/>
          <w:szCs w:val="32"/>
          <w:highlight w:val="yellow"/>
          <w:lang w:val="en-US" w:eastAsia="zh-CN" w:bidi="ar-SA"/>
        </w:rPr>
        <w:t>项目设立原因及背景，</w:t>
      </w:r>
      <w:r>
        <w:rPr>
          <w:rFonts w:hint="eastAsia" w:ascii="Times New Roman" w:hAnsi="Times New Roman" w:eastAsia="仿宋_GB2312" w:cs="仿宋_GB2312"/>
          <w:b w:val="0"/>
          <w:bCs w:val="0"/>
          <w:kern w:val="0"/>
          <w:position w:val="0"/>
          <w:sz w:val="32"/>
          <w:szCs w:val="32"/>
          <w:highlight w:val="yellow"/>
          <w:lang w:val="zh-CN" w:eastAsia="zh-CN" w:bidi="ar-SA"/>
        </w:rPr>
        <w:t>项目立项、资金申报的依据，项目主要内容</w:t>
      </w:r>
      <w:r>
        <w:rPr>
          <w:rFonts w:hint="eastAsia" w:ascii="Times New Roman" w:hAnsi="Times New Roman" w:eastAsia="仿宋_GB2312" w:cs="仿宋_GB2312"/>
          <w:b w:val="0"/>
          <w:bCs w:val="0"/>
          <w:kern w:val="0"/>
          <w:position w:val="0"/>
          <w:sz w:val="32"/>
          <w:szCs w:val="32"/>
          <w:highlight w:val="yellow"/>
          <w:lang w:val="en-US" w:eastAsia="zh-CN" w:bidi="ar-SA"/>
        </w:rPr>
        <w:t>。</w:t>
      </w:r>
      <w:r>
        <w:rPr>
          <w:rFonts w:hint="eastAsia" w:ascii="Times New Roman" w:hAnsi="Times New Roman" w:eastAsia="仿宋_GB2312" w:cs="仿宋_GB2312"/>
          <w:b w:val="0"/>
          <w:bCs w:val="0"/>
          <w:kern w:val="0"/>
          <w:position w:val="0"/>
          <w:sz w:val="32"/>
          <w:szCs w:val="32"/>
          <w:highlight w:val="yellow"/>
          <w:lang w:val="zh-CN" w:eastAsia="zh-CN" w:bidi="ar-SA"/>
        </w:rPr>
        <w:t>主管部门职能</w:t>
      </w:r>
      <w:r>
        <w:rPr>
          <w:rFonts w:hint="eastAsia" w:ascii="Times New Roman" w:hAnsi="Times New Roman" w:eastAsia="仿宋_GB2312" w:cs="仿宋_GB2312"/>
          <w:color w:val="auto"/>
          <w:kern w:val="0"/>
          <w:sz w:val="32"/>
          <w:szCs w:val="32"/>
          <w:highlight w:val="yellow"/>
          <w:u w:val="none"/>
          <w:shd w:val="clear" w:color="auto" w:fill="FFFFFF"/>
          <w:lang w:val="zh-CN"/>
        </w:rPr>
        <w:t>。</w:t>
      </w:r>
    </w:p>
    <w:p>
      <w:pPr>
        <w:keepNext w:val="0"/>
        <w:keepLines w:val="0"/>
        <w:pageBreakBefore w:val="0"/>
        <w:kinsoku/>
        <w:wordWrap/>
        <w:overflowPunct/>
        <w:topLinePunct w:val="0"/>
        <w:autoSpaceDE/>
        <w:autoSpaceDN/>
        <w:bidi w:val="0"/>
        <w:adjustRightInd w:val="0"/>
        <w:snapToGrid w:val="0"/>
        <w:spacing w:line="578" w:lineRule="exact"/>
        <w:ind w:left="0" w:leftChars="0" w:firstLine="643" w:firstLineChars="200"/>
        <w:textAlignment w:val="auto"/>
        <w:rPr>
          <w:rFonts w:hint="eastAsia" w:ascii="Times New Roman" w:hAnsi="Times New Roman" w:eastAsia="仿宋_GB2312" w:cs="仿宋_GB2312"/>
          <w:b w:val="0"/>
          <w:bCs w:val="0"/>
          <w:kern w:val="0"/>
          <w:position w:val="0"/>
          <w:sz w:val="32"/>
          <w:szCs w:val="32"/>
          <w:highlight w:val="yellow"/>
          <w:lang w:val="zh-CN" w:eastAsia="zh-CN" w:bidi="ar-SA"/>
        </w:rPr>
      </w:pPr>
      <w:r>
        <w:rPr>
          <w:rFonts w:hint="eastAsia" w:ascii="Times New Roman" w:hAnsi="Times New Roman" w:eastAsia="楷体_GB2312"/>
          <w:b/>
          <w:color w:val="auto"/>
          <w:sz w:val="32"/>
          <w:szCs w:val="32"/>
          <w:highlight w:val="yellow"/>
          <w:u w:val="none"/>
          <w:lang w:val="zh-CN"/>
        </w:rPr>
        <w:t>（</w:t>
      </w:r>
      <w:r>
        <w:rPr>
          <w:rFonts w:hint="eastAsia" w:ascii="Times New Roman" w:hAnsi="Times New Roman" w:eastAsia="楷体_GB2312" w:cs="Times New Roman"/>
          <w:b/>
          <w:color w:val="auto"/>
          <w:sz w:val="32"/>
          <w:szCs w:val="32"/>
          <w:highlight w:val="yellow"/>
          <w:u w:val="none"/>
          <w:lang w:val="zh-CN"/>
        </w:rPr>
        <w:t>二）</w:t>
      </w:r>
      <w:r>
        <w:rPr>
          <w:rFonts w:hint="default" w:ascii="Times New Roman" w:hAnsi="Times New Roman" w:eastAsia="楷体_GB2312" w:cs="Times New Roman"/>
          <w:b/>
          <w:color w:val="auto"/>
          <w:sz w:val="32"/>
          <w:szCs w:val="32"/>
          <w:highlight w:val="yellow"/>
          <w:u w:val="none"/>
          <w:lang w:val="en-US" w:eastAsia="zh-CN"/>
        </w:rPr>
        <w:t>实施目的及支持方向</w:t>
      </w:r>
      <w:r>
        <w:rPr>
          <w:rFonts w:hint="eastAsia" w:ascii="Times New Roman" w:hAnsi="Times New Roman" w:eastAsia="楷体_GB2312" w:cs="Times New Roman"/>
          <w:b/>
          <w:color w:val="auto"/>
          <w:sz w:val="32"/>
          <w:szCs w:val="32"/>
          <w:highlight w:val="yellow"/>
          <w:u w:val="none"/>
          <w:lang w:val="en-US" w:eastAsia="zh-CN"/>
        </w:rPr>
        <w:t>。</w:t>
      </w:r>
      <w:r>
        <w:rPr>
          <w:rFonts w:hint="eastAsia" w:ascii="Times New Roman" w:hAnsi="Times New Roman" w:eastAsia="仿宋_GB2312" w:cs="仿宋_GB2312"/>
          <w:b w:val="0"/>
          <w:bCs w:val="0"/>
          <w:kern w:val="0"/>
          <w:position w:val="0"/>
          <w:sz w:val="32"/>
          <w:szCs w:val="32"/>
          <w:highlight w:val="yellow"/>
          <w:lang w:val="en-US" w:eastAsia="zh-CN" w:bidi="ar-SA"/>
        </w:rPr>
        <w:t>项目资金</w:t>
      </w:r>
      <w:r>
        <w:rPr>
          <w:rFonts w:hint="eastAsia" w:ascii="Times New Roman" w:hAnsi="Times New Roman" w:eastAsia="仿宋_GB2312" w:cs="仿宋_GB2312"/>
          <w:b w:val="0"/>
          <w:bCs w:val="0"/>
          <w:kern w:val="0"/>
          <w:position w:val="0"/>
          <w:sz w:val="32"/>
          <w:szCs w:val="32"/>
          <w:highlight w:val="yellow"/>
          <w:lang w:val="zh-CN" w:eastAsia="zh-CN" w:bidi="ar-SA"/>
        </w:rPr>
        <w:t>管理办法制定情况，项目实施目的和主要工作任务，项目支持方向。</w:t>
      </w:r>
    </w:p>
    <w:p>
      <w:pPr>
        <w:keepNext w:val="0"/>
        <w:keepLines w:val="0"/>
        <w:pageBreakBefore w:val="0"/>
        <w:widowControl/>
        <w:numPr>
          <w:ilvl w:val="0"/>
          <w:numId w:val="0"/>
        </w:numPr>
        <w:kinsoku/>
        <w:wordWrap/>
        <w:overflowPunct/>
        <w:topLinePunct w:val="0"/>
        <w:autoSpaceDE/>
        <w:autoSpaceDN/>
        <w:bidi w:val="0"/>
        <w:adjustRightInd w:val="0"/>
        <w:snapToGrid w:val="0"/>
        <w:spacing w:line="578" w:lineRule="exact"/>
        <w:ind w:left="0" w:leftChars="0" w:firstLine="643" w:firstLineChars="200"/>
        <w:contextualSpacing/>
        <w:jc w:val="left"/>
        <w:textAlignment w:val="auto"/>
        <w:rPr>
          <w:rFonts w:hint="eastAsia" w:ascii="Times New Roman" w:hAnsi="Times New Roman" w:eastAsia="仿宋_GB2312" w:cs="仿宋_GB2312"/>
          <w:b w:val="0"/>
          <w:bCs w:val="0"/>
          <w:kern w:val="0"/>
          <w:position w:val="0"/>
          <w:sz w:val="32"/>
          <w:szCs w:val="32"/>
          <w:highlight w:val="yellow"/>
          <w:lang w:val="zh-CN" w:eastAsia="zh-CN" w:bidi="ar-SA"/>
        </w:rPr>
      </w:pPr>
      <w:r>
        <w:rPr>
          <w:rFonts w:hint="eastAsia" w:ascii="Times New Roman" w:hAnsi="Times New Roman" w:eastAsia="楷体_GB2312" w:cs="Times New Roman"/>
          <w:b/>
          <w:color w:val="auto"/>
          <w:sz w:val="32"/>
          <w:szCs w:val="32"/>
          <w:highlight w:val="yellow"/>
          <w:u w:val="none"/>
          <w:lang w:val="zh-CN" w:eastAsia="zh-CN"/>
        </w:rPr>
        <w:t>（三）</w:t>
      </w:r>
      <w:r>
        <w:rPr>
          <w:rFonts w:hint="default" w:ascii="Times New Roman" w:hAnsi="Times New Roman" w:eastAsia="楷体_GB2312" w:cs="Times New Roman"/>
          <w:b/>
          <w:color w:val="auto"/>
          <w:sz w:val="32"/>
          <w:szCs w:val="32"/>
          <w:highlight w:val="yellow"/>
          <w:u w:val="none"/>
          <w:lang w:val="en-US" w:eastAsia="zh-CN"/>
        </w:rPr>
        <w:t>预算安排及分配管理</w:t>
      </w:r>
      <w:r>
        <w:rPr>
          <w:rFonts w:hint="eastAsia" w:ascii="Times New Roman" w:hAnsi="Times New Roman" w:eastAsia="楷体_GB2312" w:cs="Times New Roman"/>
          <w:b/>
          <w:color w:val="auto"/>
          <w:sz w:val="32"/>
          <w:szCs w:val="32"/>
          <w:highlight w:val="yellow"/>
          <w:u w:val="none"/>
          <w:lang w:val="zh-CN" w:eastAsia="zh-CN"/>
        </w:rPr>
        <w:t>。</w:t>
      </w:r>
      <w:r>
        <w:rPr>
          <w:rFonts w:hint="eastAsia" w:ascii="Times New Roman" w:hAnsi="Times New Roman" w:eastAsia="仿宋_GB2312" w:cs="仿宋_GB2312"/>
          <w:b w:val="0"/>
          <w:bCs w:val="0"/>
          <w:kern w:val="0"/>
          <w:position w:val="0"/>
          <w:sz w:val="32"/>
          <w:szCs w:val="32"/>
          <w:highlight w:val="yellow"/>
          <w:lang w:val="zh-CN" w:eastAsia="zh-CN" w:bidi="ar-SA"/>
        </w:rPr>
        <w:t>项目预算安排情况，项目资金分配原则及考虑因素，项目资金分配情况。</w:t>
      </w:r>
    </w:p>
    <w:p>
      <w:pPr>
        <w:keepNext w:val="0"/>
        <w:keepLines w:val="0"/>
        <w:pageBreakBefore w:val="0"/>
        <w:kinsoku/>
        <w:wordWrap/>
        <w:overflowPunct/>
        <w:topLinePunct w:val="0"/>
        <w:autoSpaceDE/>
        <w:autoSpaceDN/>
        <w:bidi w:val="0"/>
        <w:adjustRightInd w:val="0"/>
        <w:snapToGrid w:val="0"/>
        <w:spacing w:line="578" w:lineRule="exact"/>
        <w:ind w:left="0" w:leftChars="0" w:firstLine="643" w:firstLineChars="200"/>
        <w:textAlignment w:val="auto"/>
        <w:rPr>
          <w:rFonts w:hint="default" w:ascii="Times New Roman" w:hAnsi="Times New Roman" w:eastAsia="仿宋_GB2312" w:cs="仿宋_GB2312"/>
          <w:b w:val="0"/>
          <w:bCs w:val="0"/>
          <w:kern w:val="0"/>
          <w:position w:val="0"/>
          <w:sz w:val="32"/>
          <w:szCs w:val="32"/>
          <w:highlight w:val="yellow"/>
          <w:lang w:val="zh-CN" w:eastAsia="zh-CN" w:bidi="ar-SA"/>
        </w:rPr>
      </w:pPr>
      <w:r>
        <w:rPr>
          <w:rFonts w:hint="eastAsia" w:ascii="Times New Roman" w:hAnsi="Times New Roman" w:eastAsia="楷体_GB2312" w:cs="Times New Roman"/>
          <w:b/>
          <w:color w:val="auto"/>
          <w:sz w:val="32"/>
          <w:szCs w:val="32"/>
          <w:highlight w:val="yellow"/>
          <w:u w:val="none"/>
          <w:lang w:val="zh-CN" w:eastAsia="zh-CN"/>
        </w:rPr>
        <w:t>（四）项目绩效目标设置。</w:t>
      </w:r>
      <w:r>
        <w:rPr>
          <w:rFonts w:hint="eastAsia" w:ascii="Times New Roman" w:hAnsi="Times New Roman" w:eastAsia="仿宋_GB2312" w:cs="仿宋_GB2312"/>
          <w:b w:val="0"/>
          <w:bCs w:val="0"/>
          <w:kern w:val="0"/>
          <w:position w:val="0"/>
          <w:sz w:val="32"/>
          <w:szCs w:val="32"/>
          <w:highlight w:val="yellow"/>
          <w:lang w:val="zh-CN" w:eastAsia="zh-CN" w:bidi="ar-SA"/>
        </w:rPr>
        <w:t>项目整体、区域和具体绩效目标设置情况，项目自评工作开展情况。</w:t>
      </w:r>
    </w:p>
    <w:p>
      <w:pPr>
        <w:keepNext w:val="0"/>
        <w:keepLines w:val="0"/>
        <w:pageBreakBefore w:val="0"/>
        <w:widowControl w:val="0"/>
        <w:kinsoku/>
        <w:wordWrap/>
        <w:overflowPunct/>
        <w:topLinePunct w:val="0"/>
        <w:autoSpaceDE/>
        <w:autoSpaceDN/>
        <w:bidi w:val="0"/>
        <w:adjustRightInd w:val="0"/>
        <w:snapToGrid w:val="0"/>
        <w:spacing w:line="578" w:lineRule="exact"/>
        <w:ind w:firstLine="640" w:firstLineChars="200"/>
        <w:textAlignment w:val="auto"/>
        <w:outlineLvl w:val="9"/>
        <w:rPr>
          <w:rFonts w:hint="eastAsia" w:ascii="Times New Roman" w:hAnsi="Times New Roman" w:eastAsia="黑体"/>
          <w:sz w:val="32"/>
          <w:szCs w:val="32"/>
          <w:highlight w:val="yellow"/>
          <w:lang w:eastAsia="zh-CN"/>
        </w:rPr>
      </w:pPr>
      <w:r>
        <w:rPr>
          <w:rFonts w:hint="eastAsia" w:ascii="Times New Roman" w:hAnsi="Times New Roman" w:eastAsia="黑体"/>
          <w:sz w:val="32"/>
          <w:szCs w:val="32"/>
          <w:highlight w:val="yellow"/>
        </w:rPr>
        <w:t>二、</w:t>
      </w:r>
      <w:r>
        <w:rPr>
          <w:rFonts w:hint="eastAsia" w:ascii="Times New Roman" w:hAnsi="Times New Roman" w:eastAsia="黑体"/>
          <w:sz w:val="32"/>
          <w:szCs w:val="32"/>
          <w:highlight w:val="yellow"/>
          <w:lang w:eastAsia="zh-CN"/>
        </w:rPr>
        <w:t>评价实施</w:t>
      </w:r>
    </w:p>
    <w:p>
      <w:pPr>
        <w:keepNext w:val="0"/>
        <w:keepLines w:val="0"/>
        <w:pageBreakBefore w:val="0"/>
        <w:widowControl w:val="0"/>
        <w:kinsoku/>
        <w:wordWrap/>
        <w:overflowPunct/>
        <w:topLinePunct w:val="0"/>
        <w:autoSpaceDE/>
        <w:autoSpaceDN/>
        <w:bidi w:val="0"/>
        <w:spacing w:line="578" w:lineRule="exact"/>
        <w:ind w:firstLine="640"/>
        <w:textAlignment w:val="auto"/>
        <w:outlineLvl w:val="9"/>
        <w:rPr>
          <w:rFonts w:hint="eastAsia" w:ascii="Times New Roman" w:hAnsi="Times New Roman" w:eastAsia="仿宋_GB2312" w:cs="仿宋_GB2312"/>
          <w:b w:val="0"/>
          <w:bCs w:val="0"/>
          <w:kern w:val="0"/>
          <w:position w:val="0"/>
          <w:sz w:val="32"/>
          <w:szCs w:val="32"/>
          <w:highlight w:val="yellow"/>
          <w:lang w:val="zh-CN" w:eastAsia="zh-CN" w:bidi="ar-SA"/>
        </w:rPr>
      </w:pPr>
      <w:r>
        <w:rPr>
          <w:rFonts w:hint="eastAsia" w:ascii="Times New Roman" w:hAnsi="Times New Roman" w:eastAsia="楷体_GB2312"/>
          <w:b/>
          <w:color w:val="auto"/>
          <w:sz w:val="32"/>
          <w:szCs w:val="32"/>
          <w:highlight w:val="yellow"/>
          <w:u w:val="none"/>
          <w:lang w:val="zh-CN"/>
        </w:rPr>
        <w:t>（一）评价目的。</w:t>
      </w:r>
      <w:r>
        <w:rPr>
          <w:rFonts w:hint="eastAsia" w:ascii="Times New Roman" w:hAnsi="Times New Roman" w:eastAsia="仿宋_GB2312" w:cs="仿宋_GB2312"/>
          <w:b w:val="0"/>
          <w:bCs w:val="0"/>
          <w:kern w:val="0"/>
          <w:position w:val="0"/>
          <w:sz w:val="32"/>
          <w:szCs w:val="32"/>
          <w:highlight w:val="yellow"/>
          <w:lang w:val="zh-CN" w:eastAsia="zh-CN" w:bidi="ar-SA"/>
        </w:rPr>
        <w:t>通过项目绩效自评要实现的目的。</w:t>
      </w:r>
    </w:p>
    <w:p>
      <w:pPr>
        <w:keepNext w:val="0"/>
        <w:keepLines w:val="0"/>
        <w:pageBreakBefore w:val="0"/>
        <w:widowControl w:val="0"/>
        <w:kinsoku/>
        <w:wordWrap/>
        <w:overflowPunct/>
        <w:topLinePunct w:val="0"/>
        <w:autoSpaceDE/>
        <w:autoSpaceDN/>
        <w:bidi w:val="0"/>
        <w:adjustRightInd w:val="0"/>
        <w:snapToGrid w:val="0"/>
        <w:spacing w:line="578" w:lineRule="exact"/>
        <w:ind w:left="0" w:leftChars="0" w:firstLine="643" w:firstLineChars="200"/>
        <w:textAlignment w:val="auto"/>
        <w:outlineLvl w:val="9"/>
        <w:rPr>
          <w:rFonts w:hint="eastAsia" w:ascii="Times New Roman" w:hAnsi="Times New Roman" w:eastAsia="仿宋_GB2312" w:cs="仿宋_GB2312"/>
          <w:b w:val="0"/>
          <w:bCs w:val="0"/>
          <w:kern w:val="0"/>
          <w:position w:val="0"/>
          <w:sz w:val="32"/>
          <w:szCs w:val="32"/>
          <w:highlight w:val="yellow"/>
          <w:lang w:val="zh-CN" w:eastAsia="zh-CN" w:bidi="ar-SA"/>
        </w:rPr>
      </w:pPr>
      <w:r>
        <w:rPr>
          <w:rFonts w:hint="eastAsia" w:ascii="Times New Roman" w:hAnsi="Times New Roman" w:eastAsia="楷体_GB2312"/>
          <w:b/>
          <w:color w:val="auto"/>
          <w:sz w:val="32"/>
          <w:szCs w:val="32"/>
          <w:highlight w:val="yellow"/>
          <w:u w:val="none"/>
          <w:lang w:val="zh-CN"/>
        </w:rPr>
        <w:t>（二）预设问题及评价重点。</w:t>
      </w:r>
      <w:r>
        <w:rPr>
          <w:rFonts w:hint="eastAsia" w:ascii="Times New Roman" w:hAnsi="Times New Roman" w:eastAsia="仿宋_GB2312" w:cs="仿宋_GB2312"/>
          <w:b w:val="0"/>
          <w:bCs w:val="0"/>
          <w:kern w:val="0"/>
          <w:position w:val="0"/>
          <w:sz w:val="32"/>
          <w:szCs w:val="32"/>
          <w:highlight w:val="yellow"/>
          <w:lang w:val="zh-CN" w:eastAsia="zh-CN" w:bidi="ar-SA"/>
        </w:rPr>
        <w:t>按照绩效评价指标体系，对资金支出使用全过程及其实施效果进行综合评价和判断。</w:t>
      </w:r>
    </w:p>
    <w:p>
      <w:pPr>
        <w:keepNext w:val="0"/>
        <w:keepLines w:val="0"/>
        <w:pageBreakBefore w:val="0"/>
        <w:widowControl w:val="0"/>
        <w:kinsoku/>
        <w:wordWrap/>
        <w:overflowPunct/>
        <w:topLinePunct w:val="0"/>
        <w:autoSpaceDE/>
        <w:autoSpaceDN/>
        <w:bidi w:val="0"/>
        <w:spacing w:line="578" w:lineRule="exact"/>
        <w:ind w:firstLine="640"/>
        <w:textAlignment w:val="auto"/>
        <w:outlineLvl w:val="9"/>
        <w:rPr>
          <w:rFonts w:hint="eastAsia" w:ascii="Times New Roman" w:hAnsi="Times New Roman" w:eastAsia="楷体_GB2312"/>
          <w:b/>
          <w:color w:val="auto"/>
          <w:sz w:val="32"/>
          <w:szCs w:val="32"/>
          <w:highlight w:val="yellow"/>
          <w:u w:val="none"/>
          <w:lang w:val="zh-CN"/>
        </w:rPr>
      </w:pPr>
      <w:r>
        <w:rPr>
          <w:rFonts w:hint="eastAsia" w:ascii="Times New Roman" w:hAnsi="Times New Roman" w:eastAsia="楷体_GB2312"/>
          <w:b/>
          <w:color w:val="auto"/>
          <w:sz w:val="32"/>
          <w:szCs w:val="32"/>
          <w:highlight w:val="yellow"/>
          <w:u w:val="none"/>
          <w:lang w:val="zh-CN"/>
        </w:rPr>
        <w:t>（三）评价选点。</w:t>
      </w:r>
      <w:r>
        <w:rPr>
          <w:rFonts w:hint="eastAsia" w:ascii="Times New Roman" w:hAnsi="Times New Roman" w:eastAsia="仿宋_GB2312" w:cs="仿宋_GB2312"/>
          <w:b w:val="0"/>
          <w:color w:val="auto"/>
          <w:kern w:val="0"/>
          <w:sz w:val="32"/>
          <w:szCs w:val="32"/>
          <w:highlight w:val="yellow"/>
          <w:u w:val="none"/>
          <w:lang w:val="zh-CN"/>
        </w:rPr>
        <w:t>项目绩效自评所抽样点位情况。每个专项预算项目应选取专项资金分配涉及市县总数的20%、总计不超过20个的市县点位进行实地踏勘，且点位清单应作为自评附表。</w:t>
      </w:r>
    </w:p>
    <w:p>
      <w:pPr>
        <w:keepNext w:val="0"/>
        <w:keepLines w:val="0"/>
        <w:pageBreakBefore w:val="0"/>
        <w:widowControl w:val="0"/>
        <w:kinsoku/>
        <w:wordWrap/>
        <w:overflowPunct/>
        <w:topLinePunct w:val="0"/>
        <w:autoSpaceDE/>
        <w:autoSpaceDN/>
        <w:bidi w:val="0"/>
        <w:spacing w:line="578" w:lineRule="exact"/>
        <w:ind w:firstLine="640"/>
        <w:textAlignment w:val="auto"/>
        <w:outlineLvl w:val="9"/>
        <w:rPr>
          <w:rFonts w:hint="eastAsia" w:ascii="Times New Roman" w:hAnsi="Times New Roman" w:eastAsia="仿宋_GB2312" w:cs="仿宋_GB2312"/>
          <w:b w:val="0"/>
          <w:bCs w:val="0"/>
          <w:kern w:val="0"/>
          <w:position w:val="0"/>
          <w:sz w:val="32"/>
          <w:szCs w:val="32"/>
          <w:highlight w:val="yellow"/>
          <w:lang w:val="zh-CN" w:eastAsia="zh-CN" w:bidi="ar-SA"/>
        </w:rPr>
      </w:pPr>
      <w:r>
        <w:rPr>
          <w:rFonts w:hint="eastAsia" w:ascii="Times New Roman" w:hAnsi="Times New Roman" w:eastAsia="楷体_GB2312"/>
          <w:b/>
          <w:color w:val="auto"/>
          <w:sz w:val="32"/>
          <w:szCs w:val="32"/>
          <w:highlight w:val="yellow"/>
          <w:u w:val="none"/>
          <w:lang w:val="zh-CN"/>
        </w:rPr>
        <w:t>（四）评价方法。</w:t>
      </w:r>
      <w:r>
        <w:rPr>
          <w:rFonts w:hint="eastAsia" w:ascii="Times New Roman" w:hAnsi="Times New Roman" w:eastAsia="仿宋_GB2312" w:cs="仿宋_GB2312"/>
          <w:b w:val="0"/>
          <w:bCs w:val="0"/>
          <w:kern w:val="0"/>
          <w:position w:val="0"/>
          <w:sz w:val="32"/>
          <w:szCs w:val="32"/>
          <w:highlight w:val="yellow"/>
          <w:lang w:val="zh-CN" w:eastAsia="zh-CN" w:bidi="ar-SA"/>
        </w:rPr>
        <w:t>根据项目情况和评价重点，用来收集相关材料和开展具体评价的方法。包括：采用成本效益分析法、标杆管理法、案卷研究法、单位自评法、实地勘察法、问卷调查法、座谈调研法等多种方法。</w:t>
      </w:r>
    </w:p>
    <w:p>
      <w:pPr>
        <w:keepNext w:val="0"/>
        <w:keepLines w:val="0"/>
        <w:pageBreakBefore w:val="0"/>
        <w:widowControl w:val="0"/>
        <w:kinsoku/>
        <w:wordWrap/>
        <w:overflowPunct/>
        <w:topLinePunct w:val="0"/>
        <w:autoSpaceDE/>
        <w:autoSpaceDN/>
        <w:bidi w:val="0"/>
        <w:spacing w:line="578" w:lineRule="exact"/>
        <w:ind w:firstLine="640"/>
        <w:textAlignment w:val="auto"/>
        <w:outlineLvl w:val="9"/>
        <w:rPr>
          <w:rFonts w:hint="eastAsia" w:ascii="Times New Roman" w:hAnsi="Times New Roman" w:eastAsia="仿宋_GB2312" w:cs="Times New Roman"/>
          <w:bCs/>
          <w:highlight w:val="yellow"/>
          <w:lang w:eastAsia="zh-CN"/>
        </w:rPr>
      </w:pPr>
      <w:r>
        <w:rPr>
          <w:rFonts w:hint="eastAsia" w:ascii="Times New Roman" w:hAnsi="Times New Roman" w:eastAsia="楷体_GB2312"/>
          <w:b/>
          <w:color w:val="auto"/>
          <w:sz w:val="32"/>
          <w:szCs w:val="32"/>
          <w:highlight w:val="yellow"/>
          <w:u w:val="none"/>
          <w:lang w:val="zh-CN"/>
        </w:rPr>
        <w:t>（五）评价组织。</w:t>
      </w:r>
      <w:r>
        <w:rPr>
          <w:rFonts w:hint="eastAsia" w:ascii="Times New Roman" w:hAnsi="Times New Roman" w:eastAsia="仿宋_GB2312" w:cs="仿宋_GB2312"/>
          <w:b w:val="0"/>
          <w:bCs w:val="0"/>
          <w:kern w:val="0"/>
          <w:position w:val="0"/>
          <w:sz w:val="32"/>
          <w:szCs w:val="32"/>
          <w:highlight w:val="yellow"/>
          <w:lang w:val="zh-CN" w:eastAsia="zh-CN" w:bidi="ar-SA"/>
        </w:rPr>
        <w:t>评价组人员构成和职责分工。</w:t>
      </w:r>
    </w:p>
    <w:p>
      <w:pPr>
        <w:keepNext w:val="0"/>
        <w:keepLines w:val="0"/>
        <w:pageBreakBefore w:val="0"/>
        <w:kinsoku/>
        <w:wordWrap/>
        <w:overflowPunct/>
        <w:topLinePunct w:val="0"/>
        <w:autoSpaceDE/>
        <w:autoSpaceDN/>
        <w:bidi w:val="0"/>
        <w:adjustRightInd w:val="0"/>
        <w:snapToGrid w:val="0"/>
        <w:spacing w:line="578" w:lineRule="exact"/>
        <w:ind w:firstLine="640" w:firstLineChars="200"/>
        <w:textAlignment w:val="auto"/>
        <w:rPr>
          <w:rFonts w:ascii="Times New Roman" w:hAnsi="Times New Roman"/>
          <w:color w:val="auto"/>
          <w:sz w:val="32"/>
          <w:szCs w:val="32"/>
          <w:highlight w:val="yellow"/>
          <w:u w:val="none"/>
          <w:lang w:val="zh-CN"/>
        </w:rPr>
      </w:pPr>
      <w:r>
        <w:rPr>
          <w:rFonts w:hint="eastAsia" w:ascii="Times New Roman" w:hAnsi="Times New Roman" w:eastAsia="黑体"/>
          <w:color w:val="auto"/>
          <w:sz w:val="32"/>
          <w:szCs w:val="32"/>
          <w:highlight w:val="yellow"/>
          <w:u w:val="none"/>
        </w:rPr>
        <w:t>三、</w:t>
      </w:r>
      <w:r>
        <w:rPr>
          <w:rFonts w:hint="eastAsia" w:ascii="Times New Roman" w:hAnsi="Times New Roman" w:eastAsia="黑体"/>
          <w:color w:val="auto"/>
          <w:sz w:val="32"/>
          <w:szCs w:val="32"/>
          <w:highlight w:val="yellow"/>
          <w:u w:val="none"/>
          <w:lang w:eastAsia="zh-CN"/>
        </w:rPr>
        <w:t>绩效分析</w:t>
      </w:r>
      <w:r>
        <w:rPr>
          <w:rFonts w:hint="eastAsia" w:ascii="Times New Roman" w:hAnsi="Times New Roman"/>
          <w:color w:val="auto"/>
          <w:sz w:val="32"/>
          <w:szCs w:val="32"/>
          <w:highlight w:val="yellow"/>
          <w:u w:val="none"/>
          <w:lang w:val="zh-CN"/>
        </w:rPr>
        <w:tab/>
      </w:r>
    </w:p>
    <w:p>
      <w:pPr>
        <w:keepNext w:val="0"/>
        <w:keepLines w:val="0"/>
        <w:pageBreakBefore w:val="0"/>
        <w:widowControl w:val="0"/>
        <w:kinsoku/>
        <w:wordWrap/>
        <w:overflowPunct/>
        <w:topLinePunct w:val="0"/>
        <w:autoSpaceDE/>
        <w:autoSpaceDN/>
        <w:bidi w:val="0"/>
        <w:spacing w:line="578" w:lineRule="exact"/>
        <w:ind w:firstLine="640"/>
        <w:textAlignment w:val="auto"/>
        <w:outlineLvl w:val="9"/>
        <w:rPr>
          <w:rFonts w:hint="eastAsia" w:ascii="Times New Roman" w:hAnsi="Times New Roman" w:eastAsia="仿宋_GB2312" w:cs="仿宋_GB2312"/>
          <w:b w:val="0"/>
          <w:bCs w:val="0"/>
          <w:kern w:val="0"/>
          <w:position w:val="0"/>
          <w:sz w:val="32"/>
          <w:szCs w:val="32"/>
          <w:highlight w:val="yellow"/>
          <w:lang w:val="en-US" w:eastAsia="zh-CN" w:bidi="ar-SA"/>
        </w:rPr>
      </w:pPr>
      <w:r>
        <w:rPr>
          <w:rFonts w:hint="default" w:ascii="Times New Roman" w:hAnsi="Times New Roman" w:eastAsia="仿宋_GB2312" w:cs="仿宋_GB2312"/>
          <w:b w:val="0"/>
          <w:bCs w:val="0"/>
          <w:kern w:val="0"/>
          <w:position w:val="0"/>
          <w:sz w:val="32"/>
          <w:szCs w:val="32"/>
          <w:highlight w:val="yellow"/>
          <w:lang w:val="zh-CN" w:eastAsia="zh-CN" w:bidi="ar-SA"/>
        </w:rPr>
        <w:t>根据</w:t>
      </w:r>
      <w:r>
        <w:rPr>
          <w:rFonts w:hint="eastAsia" w:ascii="Times New Roman" w:hAnsi="Times New Roman" w:eastAsia="仿宋_GB2312" w:cs="仿宋_GB2312"/>
          <w:b w:val="0"/>
          <w:bCs w:val="0"/>
          <w:kern w:val="0"/>
          <w:position w:val="0"/>
          <w:sz w:val="32"/>
          <w:szCs w:val="32"/>
          <w:highlight w:val="yellow"/>
          <w:lang w:val="zh-CN" w:eastAsia="zh-CN" w:bidi="ar-SA"/>
        </w:rPr>
        <w:t>项目</w:t>
      </w:r>
      <w:r>
        <w:rPr>
          <w:rFonts w:hint="default" w:ascii="Times New Roman" w:hAnsi="Times New Roman" w:eastAsia="仿宋_GB2312" w:cs="仿宋_GB2312"/>
          <w:b w:val="0"/>
          <w:bCs w:val="0"/>
          <w:kern w:val="0"/>
          <w:position w:val="0"/>
          <w:sz w:val="32"/>
          <w:szCs w:val="32"/>
          <w:highlight w:val="yellow"/>
          <w:lang w:val="zh-CN" w:eastAsia="zh-CN" w:bidi="ar-SA"/>
        </w:rPr>
        <w:t>预算绩效评价指标体系</w:t>
      </w:r>
      <w:r>
        <w:rPr>
          <w:rFonts w:hint="eastAsia" w:ascii="Times New Roman" w:hAnsi="Times New Roman" w:eastAsia="仿宋_GB2312" w:cs="仿宋_GB2312"/>
          <w:b w:val="0"/>
          <w:bCs w:val="0"/>
          <w:kern w:val="0"/>
          <w:position w:val="0"/>
          <w:sz w:val="32"/>
          <w:szCs w:val="32"/>
          <w:highlight w:val="yellow"/>
          <w:lang w:val="zh-CN" w:eastAsia="zh-CN" w:bidi="ar-SA"/>
        </w:rPr>
        <w:t>通用指标、专用指标、个性指标</w:t>
      </w:r>
      <w:r>
        <w:rPr>
          <w:rFonts w:hint="default" w:ascii="Times New Roman" w:hAnsi="Times New Roman" w:eastAsia="仿宋_GB2312" w:cs="仿宋_GB2312"/>
          <w:b w:val="0"/>
          <w:bCs w:val="0"/>
          <w:kern w:val="0"/>
          <w:position w:val="0"/>
          <w:sz w:val="32"/>
          <w:szCs w:val="32"/>
          <w:highlight w:val="yellow"/>
          <w:lang w:val="zh-CN" w:eastAsia="zh-CN" w:bidi="ar-SA"/>
        </w:rPr>
        <w:t>涉及</w:t>
      </w:r>
      <w:r>
        <w:rPr>
          <w:rFonts w:hint="eastAsia" w:ascii="Times New Roman" w:hAnsi="Times New Roman" w:eastAsia="仿宋_GB2312" w:cs="仿宋_GB2312"/>
          <w:b w:val="0"/>
          <w:bCs w:val="0"/>
          <w:kern w:val="0"/>
          <w:position w:val="0"/>
          <w:sz w:val="32"/>
          <w:szCs w:val="32"/>
          <w:highlight w:val="yellow"/>
          <w:lang w:val="zh-CN" w:eastAsia="zh-CN" w:bidi="ar-SA"/>
        </w:rPr>
        <w:t>二、三级</w:t>
      </w:r>
      <w:r>
        <w:rPr>
          <w:rFonts w:hint="default" w:ascii="Times New Roman" w:hAnsi="Times New Roman" w:eastAsia="仿宋_GB2312" w:cs="仿宋_GB2312"/>
          <w:b w:val="0"/>
          <w:bCs w:val="0"/>
          <w:kern w:val="0"/>
          <w:position w:val="0"/>
          <w:sz w:val="32"/>
          <w:szCs w:val="32"/>
          <w:highlight w:val="yellow"/>
          <w:lang w:val="zh-CN" w:eastAsia="zh-CN" w:bidi="ar-SA"/>
        </w:rPr>
        <w:t>指标进行</w:t>
      </w:r>
      <w:r>
        <w:rPr>
          <w:rFonts w:hint="eastAsia" w:ascii="Times New Roman" w:hAnsi="Times New Roman" w:eastAsia="仿宋_GB2312" w:cs="仿宋_GB2312"/>
          <w:b w:val="0"/>
          <w:bCs w:val="0"/>
          <w:kern w:val="0"/>
          <w:position w:val="0"/>
          <w:sz w:val="32"/>
          <w:szCs w:val="32"/>
          <w:highlight w:val="yellow"/>
          <w:lang w:val="zh-CN" w:eastAsia="zh-CN" w:bidi="ar-SA"/>
        </w:rPr>
        <w:t>逐项</w:t>
      </w:r>
      <w:r>
        <w:rPr>
          <w:rFonts w:hint="default" w:ascii="Times New Roman" w:hAnsi="Times New Roman" w:eastAsia="仿宋_GB2312" w:cs="仿宋_GB2312"/>
          <w:b w:val="0"/>
          <w:bCs w:val="0"/>
          <w:kern w:val="0"/>
          <w:position w:val="0"/>
          <w:sz w:val="32"/>
          <w:szCs w:val="32"/>
          <w:highlight w:val="yellow"/>
          <w:lang w:val="zh-CN" w:eastAsia="zh-CN" w:bidi="ar-SA"/>
        </w:rPr>
        <w:t>绩效分析</w:t>
      </w:r>
      <w:r>
        <w:rPr>
          <w:rFonts w:hint="eastAsia" w:ascii="Times New Roman" w:hAnsi="Times New Roman" w:eastAsia="仿宋_GB2312" w:cs="仿宋_GB2312"/>
          <w:b w:val="0"/>
          <w:bCs w:val="0"/>
          <w:kern w:val="0"/>
          <w:position w:val="0"/>
          <w:sz w:val="32"/>
          <w:szCs w:val="32"/>
          <w:highlight w:val="yellow"/>
          <w:lang w:val="zh-CN" w:eastAsia="zh-CN" w:bidi="ar-SA"/>
        </w:rPr>
        <w:t>并评分</w:t>
      </w:r>
      <w:r>
        <w:rPr>
          <w:rFonts w:hint="eastAsia" w:ascii="Times New Roman" w:hAnsi="Times New Roman" w:eastAsia="仿宋_GB2312" w:cs="仿宋_GB2312"/>
          <w:b w:val="0"/>
          <w:bCs w:val="0"/>
          <w:kern w:val="0"/>
          <w:position w:val="0"/>
          <w:sz w:val="32"/>
          <w:szCs w:val="32"/>
          <w:highlight w:val="yellow"/>
          <w:lang w:val="en-US" w:eastAsia="zh-CN" w:bidi="ar-SA"/>
        </w:rPr>
        <w:t>。</w:t>
      </w:r>
    </w:p>
    <w:p>
      <w:pPr>
        <w:keepNext w:val="0"/>
        <w:keepLines w:val="0"/>
        <w:pageBreakBefore w:val="0"/>
        <w:widowControl w:val="0"/>
        <w:kinsoku/>
        <w:wordWrap/>
        <w:overflowPunct/>
        <w:topLinePunct w:val="0"/>
        <w:autoSpaceDE/>
        <w:autoSpaceDN/>
        <w:bidi w:val="0"/>
        <w:adjustRightInd/>
        <w:snapToGrid/>
        <w:spacing w:line="578" w:lineRule="exact"/>
        <w:ind w:firstLine="640"/>
        <w:textAlignment w:val="auto"/>
        <w:outlineLvl w:val="9"/>
        <w:rPr>
          <w:rFonts w:hint="eastAsia" w:ascii="Times New Roman" w:hAnsi="Times New Roman" w:eastAsia="楷体_GB2312" w:cs="Times New Roman"/>
          <w:b/>
          <w:color w:val="auto"/>
          <w:sz w:val="32"/>
          <w:szCs w:val="32"/>
          <w:highlight w:val="yellow"/>
          <w:u w:val="none"/>
          <w:lang w:val="en-US" w:eastAsia="zh-CN"/>
        </w:rPr>
      </w:pPr>
      <w:r>
        <w:rPr>
          <w:rFonts w:hint="eastAsia" w:ascii="Times New Roman" w:hAnsi="Times New Roman" w:eastAsia="楷体_GB2312" w:cs="Times New Roman"/>
          <w:b/>
          <w:color w:val="auto"/>
          <w:sz w:val="32"/>
          <w:szCs w:val="32"/>
          <w:highlight w:val="yellow"/>
          <w:u w:val="none"/>
          <w:lang w:val="zh-CN"/>
        </w:rPr>
        <w:t>（一）</w:t>
      </w:r>
      <w:r>
        <w:rPr>
          <w:rFonts w:hint="eastAsia" w:ascii="Times New Roman" w:hAnsi="Times New Roman" w:eastAsia="楷体_GB2312" w:cs="Times New Roman"/>
          <w:b/>
          <w:color w:val="auto"/>
          <w:sz w:val="32"/>
          <w:szCs w:val="32"/>
          <w:highlight w:val="yellow"/>
          <w:u w:val="none"/>
          <w:lang w:val="en-US" w:eastAsia="zh-CN"/>
        </w:rPr>
        <w:t>通用指标</w:t>
      </w:r>
      <w:r>
        <w:rPr>
          <w:rFonts w:hint="default" w:ascii="Times New Roman" w:hAnsi="Times New Roman" w:eastAsia="楷体_GB2312" w:cs="Times New Roman"/>
          <w:b/>
          <w:bCs/>
          <w:color w:val="000000"/>
          <w:kern w:val="0"/>
          <w:sz w:val="32"/>
          <w:szCs w:val="32"/>
          <w:highlight w:val="yellow"/>
          <w:shd w:val="clear" w:color="auto" w:fill="FFFFFF"/>
          <w:lang w:val="zh-CN"/>
        </w:rPr>
        <w:t>绩效分析。</w:t>
      </w:r>
    </w:p>
    <w:p>
      <w:pPr>
        <w:keepNext w:val="0"/>
        <w:keepLines w:val="0"/>
        <w:pageBreakBefore w:val="0"/>
        <w:widowControl w:val="0"/>
        <w:kinsoku/>
        <w:wordWrap/>
        <w:overflowPunct/>
        <w:topLinePunct w:val="0"/>
        <w:autoSpaceDE/>
        <w:autoSpaceDN/>
        <w:bidi w:val="0"/>
        <w:spacing w:line="578" w:lineRule="exact"/>
        <w:ind w:firstLine="640"/>
        <w:textAlignment w:val="auto"/>
        <w:outlineLvl w:val="9"/>
        <w:rPr>
          <w:rFonts w:hint="eastAsia" w:ascii="Times New Roman" w:hAnsi="Times New Roman" w:eastAsia="仿宋_GB2312" w:cs="仿宋_GB2312"/>
          <w:b w:val="0"/>
          <w:bCs w:val="0"/>
          <w:kern w:val="0"/>
          <w:position w:val="0"/>
          <w:sz w:val="32"/>
          <w:szCs w:val="32"/>
          <w:highlight w:val="yellow"/>
          <w:lang w:val="zh-CN" w:eastAsia="zh-CN" w:bidi="ar-SA"/>
        </w:rPr>
      </w:pPr>
      <w:r>
        <w:rPr>
          <w:rFonts w:hint="eastAsia" w:ascii="Times New Roman" w:hAnsi="Times New Roman" w:eastAsia="仿宋_GB2312" w:cs="仿宋_GB2312"/>
          <w:b w:val="0"/>
          <w:bCs w:val="0"/>
          <w:kern w:val="0"/>
          <w:position w:val="0"/>
          <w:sz w:val="32"/>
          <w:szCs w:val="32"/>
          <w:highlight w:val="yellow"/>
          <w:lang w:val="en-US" w:eastAsia="zh-CN" w:bidi="ar-SA"/>
        </w:rPr>
        <w:t>1.</w:t>
      </w:r>
      <w:r>
        <w:rPr>
          <w:rFonts w:hint="eastAsia" w:ascii="Times New Roman" w:hAnsi="Times New Roman" w:eastAsia="仿宋_GB2312" w:cs="仿宋_GB2312"/>
          <w:b w:val="0"/>
          <w:bCs w:val="0"/>
          <w:kern w:val="0"/>
          <w:position w:val="0"/>
          <w:sz w:val="32"/>
          <w:szCs w:val="32"/>
          <w:highlight w:val="yellow"/>
          <w:lang w:val="zh-CN" w:eastAsia="zh-CN" w:bidi="ar-SA"/>
        </w:rPr>
        <w:t>项目决策。围绕决策程序、规划论证、资金投向进行绩效分析。</w:t>
      </w:r>
    </w:p>
    <w:p>
      <w:pPr>
        <w:keepNext w:val="0"/>
        <w:keepLines w:val="0"/>
        <w:pageBreakBefore w:val="0"/>
        <w:widowControl w:val="0"/>
        <w:kinsoku/>
        <w:wordWrap/>
        <w:overflowPunct/>
        <w:topLinePunct w:val="0"/>
        <w:autoSpaceDE/>
        <w:autoSpaceDN/>
        <w:bidi w:val="0"/>
        <w:spacing w:line="578" w:lineRule="exact"/>
        <w:ind w:firstLine="640"/>
        <w:textAlignment w:val="auto"/>
        <w:outlineLvl w:val="9"/>
        <w:rPr>
          <w:rFonts w:hint="eastAsia" w:ascii="Times New Roman" w:hAnsi="Times New Roman" w:eastAsia="仿宋_GB2312" w:cs="仿宋_GB2312"/>
          <w:b w:val="0"/>
          <w:bCs w:val="0"/>
          <w:kern w:val="0"/>
          <w:position w:val="0"/>
          <w:sz w:val="32"/>
          <w:szCs w:val="32"/>
          <w:highlight w:val="yellow"/>
          <w:lang w:val="zh-CN" w:eastAsia="zh-CN" w:bidi="ar-SA"/>
        </w:rPr>
      </w:pPr>
      <w:r>
        <w:rPr>
          <w:rFonts w:hint="eastAsia" w:ascii="Times New Roman" w:hAnsi="Times New Roman" w:eastAsia="仿宋_GB2312" w:cs="仿宋_GB2312"/>
          <w:b w:val="0"/>
          <w:bCs w:val="0"/>
          <w:kern w:val="0"/>
          <w:position w:val="0"/>
          <w:sz w:val="32"/>
          <w:szCs w:val="32"/>
          <w:highlight w:val="yellow"/>
          <w:lang w:val="en-US" w:eastAsia="zh-CN" w:bidi="ar-SA"/>
        </w:rPr>
        <w:t>2.</w:t>
      </w:r>
      <w:r>
        <w:rPr>
          <w:rFonts w:hint="eastAsia" w:ascii="Times New Roman" w:hAnsi="Times New Roman" w:eastAsia="仿宋_GB2312" w:cs="仿宋_GB2312"/>
          <w:b w:val="0"/>
          <w:bCs w:val="0"/>
          <w:kern w:val="0"/>
          <w:position w:val="0"/>
          <w:sz w:val="32"/>
          <w:szCs w:val="32"/>
          <w:highlight w:val="yellow"/>
          <w:lang w:val="zh-CN" w:eastAsia="zh-CN" w:bidi="ar-SA"/>
        </w:rPr>
        <w:t>项目管理。围绕制度办法、分配管理、绩效监管进行绩效分析。</w:t>
      </w:r>
    </w:p>
    <w:p>
      <w:pPr>
        <w:keepNext w:val="0"/>
        <w:keepLines w:val="0"/>
        <w:pageBreakBefore w:val="0"/>
        <w:widowControl w:val="0"/>
        <w:kinsoku/>
        <w:wordWrap/>
        <w:overflowPunct/>
        <w:topLinePunct w:val="0"/>
        <w:autoSpaceDE/>
        <w:autoSpaceDN/>
        <w:bidi w:val="0"/>
        <w:spacing w:line="578" w:lineRule="exact"/>
        <w:ind w:firstLine="640"/>
        <w:textAlignment w:val="auto"/>
        <w:outlineLvl w:val="9"/>
        <w:rPr>
          <w:rFonts w:hint="eastAsia" w:ascii="Times New Roman" w:hAnsi="Times New Roman" w:eastAsia="仿宋_GB2312" w:cs="仿宋_GB2312"/>
          <w:b w:val="0"/>
          <w:bCs w:val="0"/>
          <w:kern w:val="0"/>
          <w:position w:val="0"/>
          <w:sz w:val="32"/>
          <w:szCs w:val="32"/>
          <w:highlight w:val="yellow"/>
          <w:lang w:val="zh-CN" w:eastAsia="zh-CN" w:bidi="ar-SA"/>
        </w:rPr>
      </w:pPr>
      <w:r>
        <w:rPr>
          <w:rFonts w:hint="eastAsia" w:ascii="Times New Roman" w:hAnsi="Times New Roman" w:eastAsia="仿宋_GB2312" w:cs="仿宋_GB2312"/>
          <w:b w:val="0"/>
          <w:bCs w:val="0"/>
          <w:kern w:val="0"/>
          <w:position w:val="0"/>
          <w:sz w:val="32"/>
          <w:szCs w:val="32"/>
          <w:highlight w:val="yellow"/>
          <w:lang w:val="en-US" w:eastAsia="zh-CN" w:bidi="ar-SA"/>
        </w:rPr>
        <w:t>3.项目实施。</w:t>
      </w:r>
      <w:r>
        <w:rPr>
          <w:rFonts w:hint="eastAsia" w:ascii="Times New Roman" w:hAnsi="Times New Roman" w:eastAsia="仿宋_GB2312" w:cs="仿宋_GB2312"/>
          <w:b w:val="0"/>
          <w:bCs w:val="0"/>
          <w:kern w:val="0"/>
          <w:position w:val="0"/>
          <w:sz w:val="32"/>
          <w:szCs w:val="32"/>
          <w:highlight w:val="yellow"/>
          <w:lang w:val="zh-CN" w:eastAsia="zh-CN" w:bidi="ar-SA"/>
        </w:rPr>
        <w:t>围绕预算执行、资金使用进行绩效分析。</w:t>
      </w:r>
    </w:p>
    <w:p>
      <w:pPr>
        <w:keepNext w:val="0"/>
        <w:keepLines w:val="0"/>
        <w:pageBreakBefore w:val="0"/>
        <w:widowControl w:val="0"/>
        <w:kinsoku/>
        <w:wordWrap/>
        <w:overflowPunct/>
        <w:topLinePunct w:val="0"/>
        <w:autoSpaceDE/>
        <w:autoSpaceDN/>
        <w:bidi w:val="0"/>
        <w:spacing w:line="578" w:lineRule="exact"/>
        <w:ind w:firstLine="640"/>
        <w:textAlignment w:val="auto"/>
        <w:outlineLvl w:val="9"/>
        <w:rPr>
          <w:rFonts w:hint="eastAsia" w:ascii="Times New Roman" w:hAnsi="Times New Roman" w:eastAsia="仿宋_GB2312" w:cs="仿宋_GB2312"/>
          <w:b w:val="0"/>
          <w:bCs w:val="0"/>
          <w:kern w:val="0"/>
          <w:position w:val="0"/>
          <w:sz w:val="32"/>
          <w:szCs w:val="32"/>
          <w:highlight w:val="yellow"/>
          <w:lang w:val="zh-CN" w:eastAsia="zh-CN" w:bidi="ar-SA"/>
        </w:rPr>
      </w:pPr>
      <w:r>
        <w:rPr>
          <w:rFonts w:hint="eastAsia" w:ascii="Times New Roman" w:hAnsi="Times New Roman" w:eastAsia="仿宋_GB2312" w:cs="仿宋_GB2312"/>
          <w:b w:val="0"/>
          <w:bCs w:val="0"/>
          <w:kern w:val="0"/>
          <w:position w:val="0"/>
          <w:sz w:val="32"/>
          <w:szCs w:val="32"/>
          <w:highlight w:val="yellow"/>
          <w:lang w:val="en-US" w:eastAsia="zh-CN" w:bidi="ar-SA"/>
        </w:rPr>
        <w:t>4.项目结果。围绕</w:t>
      </w:r>
      <w:r>
        <w:rPr>
          <w:rFonts w:hint="eastAsia" w:ascii="Times New Roman" w:hAnsi="Times New Roman" w:eastAsia="仿宋_GB2312" w:cs="仿宋_GB2312"/>
          <w:b w:val="0"/>
          <w:bCs w:val="0"/>
          <w:kern w:val="0"/>
          <w:position w:val="0"/>
          <w:sz w:val="32"/>
          <w:szCs w:val="32"/>
          <w:highlight w:val="yellow"/>
          <w:lang w:val="zh-CN" w:eastAsia="zh-CN" w:bidi="ar-SA"/>
        </w:rPr>
        <w:t>目标完成、完成时效进行绩效分析。</w:t>
      </w:r>
    </w:p>
    <w:p>
      <w:pPr>
        <w:keepNext w:val="0"/>
        <w:keepLines w:val="0"/>
        <w:pageBreakBefore w:val="0"/>
        <w:widowControl w:val="0"/>
        <w:kinsoku/>
        <w:wordWrap/>
        <w:overflowPunct/>
        <w:topLinePunct w:val="0"/>
        <w:autoSpaceDE/>
        <w:autoSpaceDN/>
        <w:bidi w:val="0"/>
        <w:spacing w:line="578" w:lineRule="exact"/>
        <w:ind w:firstLine="640"/>
        <w:textAlignment w:val="auto"/>
        <w:outlineLvl w:val="9"/>
        <w:rPr>
          <w:rFonts w:hint="eastAsia" w:ascii="Times New Roman" w:hAnsi="Times New Roman" w:eastAsia="仿宋_GB2312" w:cs="仿宋_GB2312"/>
          <w:b w:val="0"/>
          <w:bCs w:val="0"/>
          <w:kern w:val="0"/>
          <w:position w:val="0"/>
          <w:sz w:val="32"/>
          <w:szCs w:val="32"/>
          <w:highlight w:val="yellow"/>
          <w:lang w:val="zh-CN" w:eastAsia="zh-CN" w:bidi="ar-SA"/>
        </w:rPr>
      </w:pPr>
      <w:r>
        <w:rPr>
          <w:rFonts w:hint="eastAsia" w:ascii="Times New Roman" w:hAnsi="Times New Roman" w:eastAsia="楷体_GB2312" w:cs="Times New Roman"/>
          <w:b/>
          <w:color w:val="auto"/>
          <w:sz w:val="32"/>
          <w:szCs w:val="32"/>
          <w:highlight w:val="yellow"/>
          <w:u w:val="none"/>
          <w:lang w:val="zh-CN"/>
        </w:rPr>
        <w:t>（二）</w:t>
      </w:r>
      <w:r>
        <w:rPr>
          <w:rFonts w:hint="eastAsia" w:ascii="Times New Roman" w:hAnsi="Times New Roman" w:eastAsia="楷体_GB2312" w:cs="Times New Roman"/>
          <w:b/>
          <w:color w:val="auto"/>
          <w:sz w:val="32"/>
          <w:szCs w:val="32"/>
          <w:highlight w:val="yellow"/>
          <w:u w:val="none"/>
          <w:lang w:val="en-US" w:eastAsia="zh-CN"/>
        </w:rPr>
        <w:t>专用指标</w:t>
      </w:r>
      <w:r>
        <w:rPr>
          <w:rFonts w:hint="default" w:ascii="Times New Roman" w:hAnsi="Times New Roman" w:eastAsia="楷体_GB2312" w:cs="Times New Roman"/>
          <w:b/>
          <w:bCs/>
          <w:color w:val="000000"/>
          <w:kern w:val="0"/>
          <w:sz w:val="32"/>
          <w:szCs w:val="32"/>
          <w:highlight w:val="yellow"/>
          <w:shd w:val="clear" w:color="auto" w:fill="FFFFFF"/>
          <w:lang w:val="zh-CN"/>
        </w:rPr>
        <w:t>绩效分析。</w:t>
      </w:r>
      <w:r>
        <w:rPr>
          <w:rFonts w:hint="eastAsia" w:ascii="Times New Roman" w:hAnsi="Times New Roman" w:eastAsia="仿宋_GB2312" w:cs="仿宋_GB2312"/>
          <w:b w:val="0"/>
          <w:bCs w:val="0"/>
          <w:kern w:val="0"/>
          <w:position w:val="0"/>
          <w:sz w:val="32"/>
          <w:szCs w:val="32"/>
          <w:highlight w:val="yellow"/>
          <w:lang w:val="zh-CN" w:eastAsia="zh-CN" w:bidi="ar-SA"/>
        </w:rPr>
        <w:t>根据</w:t>
      </w:r>
      <w:r>
        <w:rPr>
          <w:rFonts w:hint="eastAsia" w:ascii="Times New Roman" w:hAnsi="Times New Roman" w:eastAsia="仿宋_GB2312" w:cs="仿宋_GB2312"/>
          <w:b w:val="0"/>
          <w:bCs w:val="0"/>
          <w:kern w:val="0"/>
          <w:position w:val="0"/>
          <w:sz w:val="32"/>
          <w:szCs w:val="32"/>
          <w:highlight w:val="yellow"/>
          <w:lang w:val="en-US" w:eastAsia="zh-CN" w:bidi="ar-SA"/>
        </w:rPr>
        <w:t>专项预算项目资金支持对象选择所属指标进行绩效分析。支持对象</w:t>
      </w:r>
      <w:r>
        <w:rPr>
          <w:rFonts w:hint="eastAsia" w:ascii="Times New Roman" w:hAnsi="Times New Roman" w:eastAsia="仿宋_GB2312" w:cs="仿宋_GB2312"/>
          <w:b w:val="0"/>
          <w:bCs w:val="0"/>
          <w:kern w:val="0"/>
          <w:position w:val="0"/>
          <w:sz w:val="32"/>
          <w:szCs w:val="32"/>
          <w:highlight w:val="yellow"/>
          <w:lang w:val="zh-CN" w:eastAsia="zh-CN" w:bidi="ar-SA"/>
        </w:rPr>
        <w:t>包括产业发展、民生保障、基础设施、行政运转等方面。</w:t>
      </w:r>
    </w:p>
    <w:p>
      <w:pPr>
        <w:keepNext w:val="0"/>
        <w:keepLines w:val="0"/>
        <w:pageBreakBefore w:val="0"/>
        <w:widowControl w:val="0"/>
        <w:kinsoku/>
        <w:wordWrap/>
        <w:overflowPunct/>
        <w:topLinePunct w:val="0"/>
        <w:autoSpaceDE/>
        <w:autoSpaceDN/>
        <w:bidi w:val="0"/>
        <w:spacing w:line="578" w:lineRule="exact"/>
        <w:ind w:firstLine="640"/>
        <w:textAlignment w:val="auto"/>
        <w:outlineLvl w:val="9"/>
        <w:rPr>
          <w:rFonts w:hint="eastAsia" w:ascii="Times New Roman" w:hAnsi="Times New Roman" w:eastAsia="仿宋_GB2312" w:cs="仿宋_GB2312"/>
          <w:b w:val="0"/>
          <w:bCs w:val="0"/>
          <w:kern w:val="0"/>
          <w:position w:val="0"/>
          <w:sz w:val="32"/>
          <w:szCs w:val="32"/>
          <w:highlight w:val="yellow"/>
          <w:lang w:val="en-US" w:eastAsia="zh-CN" w:bidi="ar-SA"/>
        </w:rPr>
      </w:pPr>
      <w:r>
        <w:rPr>
          <w:rFonts w:hint="eastAsia" w:ascii="Times New Roman" w:hAnsi="Times New Roman" w:eastAsia="仿宋_GB2312" w:cs="仿宋_GB2312"/>
          <w:b w:val="0"/>
          <w:bCs w:val="0"/>
          <w:kern w:val="0"/>
          <w:position w:val="0"/>
          <w:sz w:val="32"/>
          <w:szCs w:val="32"/>
          <w:highlight w:val="yellow"/>
          <w:lang w:val="en-US" w:eastAsia="zh-CN" w:bidi="ar-SA"/>
        </w:rPr>
        <w:t>1.产业发展。围绕符合性、成长性、经济性进行绩效分析。</w:t>
      </w:r>
    </w:p>
    <w:p>
      <w:pPr>
        <w:keepNext w:val="0"/>
        <w:keepLines w:val="0"/>
        <w:pageBreakBefore w:val="0"/>
        <w:widowControl w:val="0"/>
        <w:kinsoku/>
        <w:wordWrap/>
        <w:overflowPunct/>
        <w:topLinePunct w:val="0"/>
        <w:autoSpaceDE/>
        <w:autoSpaceDN/>
        <w:bidi w:val="0"/>
        <w:spacing w:line="578" w:lineRule="exact"/>
        <w:ind w:firstLine="640"/>
        <w:textAlignment w:val="auto"/>
        <w:outlineLvl w:val="9"/>
        <w:rPr>
          <w:rFonts w:hint="eastAsia" w:ascii="Times New Roman" w:hAnsi="Times New Roman" w:eastAsia="仿宋_GB2312" w:cs="仿宋_GB2312"/>
          <w:b w:val="0"/>
          <w:bCs w:val="0"/>
          <w:kern w:val="0"/>
          <w:position w:val="0"/>
          <w:sz w:val="32"/>
          <w:szCs w:val="32"/>
          <w:highlight w:val="yellow"/>
          <w:lang w:val="en-US" w:eastAsia="zh-CN" w:bidi="ar-SA"/>
        </w:rPr>
      </w:pPr>
      <w:r>
        <w:rPr>
          <w:rFonts w:hint="eastAsia" w:ascii="Times New Roman" w:hAnsi="Times New Roman" w:eastAsia="仿宋_GB2312" w:cs="仿宋_GB2312"/>
          <w:b w:val="0"/>
          <w:bCs w:val="0"/>
          <w:kern w:val="0"/>
          <w:position w:val="0"/>
          <w:sz w:val="32"/>
          <w:szCs w:val="32"/>
          <w:highlight w:val="yellow"/>
          <w:lang w:val="en-US" w:eastAsia="zh-CN" w:bidi="ar-SA"/>
        </w:rPr>
        <w:t>2.</w:t>
      </w:r>
      <w:r>
        <w:rPr>
          <w:rFonts w:hint="eastAsia" w:ascii="Times New Roman" w:hAnsi="Times New Roman" w:eastAsia="仿宋_GB2312" w:cs="仿宋_GB2312"/>
          <w:b w:val="0"/>
          <w:bCs w:val="0"/>
          <w:kern w:val="0"/>
          <w:position w:val="0"/>
          <w:sz w:val="32"/>
          <w:szCs w:val="32"/>
          <w:highlight w:val="yellow"/>
          <w:lang w:val="zh-CN" w:eastAsia="zh-CN" w:bidi="ar-SA"/>
        </w:rPr>
        <w:t>民生保障。</w:t>
      </w:r>
      <w:r>
        <w:rPr>
          <w:rFonts w:hint="eastAsia" w:ascii="Times New Roman" w:hAnsi="Times New Roman" w:eastAsia="仿宋_GB2312" w:cs="仿宋_GB2312"/>
          <w:b w:val="0"/>
          <w:bCs w:val="0"/>
          <w:kern w:val="0"/>
          <w:position w:val="0"/>
          <w:sz w:val="32"/>
          <w:szCs w:val="32"/>
          <w:highlight w:val="yellow"/>
          <w:lang w:val="en-US" w:eastAsia="zh-CN" w:bidi="ar-SA"/>
        </w:rPr>
        <w:t>围绕区域均衡性、对象精准性、标准合理性、群众满意度进行绩效分析。</w:t>
      </w:r>
    </w:p>
    <w:p>
      <w:pPr>
        <w:keepNext w:val="0"/>
        <w:keepLines w:val="0"/>
        <w:pageBreakBefore w:val="0"/>
        <w:widowControl w:val="0"/>
        <w:kinsoku/>
        <w:wordWrap/>
        <w:overflowPunct/>
        <w:topLinePunct w:val="0"/>
        <w:autoSpaceDE/>
        <w:autoSpaceDN/>
        <w:bidi w:val="0"/>
        <w:spacing w:line="578" w:lineRule="exact"/>
        <w:ind w:firstLine="640"/>
        <w:textAlignment w:val="auto"/>
        <w:outlineLvl w:val="9"/>
        <w:rPr>
          <w:rFonts w:hint="eastAsia" w:ascii="Times New Roman" w:hAnsi="Times New Roman" w:eastAsia="仿宋_GB2312" w:cs="仿宋_GB2312"/>
          <w:b w:val="0"/>
          <w:bCs w:val="0"/>
          <w:kern w:val="0"/>
          <w:position w:val="0"/>
          <w:sz w:val="32"/>
          <w:szCs w:val="32"/>
          <w:highlight w:val="yellow"/>
          <w:lang w:val="en-US" w:eastAsia="zh-CN" w:bidi="ar-SA"/>
        </w:rPr>
      </w:pPr>
      <w:r>
        <w:rPr>
          <w:rFonts w:hint="eastAsia" w:ascii="Times New Roman" w:hAnsi="Times New Roman" w:eastAsia="仿宋_GB2312" w:cs="仿宋_GB2312"/>
          <w:b w:val="0"/>
          <w:bCs w:val="0"/>
          <w:kern w:val="0"/>
          <w:position w:val="0"/>
          <w:sz w:val="32"/>
          <w:szCs w:val="32"/>
          <w:highlight w:val="yellow"/>
          <w:lang w:val="en-US" w:eastAsia="zh-CN" w:bidi="ar-SA"/>
        </w:rPr>
        <w:t>3.基础设施。在建项目围绕工程进度和资金拨付进行绩效分析；建成项目围绕项目验收、功能实现、后续管护进行</w:t>
      </w:r>
      <w:r>
        <w:rPr>
          <w:rFonts w:hint="eastAsia" w:ascii="Times New Roman" w:hAnsi="Times New Roman" w:eastAsia="仿宋_GB2312" w:cs="仿宋_GB2312"/>
          <w:b w:val="0"/>
          <w:bCs w:val="0"/>
          <w:kern w:val="0"/>
          <w:position w:val="0"/>
          <w:sz w:val="32"/>
          <w:szCs w:val="32"/>
          <w:highlight w:val="yellow"/>
          <w:lang w:val="zh-CN" w:eastAsia="zh-CN" w:bidi="ar-SA"/>
        </w:rPr>
        <w:t>绩效分析。</w:t>
      </w:r>
    </w:p>
    <w:p>
      <w:pPr>
        <w:keepNext w:val="0"/>
        <w:keepLines w:val="0"/>
        <w:pageBreakBefore w:val="0"/>
        <w:widowControl w:val="0"/>
        <w:kinsoku/>
        <w:wordWrap/>
        <w:overflowPunct/>
        <w:topLinePunct w:val="0"/>
        <w:autoSpaceDE/>
        <w:autoSpaceDN/>
        <w:bidi w:val="0"/>
        <w:spacing w:line="578" w:lineRule="exact"/>
        <w:ind w:firstLine="640"/>
        <w:textAlignment w:val="auto"/>
        <w:outlineLvl w:val="9"/>
        <w:rPr>
          <w:rFonts w:hint="eastAsia" w:ascii="Times New Roman" w:hAnsi="Times New Roman" w:eastAsia="仿宋_GB2312" w:cs="仿宋_GB2312"/>
          <w:b w:val="0"/>
          <w:bCs w:val="0"/>
          <w:kern w:val="0"/>
          <w:position w:val="0"/>
          <w:sz w:val="32"/>
          <w:szCs w:val="32"/>
          <w:highlight w:val="yellow"/>
          <w:lang w:val="en-US" w:eastAsia="zh-CN" w:bidi="ar-SA"/>
        </w:rPr>
      </w:pPr>
      <w:r>
        <w:rPr>
          <w:rFonts w:hint="eastAsia" w:ascii="Times New Roman" w:hAnsi="Times New Roman" w:eastAsia="仿宋_GB2312" w:cs="仿宋_GB2312"/>
          <w:b w:val="0"/>
          <w:bCs w:val="0"/>
          <w:kern w:val="0"/>
          <w:position w:val="0"/>
          <w:sz w:val="32"/>
          <w:szCs w:val="32"/>
          <w:highlight w:val="yellow"/>
          <w:lang w:val="en-US" w:eastAsia="zh-CN" w:bidi="ar-SA"/>
        </w:rPr>
        <w:t>4.</w:t>
      </w:r>
      <w:r>
        <w:rPr>
          <w:rFonts w:hint="eastAsia" w:ascii="Times New Roman" w:hAnsi="Times New Roman" w:eastAsia="仿宋_GB2312" w:cs="仿宋_GB2312"/>
          <w:b w:val="0"/>
          <w:bCs w:val="0"/>
          <w:kern w:val="0"/>
          <w:position w:val="0"/>
          <w:sz w:val="32"/>
          <w:szCs w:val="32"/>
          <w:highlight w:val="yellow"/>
          <w:lang w:val="zh-CN" w:eastAsia="zh-CN" w:bidi="ar-SA"/>
        </w:rPr>
        <w:t>行政运转。围绕用途合规性、程序合规性、标准合规性进行绩效分析。</w:t>
      </w:r>
    </w:p>
    <w:p>
      <w:pPr>
        <w:keepNext w:val="0"/>
        <w:keepLines w:val="0"/>
        <w:pageBreakBefore w:val="0"/>
        <w:widowControl w:val="0"/>
        <w:kinsoku/>
        <w:wordWrap/>
        <w:overflowPunct/>
        <w:topLinePunct w:val="0"/>
        <w:autoSpaceDE/>
        <w:autoSpaceDN/>
        <w:bidi w:val="0"/>
        <w:adjustRightInd/>
        <w:snapToGrid/>
        <w:spacing w:line="578" w:lineRule="exact"/>
        <w:ind w:firstLine="640"/>
        <w:textAlignment w:val="auto"/>
        <w:outlineLvl w:val="9"/>
        <w:rPr>
          <w:rFonts w:hint="eastAsia" w:ascii="Times New Roman" w:hAnsi="Times New Roman" w:eastAsia="仿宋_GB2312" w:cs="仿宋_GB2312"/>
          <w:b w:val="0"/>
          <w:bCs w:val="0"/>
          <w:kern w:val="0"/>
          <w:position w:val="0"/>
          <w:sz w:val="32"/>
          <w:szCs w:val="32"/>
          <w:highlight w:val="yellow"/>
          <w:lang w:val="en-US" w:eastAsia="zh-CN" w:bidi="ar-SA"/>
        </w:rPr>
      </w:pPr>
      <w:r>
        <w:rPr>
          <w:rFonts w:hint="eastAsia" w:ascii="Times New Roman" w:hAnsi="Times New Roman" w:eastAsia="楷体_GB2312" w:cs="Times New Roman"/>
          <w:b/>
          <w:color w:val="auto"/>
          <w:sz w:val="32"/>
          <w:szCs w:val="32"/>
          <w:highlight w:val="yellow"/>
          <w:u w:val="none"/>
          <w:lang w:val="zh-CN"/>
        </w:rPr>
        <w:t>（三）</w:t>
      </w:r>
      <w:r>
        <w:rPr>
          <w:rFonts w:hint="eastAsia" w:ascii="Times New Roman" w:hAnsi="Times New Roman" w:eastAsia="楷体_GB2312" w:cs="Times New Roman"/>
          <w:b/>
          <w:color w:val="auto"/>
          <w:sz w:val="32"/>
          <w:szCs w:val="32"/>
          <w:highlight w:val="yellow"/>
          <w:u w:val="none"/>
          <w:lang w:val="en-US" w:eastAsia="zh-CN"/>
        </w:rPr>
        <w:t>个性指标</w:t>
      </w:r>
      <w:r>
        <w:rPr>
          <w:rFonts w:hint="default" w:ascii="Times New Roman" w:hAnsi="Times New Roman" w:eastAsia="楷体_GB2312" w:cs="Times New Roman"/>
          <w:b/>
          <w:bCs/>
          <w:color w:val="000000"/>
          <w:kern w:val="0"/>
          <w:sz w:val="32"/>
          <w:szCs w:val="32"/>
          <w:highlight w:val="yellow"/>
          <w:shd w:val="clear" w:color="auto" w:fill="FFFFFF"/>
          <w:lang w:val="zh-CN"/>
        </w:rPr>
        <w:t>绩效分析。</w:t>
      </w:r>
      <w:r>
        <w:rPr>
          <w:rFonts w:hint="eastAsia" w:ascii="Times New Roman" w:hAnsi="Times New Roman" w:eastAsia="仿宋_GB2312" w:cs="仿宋_GB2312"/>
          <w:b w:val="0"/>
          <w:bCs w:val="0"/>
          <w:kern w:val="0"/>
          <w:position w:val="0"/>
          <w:sz w:val="32"/>
          <w:szCs w:val="32"/>
          <w:highlight w:val="yellow"/>
          <w:lang w:val="zh-CN" w:eastAsia="zh-CN" w:bidi="ar-SA"/>
        </w:rPr>
        <w:t>根据项目个性自行设定部分指标，反映该项指标执行完成情况。</w:t>
      </w:r>
    </w:p>
    <w:p>
      <w:pPr>
        <w:keepNext w:val="0"/>
        <w:keepLines w:val="0"/>
        <w:pageBreakBefore w:val="0"/>
        <w:widowControl w:val="0"/>
        <w:kinsoku/>
        <w:wordWrap/>
        <w:overflowPunct/>
        <w:topLinePunct w:val="0"/>
        <w:autoSpaceDE/>
        <w:autoSpaceDN/>
        <w:bidi w:val="0"/>
        <w:spacing w:line="578" w:lineRule="exact"/>
        <w:ind w:firstLine="640"/>
        <w:textAlignment w:val="auto"/>
        <w:outlineLvl w:val="9"/>
        <w:rPr>
          <w:rFonts w:hint="eastAsia" w:ascii="黑体" w:hAnsi="黑体" w:eastAsia="黑体" w:cs="黑体"/>
          <w:b w:val="0"/>
          <w:bCs w:val="0"/>
          <w:kern w:val="0"/>
          <w:position w:val="0"/>
          <w:sz w:val="32"/>
          <w:szCs w:val="32"/>
          <w:highlight w:val="yellow"/>
          <w:lang w:val="en-US" w:eastAsia="zh-CN" w:bidi="ar-SA"/>
        </w:rPr>
      </w:pPr>
      <w:r>
        <w:rPr>
          <w:rFonts w:hint="eastAsia" w:ascii="黑体" w:hAnsi="黑体" w:eastAsia="黑体" w:cs="黑体"/>
          <w:b w:val="0"/>
          <w:bCs w:val="0"/>
          <w:kern w:val="0"/>
          <w:position w:val="0"/>
          <w:sz w:val="32"/>
          <w:szCs w:val="32"/>
          <w:highlight w:val="yellow"/>
          <w:lang w:val="en-US" w:eastAsia="zh-CN" w:bidi="ar-SA"/>
        </w:rPr>
        <w:t>四、评价结论</w:t>
      </w:r>
    </w:p>
    <w:p>
      <w:pPr>
        <w:keepNext w:val="0"/>
        <w:keepLines w:val="0"/>
        <w:pageBreakBefore w:val="0"/>
        <w:widowControl w:val="0"/>
        <w:kinsoku/>
        <w:wordWrap/>
        <w:overflowPunct/>
        <w:topLinePunct w:val="0"/>
        <w:autoSpaceDE/>
        <w:autoSpaceDN/>
        <w:bidi w:val="0"/>
        <w:spacing w:line="578" w:lineRule="exact"/>
        <w:ind w:firstLine="640"/>
        <w:textAlignment w:val="auto"/>
        <w:outlineLvl w:val="9"/>
        <w:rPr>
          <w:rFonts w:hint="eastAsia" w:ascii="Times New Roman" w:hAnsi="Times New Roman" w:eastAsia="仿宋_GB2312" w:cs="仿宋_GB2312"/>
          <w:b w:val="0"/>
          <w:bCs w:val="0"/>
          <w:kern w:val="0"/>
          <w:position w:val="0"/>
          <w:sz w:val="32"/>
          <w:szCs w:val="32"/>
          <w:highlight w:val="yellow"/>
          <w:lang w:val="en-US" w:eastAsia="zh-CN" w:bidi="ar-SA"/>
        </w:rPr>
      </w:pPr>
      <w:r>
        <w:rPr>
          <w:rFonts w:hint="eastAsia" w:ascii="Times New Roman" w:hAnsi="Times New Roman" w:eastAsia="仿宋_GB2312" w:cs="仿宋_GB2312"/>
          <w:b w:val="0"/>
          <w:bCs w:val="0"/>
          <w:kern w:val="0"/>
          <w:position w:val="0"/>
          <w:sz w:val="32"/>
          <w:szCs w:val="32"/>
          <w:highlight w:val="yellow"/>
          <w:lang w:val="en-US" w:eastAsia="zh-CN" w:bidi="ar-SA"/>
        </w:rPr>
        <w:t>简要阐述专项预算项目绩效自评总体结论，包含评价总分、</w:t>
      </w:r>
      <w:r>
        <w:rPr>
          <w:rFonts w:hint="eastAsia" w:ascii="Times New Roman" w:hAnsi="Times New Roman" w:eastAsia="仿宋_GB2312" w:cs="仿宋_GB2312"/>
          <w:b w:val="0"/>
          <w:bCs w:val="0"/>
          <w:kern w:val="0"/>
          <w:position w:val="0"/>
          <w:sz w:val="32"/>
          <w:szCs w:val="32"/>
          <w:highlight w:val="yellow"/>
          <w:lang w:val="zh-CN" w:eastAsia="zh-CN" w:bidi="ar-SA"/>
        </w:rPr>
        <w:t>项目实施情况。</w:t>
      </w:r>
    </w:p>
    <w:p>
      <w:pPr>
        <w:keepNext w:val="0"/>
        <w:keepLines w:val="0"/>
        <w:pageBreakBefore w:val="0"/>
        <w:widowControl w:val="0"/>
        <w:kinsoku/>
        <w:wordWrap/>
        <w:overflowPunct/>
        <w:topLinePunct w:val="0"/>
        <w:autoSpaceDE/>
        <w:autoSpaceDN/>
        <w:bidi w:val="0"/>
        <w:spacing w:line="578" w:lineRule="exact"/>
        <w:ind w:firstLine="640"/>
        <w:textAlignment w:val="auto"/>
        <w:outlineLvl w:val="9"/>
        <w:rPr>
          <w:rFonts w:hint="eastAsia" w:ascii="黑体" w:hAnsi="黑体" w:eastAsia="黑体" w:cs="黑体"/>
          <w:b w:val="0"/>
          <w:bCs w:val="0"/>
          <w:kern w:val="0"/>
          <w:position w:val="0"/>
          <w:sz w:val="32"/>
          <w:szCs w:val="32"/>
          <w:highlight w:val="yellow"/>
          <w:lang w:val="en-US" w:eastAsia="zh-CN" w:bidi="ar-SA"/>
        </w:rPr>
      </w:pPr>
      <w:r>
        <w:rPr>
          <w:rFonts w:hint="eastAsia" w:ascii="黑体" w:hAnsi="黑体" w:eastAsia="黑体" w:cs="黑体"/>
          <w:b w:val="0"/>
          <w:bCs w:val="0"/>
          <w:kern w:val="0"/>
          <w:position w:val="0"/>
          <w:sz w:val="32"/>
          <w:szCs w:val="32"/>
          <w:highlight w:val="yellow"/>
          <w:lang w:val="en-US" w:eastAsia="zh-CN" w:bidi="ar-SA"/>
        </w:rPr>
        <w:t>五、存在主要问题</w:t>
      </w:r>
    </w:p>
    <w:p>
      <w:pPr>
        <w:keepNext w:val="0"/>
        <w:keepLines w:val="0"/>
        <w:pageBreakBefore w:val="0"/>
        <w:widowControl w:val="0"/>
        <w:kinsoku/>
        <w:wordWrap/>
        <w:overflowPunct/>
        <w:topLinePunct w:val="0"/>
        <w:autoSpaceDE/>
        <w:autoSpaceDN/>
        <w:bidi w:val="0"/>
        <w:spacing w:line="578" w:lineRule="exact"/>
        <w:ind w:firstLine="640"/>
        <w:textAlignment w:val="auto"/>
        <w:outlineLvl w:val="9"/>
        <w:rPr>
          <w:rFonts w:hint="eastAsia" w:ascii="Times New Roman" w:hAnsi="Times New Roman" w:eastAsia="仿宋_GB2312" w:cs="仿宋_GB2312"/>
          <w:b w:val="0"/>
          <w:bCs w:val="0"/>
          <w:kern w:val="0"/>
          <w:position w:val="0"/>
          <w:sz w:val="32"/>
          <w:szCs w:val="32"/>
          <w:highlight w:val="yellow"/>
          <w:lang w:val="en-US" w:eastAsia="zh-CN" w:bidi="ar-SA"/>
        </w:rPr>
      </w:pPr>
      <w:r>
        <w:rPr>
          <w:rFonts w:hint="eastAsia" w:ascii="Times New Roman" w:hAnsi="Times New Roman" w:eastAsia="仿宋_GB2312" w:cs="仿宋_GB2312"/>
          <w:b w:val="0"/>
          <w:bCs w:val="0"/>
          <w:kern w:val="0"/>
          <w:position w:val="0"/>
          <w:sz w:val="32"/>
          <w:szCs w:val="32"/>
          <w:highlight w:val="yellow"/>
          <w:lang w:val="en-US" w:eastAsia="zh-CN" w:bidi="ar-SA"/>
        </w:rPr>
        <w:t>简要阐述专项预算项目绩效自评发现的主要问题。</w:t>
      </w:r>
    </w:p>
    <w:p>
      <w:pPr>
        <w:keepNext w:val="0"/>
        <w:keepLines w:val="0"/>
        <w:pageBreakBefore w:val="0"/>
        <w:widowControl w:val="0"/>
        <w:kinsoku/>
        <w:wordWrap/>
        <w:overflowPunct/>
        <w:topLinePunct w:val="0"/>
        <w:autoSpaceDE/>
        <w:autoSpaceDN/>
        <w:bidi w:val="0"/>
        <w:spacing w:line="578" w:lineRule="exact"/>
        <w:ind w:firstLine="640"/>
        <w:textAlignment w:val="auto"/>
        <w:outlineLvl w:val="9"/>
        <w:rPr>
          <w:rFonts w:hint="eastAsia" w:ascii="黑体" w:hAnsi="黑体" w:eastAsia="黑体" w:cs="黑体"/>
          <w:b w:val="0"/>
          <w:bCs w:val="0"/>
          <w:kern w:val="0"/>
          <w:position w:val="0"/>
          <w:sz w:val="32"/>
          <w:szCs w:val="32"/>
          <w:highlight w:val="yellow"/>
          <w:lang w:val="zh-CN" w:eastAsia="zh-CN" w:bidi="ar-SA"/>
        </w:rPr>
      </w:pPr>
      <w:r>
        <w:rPr>
          <w:rFonts w:hint="eastAsia" w:ascii="黑体" w:hAnsi="黑体" w:eastAsia="黑体" w:cs="黑体"/>
          <w:b w:val="0"/>
          <w:bCs w:val="0"/>
          <w:kern w:val="0"/>
          <w:position w:val="0"/>
          <w:sz w:val="32"/>
          <w:szCs w:val="32"/>
          <w:highlight w:val="yellow"/>
          <w:lang w:val="zh-CN" w:eastAsia="zh-CN" w:bidi="ar-SA"/>
        </w:rPr>
        <w:t>六、改进建议</w:t>
      </w:r>
    </w:p>
    <w:p>
      <w:pPr>
        <w:keepNext w:val="0"/>
        <w:keepLines w:val="0"/>
        <w:pageBreakBefore w:val="0"/>
        <w:widowControl w:val="0"/>
        <w:kinsoku/>
        <w:wordWrap/>
        <w:overflowPunct/>
        <w:topLinePunct w:val="0"/>
        <w:autoSpaceDE/>
        <w:autoSpaceDN/>
        <w:bidi w:val="0"/>
        <w:spacing w:line="578" w:lineRule="exact"/>
        <w:ind w:firstLine="640"/>
        <w:textAlignment w:val="auto"/>
        <w:outlineLvl w:val="9"/>
        <w:rPr>
          <w:rFonts w:hint="eastAsia" w:ascii="Times New Roman" w:hAnsi="Times New Roman" w:eastAsia="仿宋_GB2312" w:cs="仿宋_GB2312"/>
          <w:b w:val="0"/>
          <w:bCs w:val="0"/>
          <w:kern w:val="0"/>
          <w:position w:val="0"/>
          <w:sz w:val="32"/>
          <w:szCs w:val="32"/>
          <w:highlight w:val="yellow"/>
          <w:lang w:val="en-US" w:eastAsia="zh-CN" w:bidi="ar-SA"/>
        </w:rPr>
      </w:pPr>
      <w:r>
        <w:rPr>
          <w:rFonts w:hint="eastAsia" w:ascii="Times New Roman" w:hAnsi="Times New Roman" w:eastAsia="仿宋_GB2312" w:cs="仿宋_GB2312"/>
          <w:b w:val="0"/>
          <w:bCs w:val="0"/>
          <w:kern w:val="0"/>
          <w:position w:val="0"/>
          <w:sz w:val="32"/>
          <w:szCs w:val="32"/>
          <w:highlight w:val="yellow"/>
          <w:lang w:val="en-US" w:eastAsia="zh-CN" w:bidi="ar-SA"/>
        </w:rPr>
        <w:t>简要阐述专项预算项目在</w:t>
      </w:r>
      <w:r>
        <w:rPr>
          <w:rFonts w:hint="eastAsia" w:ascii="Times New Roman" w:hAnsi="Times New Roman" w:eastAsia="仿宋_GB2312" w:cs="仿宋_GB2312"/>
          <w:b w:val="0"/>
          <w:bCs w:val="0"/>
          <w:kern w:val="0"/>
          <w:position w:val="0"/>
          <w:sz w:val="32"/>
          <w:szCs w:val="32"/>
          <w:highlight w:val="yellow"/>
          <w:lang w:val="en" w:eastAsia="zh-CN" w:bidi="ar-SA"/>
        </w:rPr>
        <w:t>预算安排、完善政策、改进管理等方面的</w:t>
      </w:r>
      <w:r>
        <w:rPr>
          <w:rFonts w:hint="eastAsia" w:ascii="Times New Roman" w:hAnsi="Times New Roman" w:eastAsia="仿宋_GB2312" w:cs="仿宋_GB2312"/>
          <w:b w:val="0"/>
          <w:bCs w:val="0"/>
          <w:kern w:val="0"/>
          <w:position w:val="0"/>
          <w:sz w:val="32"/>
          <w:szCs w:val="32"/>
          <w:highlight w:val="yellow"/>
          <w:lang w:val="en-US" w:eastAsia="zh-CN" w:bidi="ar-SA"/>
        </w:rPr>
        <w:t>措施</w:t>
      </w:r>
      <w:r>
        <w:rPr>
          <w:rFonts w:hint="eastAsia" w:ascii="Times New Roman" w:hAnsi="Times New Roman" w:eastAsia="仿宋_GB2312" w:cs="仿宋_GB2312"/>
          <w:b w:val="0"/>
          <w:bCs w:val="0"/>
          <w:kern w:val="0"/>
          <w:position w:val="0"/>
          <w:sz w:val="32"/>
          <w:szCs w:val="32"/>
          <w:highlight w:val="yellow"/>
          <w:lang w:val="en" w:eastAsia="zh-CN" w:bidi="ar-SA"/>
        </w:rPr>
        <w:t>建议，其中</w:t>
      </w:r>
      <w:r>
        <w:rPr>
          <w:rFonts w:hint="eastAsia" w:ascii="Times New Roman" w:hAnsi="Times New Roman" w:eastAsia="仿宋_GB2312" w:cs="仿宋_GB2312"/>
          <w:b w:val="0"/>
          <w:bCs w:val="0"/>
          <w:kern w:val="0"/>
          <w:position w:val="0"/>
          <w:sz w:val="32"/>
          <w:szCs w:val="32"/>
          <w:highlight w:val="yellow"/>
          <w:lang w:val="en-US" w:eastAsia="zh-CN" w:bidi="ar-SA"/>
        </w:rPr>
        <w:t>必须对应评价发现的主要问题一一提出措施建议。</w:t>
      </w:r>
    </w:p>
    <w:p>
      <w:pPr>
        <w:keepNext w:val="0"/>
        <w:keepLines w:val="0"/>
        <w:pageBreakBefore w:val="0"/>
        <w:widowControl w:val="0"/>
        <w:kinsoku/>
        <w:wordWrap/>
        <w:overflowPunct/>
        <w:topLinePunct w:val="0"/>
        <w:autoSpaceDE/>
        <w:autoSpaceDN/>
        <w:bidi w:val="0"/>
        <w:spacing w:line="578" w:lineRule="exact"/>
        <w:ind w:firstLine="640"/>
        <w:textAlignment w:val="auto"/>
        <w:outlineLvl w:val="9"/>
        <w:rPr>
          <w:rFonts w:hint="eastAsia" w:ascii="Times New Roman" w:hAnsi="Times New Roman" w:eastAsia="仿宋_GB2312" w:cs="仿宋_GB2312"/>
          <w:b w:val="0"/>
          <w:bCs w:val="0"/>
          <w:kern w:val="0"/>
          <w:position w:val="0"/>
          <w:sz w:val="32"/>
          <w:szCs w:val="32"/>
          <w:highlight w:val="yellow"/>
          <w:lang w:val="en-US" w:eastAsia="zh-CN" w:bidi="ar-SA"/>
        </w:rPr>
      </w:pPr>
      <w:r>
        <w:rPr>
          <w:rFonts w:hint="eastAsia" w:ascii="Times New Roman" w:hAnsi="Times New Roman" w:eastAsia="仿宋_GB2312" w:cs="仿宋_GB2312"/>
          <w:b w:val="0"/>
          <w:bCs w:val="0"/>
          <w:kern w:val="0"/>
          <w:position w:val="0"/>
          <w:sz w:val="32"/>
          <w:szCs w:val="32"/>
          <w:highlight w:val="yellow"/>
          <w:lang w:val="en-US" w:eastAsia="zh-CN" w:bidi="ar-SA"/>
        </w:rPr>
        <w:t>（</w:t>
      </w:r>
      <w:r>
        <w:rPr>
          <w:rFonts w:hint="eastAsia" w:eastAsia="仿宋_GB2312" w:cs="仿宋_GB2312"/>
          <w:b w:val="0"/>
          <w:bCs w:val="0"/>
          <w:kern w:val="0"/>
          <w:position w:val="0"/>
          <w:sz w:val="32"/>
          <w:szCs w:val="32"/>
          <w:highlight w:val="yellow"/>
          <w:lang w:val="en-US" w:eastAsia="zh-CN" w:bidi="ar-SA"/>
        </w:rPr>
        <w:t>注：</w:t>
      </w:r>
      <w:r>
        <w:rPr>
          <w:rFonts w:hint="eastAsia" w:ascii="Times New Roman" w:hAnsi="Times New Roman" w:eastAsia="仿宋_GB2312" w:cs="仿宋_GB2312"/>
          <w:b w:val="0"/>
          <w:bCs w:val="0"/>
          <w:kern w:val="0"/>
          <w:position w:val="0"/>
          <w:sz w:val="32"/>
          <w:szCs w:val="32"/>
          <w:highlight w:val="yellow"/>
          <w:lang w:val="en-US" w:eastAsia="zh-CN" w:bidi="ar-SA"/>
        </w:rPr>
        <w:t>以上绩效自评报告，除涉密敏感内容外，原则上都应予以公开）</w:t>
      </w:r>
    </w:p>
    <w:p>
      <w:pPr>
        <w:keepNext w:val="0"/>
        <w:keepLines w:val="0"/>
        <w:pageBreakBefore w:val="0"/>
        <w:widowControl w:val="0"/>
        <w:kinsoku/>
        <w:wordWrap/>
        <w:overflowPunct/>
        <w:topLinePunct w:val="0"/>
        <w:autoSpaceDE/>
        <w:autoSpaceDN/>
        <w:bidi w:val="0"/>
        <w:spacing w:line="578" w:lineRule="exact"/>
        <w:ind w:firstLine="640"/>
        <w:textAlignment w:val="auto"/>
        <w:outlineLvl w:val="9"/>
        <w:rPr>
          <w:rFonts w:hint="eastAsia" w:ascii="Times New Roman" w:hAnsi="Times New Roman" w:eastAsia="仿宋_GB2312" w:cs="仿宋_GB2312"/>
          <w:b w:val="0"/>
          <w:bCs w:val="0"/>
          <w:kern w:val="0"/>
          <w:position w:val="0"/>
          <w:sz w:val="32"/>
          <w:szCs w:val="32"/>
          <w:highlight w:val="yellow"/>
          <w:lang w:val="en-US" w:eastAsia="zh-CN" w:bidi="ar-SA"/>
        </w:rPr>
      </w:pPr>
    </w:p>
    <w:p>
      <w:pPr>
        <w:keepNext w:val="0"/>
        <w:keepLines w:val="0"/>
        <w:pageBreakBefore w:val="0"/>
        <w:widowControl w:val="0"/>
        <w:kinsoku/>
        <w:wordWrap/>
        <w:overflowPunct/>
        <w:topLinePunct w:val="0"/>
        <w:autoSpaceDE/>
        <w:autoSpaceDN/>
        <w:bidi w:val="0"/>
        <w:spacing w:line="578" w:lineRule="exact"/>
        <w:ind w:firstLine="640"/>
        <w:textAlignment w:val="auto"/>
        <w:outlineLvl w:val="9"/>
        <w:rPr>
          <w:rFonts w:hint="eastAsia" w:ascii="Times New Roman" w:hAnsi="Times New Roman" w:eastAsia="仿宋_GB2312" w:cs="仿宋_GB2312"/>
          <w:b w:val="0"/>
          <w:bCs w:val="0"/>
          <w:kern w:val="0"/>
          <w:position w:val="0"/>
          <w:sz w:val="32"/>
          <w:szCs w:val="32"/>
          <w:highlight w:val="yellow"/>
          <w:lang w:val="en-US" w:eastAsia="zh-CN" w:bidi="ar-SA"/>
        </w:rPr>
      </w:pPr>
    </w:p>
    <w:p>
      <w:pPr>
        <w:keepNext w:val="0"/>
        <w:keepLines w:val="0"/>
        <w:pageBreakBefore w:val="0"/>
        <w:widowControl w:val="0"/>
        <w:kinsoku/>
        <w:wordWrap/>
        <w:overflowPunct/>
        <w:topLinePunct w:val="0"/>
        <w:autoSpaceDE/>
        <w:autoSpaceDN/>
        <w:bidi w:val="0"/>
        <w:spacing w:line="578" w:lineRule="exact"/>
        <w:ind w:firstLine="640"/>
        <w:textAlignment w:val="auto"/>
        <w:outlineLvl w:val="9"/>
        <w:rPr>
          <w:rFonts w:hint="eastAsia" w:ascii="Times New Roman" w:hAnsi="Times New Roman" w:eastAsia="仿宋_GB2312" w:cs="仿宋_GB2312"/>
          <w:b w:val="0"/>
          <w:bCs w:val="0"/>
          <w:kern w:val="0"/>
          <w:position w:val="0"/>
          <w:sz w:val="32"/>
          <w:szCs w:val="32"/>
          <w:highlight w:val="yellow"/>
          <w:lang w:val="en-US" w:eastAsia="zh-CN" w:bidi="ar-SA"/>
        </w:rPr>
      </w:pPr>
      <w:bookmarkStart w:id="68" w:name="_Toc15396618"/>
      <w:r>
        <w:rPr>
          <w:rFonts w:hint="eastAsia" w:ascii="Times New Roman" w:hAnsi="Times New Roman" w:eastAsia="仿宋_GB2312" w:cs="仿宋_GB2312"/>
          <w:b w:val="0"/>
          <w:bCs w:val="0"/>
          <w:kern w:val="0"/>
          <w:position w:val="0"/>
          <w:sz w:val="32"/>
          <w:szCs w:val="32"/>
          <w:highlight w:val="yellow"/>
          <w:lang w:val="en-US" w:eastAsia="zh-CN" w:bidi="ar-SA"/>
        </w:rPr>
        <w:br w:type="page"/>
      </w:r>
    </w:p>
    <w:p>
      <w:pPr>
        <w:widowControl/>
        <w:jc w:val="center"/>
        <w:rPr>
          <w:rFonts w:hint="eastAsia" w:ascii="Times New Roman" w:hAnsi="Times New Roman" w:eastAsia="仿宋"/>
          <w:b w:val="0"/>
          <w:color w:val="auto"/>
          <w:highlight w:val="none"/>
        </w:rPr>
      </w:pPr>
      <w:r>
        <w:rPr>
          <w:rFonts w:hint="eastAsia" w:ascii="Times New Roman" w:hAnsi="Times New Roman" w:eastAsia="黑体"/>
          <w:color w:val="auto"/>
          <w:sz w:val="44"/>
          <w:szCs w:val="44"/>
          <w:highlight w:val="none"/>
        </w:rPr>
        <w:t>第</w:t>
      </w:r>
      <w:r>
        <w:rPr>
          <w:rStyle w:val="28"/>
          <w:rFonts w:hint="eastAsia" w:ascii="Times New Roman" w:hAnsi="Times New Roman" w:eastAsia="黑体"/>
          <w:b w:val="0"/>
          <w:color w:val="auto"/>
          <w:highlight w:val="none"/>
        </w:rPr>
        <w:t>五部分 附表</w:t>
      </w:r>
      <w:bookmarkEnd w:id="65"/>
      <w:bookmarkEnd w:id="68"/>
      <w:bookmarkStart w:id="69" w:name="_Toc15396619"/>
    </w:p>
    <w:p>
      <w:pPr>
        <w:pStyle w:val="14"/>
        <w:keepNext w:val="0"/>
        <w:keepLines w:val="0"/>
        <w:pageBreakBefore w:val="0"/>
        <w:kinsoku/>
        <w:wordWrap/>
        <w:overflowPunct/>
        <w:topLinePunct w:val="0"/>
        <w:autoSpaceDE/>
        <w:autoSpaceDN/>
        <w:bidi w:val="0"/>
        <w:adjustRightInd w:val="0"/>
        <w:snapToGrid w:val="0"/>
        <w:spacing w:line="560" w:lineRule="exact"/>
        <w:jc w:val="left"/>
        <w:textAlignment w:val="auto"/>
        <w:rPr>
          <w:rFonts w:hint="eastAsia" w:ascii="Times New Roman" w:hAnsi="Times New Roman" w:eastAsia="仿宋_GB2312" w:cs="仿宋_GB2312"/>
          <w:color w:val="auto"/>
          <w:sz w:val="32"/>
          <w:szCs w:val="32"/>
          <w:highlight w:val="none"/>
        </w:rPr>
      </w:pPr>
    </w:p>
    <w:p>
      <w:pPr>
        <w:pStyle w:val="14"/>
        <w:keepNext w:val="0"/>
        <w:keepLines w:val="0"/>
        <w:pageBreakBefore w:val="0"/>
        <w:kinsoku/>
        <w:wordWrap/>
        <w:overflowPunct/>
        <w:topLinePunct w:val="0"/>
        <w:autoSpaceDE/>
        <w:autoSpaceDN/>
        <w:bidi w:val="0"/>
        <w:adjustRightInd w:val="0"/>
        <w:snapToGrid w:val="0"/>
        <w:spacing w:line="560" w:lineRule="exact"/>
        <w:jc w:val="left"/>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一、收入支出决算总表</w:t>
      </w:r>
      <w:bookmarkEnd w:id="69"/>
    </w:p>
    <w:p>
      <w:pPr>
        <w:pStyle w:val="14"/>
        <w:keepNext w:val="0"/>
        <w:keepLines w:val="0"/>
        <w:pageBreakBefore w:val="0"/>
        <w:kinsoku/>
        <w:wordWrap/>
        <w:overflowPunct/>
        <w:topLinePunct w:val="0"/>
        <w:autoSpaceDE/>
        <w:autoSpaceDN/>
        <w:bidi w:val="0"/>
        <w:adjustRightInd w:val="0"/>
        <w:snapToGrid w:val="0"/>
        <w:spacing w:line="560" w:lineRule="exact"/>
        <w:jc w:val="left"/>
        <w:textAlignment w:val="auto"/>
        <w:rPr>
          <w:rFonts w:hint="eastAsia" w:ascii="Times New Roman" w:hAnsi="Times New Roman" w:eastAsia="仿宋_GB2312" w:cs="仿宋_GB2312"/>
          <w:color w:val="auto"/>
          <w:sz w:val="32"/>
          <w:szCs w:val="32"/>
          <w:highlight w:val="none"/>
        </w:rPr>
      </w:pPr>
      <w:bookmarkStart w:id="70" w:name="_Toc15396620"/>
      <w:r>
        <w:rPr>
          <w:rFonts w:hint="eastAsia" w:ascii="Times New Roman" w:hAnsi="Times New Roman" w:eastAsia="仿宋_GB2312" w:cs="仿宋_GB2312"/>
          <w:color w:val="auto"/>
          <w:sz w:val="32"/>
          <w:szCs w:val="32"/>
          <w:highlight w:val="none"/>
        </w:rPr>
        <w:t>二、收入决算表</w:t>
      </w:r>
      <w:bookmarkEnd w:id="70"/>
    </w:p>
    <w:p>
      <w:pPr>
        <w:pStyle w:val="14"/>
        <w:keepNext w:val="0"/>
        <w:keepLines w:val="0"/>
        <w:pageBreakBefore w:val="0"/>
        <w:kinsoku/>
        <w:wordWrap/>
        <w:overflowPunct/>
        <w:topLinePunct w:val="0"/>
        <w:autoSpaceDE/>
        <w:autoSpaceDN/>
        <w:bidi w:val="0"/>
        <w:adjustRightInd w:val="0"/>
        <w:snapToGrid w:val="0"/>
        <w:spacing w:line="560" w:lineRule="exact"/>
        <w:jc w:val="left"/>
        <w:textAlignment w:val="auto"/>
        <w:rPr>
          <w:rFonts w:hint="eastAsia" w:ascii="Times New Roman" w:hAnsi="Times New Roman" w:eastAsia="仿宋_GB2312" w:cs="仿宋_GB2312"/>
          <w:color w:val="auto"/>
          <w:sz w:val="32"/>
          <w:szCs w:val="32"/>
          <w:highlight w:val="none"/>
        </w:rPr>
      </w:pPr>
      <w:bookmarkStart w:id="71" w:name="_Toc15396621"/>
      <w:r>
        <w:rPr>
          <w:rFonts w:hint="eastAsia" w:ascii="Times New Roman" w:hAnsi="Times New Roman" w:eastAsia="仿宋_GB2312" w:cs="仿宋_GB2312"/>
          <w:color w:val="auto"/>
          <w:sz w:val="32"/>
          <w:szCs w:val="32"/>
          <w:highlight w:val="none"/>
        </w:rPr>
        <w:t>三、支出决算表</w:t>
      </w:r>
      <w:bookmarkEnd w:id="71"/>
    </w:p>
    <w:p>
      <w:pPr>
        <w:pStyle w:val="14"/>
        <w:keepNext w:val="0"/>
        <w:keepLines w:val="0"/>
        <w:pageBreakBefore w:val="0"/>
        <w:kinsoku/>
        <w:wordWrap/>
        <w:overflowPunct/>
        <w:topLinePunct w:val="0"/>
        <w:autoSpaceDE/>
        <w:autoSpaceDN/>
        <w:bidi w:val="0"/>
        <w:adjustRightInd w:val="0"/>
        <w:snapToGrid w:val="0"/>
        <w:spacing w:line="560" w:lineRule="exact"/>
        <w:jc w:val="left"/>
        <w:textAlignment w:val="auto"/>
        <w:rPr>
          <w:rFonts w:hint="eastAsia" w:ascii="Times New Roman" w:hAnsi="Times New Roman" w:eastAsia="仿宋_GB2312" w:cs="仿宋_GB2312"/>
          <w:color w:val="auto"/>
          <w:sz w:val="32"/>
          <w:szCs w:val="32"/>
          <w:highlight w:val="none"/>
        </w:rPr>
      </w:pPr>
      <w:bookmarkStart w:id="72" w:name="_Toc15396622"/>
      <w:r>
        <w:rPr>
          <w:rFonts w:hint="eastAsia" w:ascii="Times New Roman" w:hAnsi="Times New Roman" w:eastAsia="仿宋_GB2312" w:cs="仿宋_GB2312"/>
          <w:color w:val="auto"/>
          <w:sz w:val="32"/>
          <w:szCs w:val="32"/>
          <w:highlight w:val="none"/>
        </w:rPr>
        <w:t>四、财政拨款收入支出决算总表</w:t>
      </w:r>
      <w:bookmarkEnd w:id="72"/>
    </w:p>
    <w:p>
      <w:pPr>
        <w:pStyle w:val="14"/>
        <w:keepNext w:val="0"/>
        <w:keepLines w:val="0"/>
        <w:pageBreakBefore w:val="0"/>
        <w:kinsoku/>
        <w:wordWrap/>
        <w:overflowPunct/>
        <w:topLinePunct w:val="0"/>
        <w:autoSpaceDE/>
        <w:autoSpaceDN/>
        <w:bidi w:val="0"/>
        <w:adjustRightInd w:val="0"/>
        <w:snapToGrid w:val="0"/>
        <w:spacing w:line="560" w:lineRule="exact"/>
        <w:jc w:val="left"/>
        <w:textAlignment w:val="auto"/>
        <w:rPr>
          <w:rFonts w:hint="eastAsia" w:ascii="Times New Roman" w:hAnsi="Times New Roman" w:eastAsia="仿宋_GB2312" w:cs="仿宋_GB2312"/>
          <w:color w:val="auto"/>
          <w:sz w:val="32"/>
          <w:szCs w:val="32"/>
          <w:highlight w:val="none"/>
        </w:rPr>
      </w:pPr>
      <w:bookmarkStart w:id="73" w:name="_Toc15396623"/>
      <w:r>
        <w:rPr>
          <w:rFonts w:hint="eastAsia" w:ascii="Times New Roman" w:hAnsi="Times New Roman" w:eastAsia="仿宋_GB2312" w:cs="仿宋_GB2312"/>
          <w:color w:val="auto"/>
          <w:sz w:val="32"/>
          <w:szCs w:val="32"/>
          <w:highlight w:val="none"/>
        </w:rPr>
        <w:t>五、财政拨款支出决算明细表</w:t>
      </w:r>
      <w:bookmarkEnd w:id="73"/>
      <w:bookmarkStart w:id="74" w:name="_Toc15396624"/>
    </w:p>
    <w:p>
      <w:pPr>
        <w:pStyle w:val="14"/>
        <w:keepNext w:val="0"/>
        <w:keepLines w:val="0"/>
        <w:pageBreakBefore w:val="0"/>
        <w:kinsoku/>
        <w:wordWrap/>
        <w:overflowPunct/>
        <w:topLinePunct w:val="0"/>
        <w:autoSpaceDE/>
        <w:autoSpaceDN/>
        <w:bidi w:val="0"/>
        <w:adjustRightInd w:val="0"/>
        <w:snapToGrid w:val="0"/>
        <w:spacing w:line="560" w:lineRule="exact"/>
        <w:jc w:val="left"/>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六、一般公共预算财政拨款支出决算表</w:t>
      </w:r>
      <w:bookmarkEnd w:id="74"/>
    </w:p>
    <w:p>
      <w:pPr>
        <w:pStyle w:val="14"/>
        <w:keepNext w:val="0"/>
        <w:keepLines w:val="0"/>
        <w:pageBreakBefore w:val="0"/>
        <w:kinsoku/>
        <w:wordWrap/>
        <w:overflowPunct/>
        <w:topLinePunct w:val="0"/>
        <w:autoSpaceDE/>
        <w:autoSpaceDN/>
        <w:bidi w:val="0"/>
        <w:adjustRightInd w:val="0"/>
        <w:snapToGrid w:val="0"/>
        <w:spacing w:line="560" w:lineRule="exact"/>
        <w:jc w:val="left"/>
        <w:textAlignment w:val="auto"/>
        <w:rPr>
          <w:rFonts w:hint="eastAsia" w:ascii="Times New Roman" w:hAnsi="Times New Roman" w:eastAsia="仿宋_GB2312" w:cs="仿宋_GB2312"/>
          <w:color w:val="auto"/>
          <w:sz w:val="32"/>
          <w:szCs w:val="32"/>
          <w:highlight w:val="none"/>
        </w:rPr>
      </w:pPr>
      <w:bookmarkStart w:id="75" w:name="_Toc15396625"/>
      <w:r>
        <w:rPr>
          <w:rFonts w:hint="eastAsia" w:ascii="Times New Roman" w:hAnsi="Times New Roman" w:eastAsia="仿宋_GB2312" w:cs="仿宋_GB2312"/>
          <w:color w:val="auto"/>
          <w:sz w:val="32"/>
          <w:szCs w:val="32"/>
          <w:highlight w:val="none"/>
        </w:rPr>
        <w:t>七、一般公共预算财政拨款支出决算明细表</w:t>
      </w:r>
      <w:bookmarkEnd w:id="75"/>
    </w:p>
    <w:p>
      <w:pPr>
        <w:pStyle w:val="14"/>
        <w:keepNext w:val="0"/>
        <w:keepLines w:val="0"/>
        <w:pageBreakBefore w:val="0"/>
        <w:kinsoku/>
        <w:wordWrap/>
        <w:overflowPunct/>
        <w:topLinePunct w:val="0"/>
        <w:autoSpaceDE/>
        <w:autoSpaceDN/>
        <w:bidi w:val="0"/>
        <w:adjustRightInd w:val="0"/>
        <w:snapToGrid w:val="0"/>
        <w:spacing w:line="560" w:lineRule="exact"/>
        <w:jc w:val="left"/>
        <w:textAlignment w:val="auto"/>
        <w:rPr>
          <w:rFonts w:hint="eastAsia" w:ascii="Times New Roman" w:hAnsi="Times New Roman" w:eastAsia="仿宋_GB2312" w:cs="仿宋_GB2312"/>
          <w:color w:val="auto"/>
          <w:sz w:val="32"/>
          <w:szCs w:val="32"/>
          <w:highlight w:val="none"/>
        </w:rPr>
      </w:pPr>
      <w:bookmarkStart w:id="76" w:name="_Toc15396626"/>
      <w:r>
        <w:rPr>
          <w:rFonts w:hint="eastAsia" w:ascii="Times New Roman" w:hAnsi="Times New Roman" w:eastAsia="仿宋_GB2312" w:cs="仿宋_GB2312"/>
          <w:color w:val="auto"/>
          <w:sz w:val="32"/>
          <w:szCs w:val="32"/>
          <w:highlight w:val="none"/>
        </w:rPr>
        <w:t>八、一般公共预算财政拨款基本支出决算表</w:t>
      </w:r>
      <w:bookmarkEnd w:id="76"/>
    </w:p>
    <w:p>
      <w:pPr>
        <w:pStyle w:val="14"/>
        <w:keepNext w:val="0"/>
        <w:keepLines w:val="0"/>
        <w:pageBreakBefore w:val="0"/>
        <w:kinsoku/>
        <w:wordWrap/>
        <w:overflowPunct/>
        <w:topLinePunct w:val="0"/>
        <w:autoSpaceDE/>
        <w:autoSpaceDN/>
        <w:bidi w:val="0"/>
        <w:adjustRightInd w:val="0"/>
        <w:snapToGrid w:val="0"/>
        <w:spacing w:line="560" w:lineRule="exact"/>
        <w:jc w:val="left"/>
        <w:textAlignment w:val="auto"/>
        <w:rPr>
          <w:rFonts w:hint="eastAsia" w:ascii="Times New Roman" w:hAnsi="Times New Roman" w:eastAsia="仿宋_GB2312" w:cs="仿宋_GB2312"/>
          <w:color w:val="auto"/>
          <w:sz w:val="32"/>
          <w:szCs w:val="32"/>
          <w:highlight w:val="none"/>
        </w:rPr>
      </w:pPr>
      <w:bookmarkStart w:id="77" w:name="_Toc15396627"/>
      <w:r>
        <w:rPr>
          <w:rFonts w:hint="eastAsia" w:ascii="Times New Roman" w:hAnsi="Times New Roman" w:eastAsia="仿宋_GB2312" w:cs="仿宋_GB2312"/>
          <w:color w:val="auto"/>
          <w:sz w:val="32"/>
          <w:szCs w:val="32"/>
          <w:highlight w:val="none"/>
        </w:rPr>
        <w:t>九、一般公共预算财政拨款项目支出决算表</w:t>
      </w:r>
      <w:bookmarkEnd w:id="77"/>
    </w:p>
    <w:p>
      <w:pPr>
        <w:pStyle w:val="14"/>
        <w:keepNext w:val="0"/>
        <w:keepLines w:val="0"/>
        <w:pageBreakBefore w:val="0"/>
        <w:kinsoku/>
        <w:wordWrap/>
        <w:overflowPunct/>
        <w:topLinePunct w:val="0"/>
        <w:autoSpaceDE/>
        <w:autoSpaceDN/>
        <w:bidi w:val="0"/>
        <w:adjustRightInd w:val="0"/>
        <w:snapToGrid w:val="0"/>
        <w:spacing w:line="560" w:lineRule="exact"/>
        <w:jc w:val="left"/>
        <w:textAlignment w:val="auto"/>
        <w:rPr>
          <w:rFonts w:hint="eastAsia" w:ascii="Times New Roman" w:hAnsi="Times New Roman" w:eastAsia="仿宋_GB2312" w:cs="仿宋_GB2312"/>
          <w:color w:val="auto"/>
          <w:sz w:val="32"/>
          <w:szCs w:val="32"/>
          <w:highlight w:val="none"/>
        </w:rPr>
      </w:pPr>
      <w:bookmarkStart w:id="78" w:name="_Toc15396628"/>
      <w:r>
        <w:rPr>
          <w:rFonts w:hint="eastAsia" w:ascii="Times New Roman" w:hAnsi="Times New Roman" w:eastAsia="仿宋_GB2312" w:cs="仿宋_GB2312"/>
          <w:color w:val="auto"/>
          <w:sz w:val="32"/>
          <w:szCs w:val="32"/>
          <w:highlight w:val="none"/>
        </w:rPr>
        <w:t>十、</w:t>
      </w:r>
      <w:bookmarkEnd w:id="78"/>
      <w:r>
        <w:rPr>
          <w:rFonts w:hint="eastAsia" w:ascii="Times New Roman" w:hAnsi="Times New Roman" w:eastAsia="仿宋_GB2312" w:cs="仿宋_GB2312"/>
          <w:color w:val="auto"/>
          <w:sz w:val="32"/>
          <w:szCs w:val="32"/>
          <w:highlight w:val="none"/>
        </w:rPr>
        <w:t>政府性基金预算财政拨款收入支出决算表</w:t>
      </w:r>
    </w:p>
    <w:p>
      <w:pPr>
        <w:pStyle w:val="14"/>
        <w:keepNext w:val="0"/>
        <w:keepLines w:val="0"/>
        <w:pageBreakBefore w:val="0"/>
        <w:kinsoku/>
        <w:wordWrap/>
        <w:overflowPunct/>
        <w:topLinePunct w:val="0"/>
        <w:autoSpaceDE/>
        <w:autoSpaceDN/>
        <w:bidi w:val="0"/>
        <w:adjustRightInd w:val="0"/>
        <w:snapToGrid w:val="0"/>
        <w:spacing w:line="560" w:lineRule="exact"/>
        <w:jc w:val="left"/>
        <w:textAlignment w:val="auto"/>
        <w:rPr>
          <w:rFonts w:hint="eastAsia" w:ascii="Times New Roman" w:hAnsi="Times New Roman" w:eastAsia="仿宋_GB2312" w:cs="仿宋_GB2312"/>
          <w:color w:val="auto"/>
          <w:sz w:val="32"/>
          <w:szCs w:val="32"/>
          <w:highlight w:val="none"/>
        </w:rPr>
      </w:pPr>
      <w:bookmarkStart w:id="79" w:name="_Toc15396629"/>
      <w:r>
        <w:rPr>
          <w:rFonts w:hint="eastAsia" w:ascii="Times New Roman" w:hAnsi="Times New Roman" w:eastAsia="仿宋_GB2312" w:cs="仿宋_GB2312"/>
          <w:color w:val="auto"/>
          <w:sz w:val="32"/>
          <w:szCs w:val="32"/>
          <w:highlight w:val="none"/>
        </w:rPr>
        <w:t>十一、</w:t>
      </w:r>
      <w:bookmarkEnd w:id="79"/>
      <w:r>
        <w:rPr>
          <w:rFonts w:hint="eastAsia" w:ascii="Times New Roman" w:hAnsi="Times New Roman" w:eastAsia="仿宋_GB2312" w:cs="仿宋_GB2312"/>
          <w:color w:val="auto"/>
          <w:sz w:val="32"/>
          <w:szCs w:val="32"/>
          <w:highlight w:val="none"/>
        </w:rPr>
        <w:t>国有资本经营预算</w:t>
      </w:r>
      <w:r>
        <w:rPr>
          <w:rFonts w:hint="eastAsia" w:ascii="Times New Roman" w:hAnsi="Times New Roman" w:eastAsia="仿宋_GB2312" w:cs="仿宋_GB2312"/>
          <w:color w:val="auto"/>
          <w:sz w:val="32"/>
          <w:szCs w:val="32"/>
          <w:highlight w:val="none"/>
          <w:lang w:eastAsia="zh-CN"/>
        </w:rPr>
        <w:t>财政拨款收入</w:t>
      </w:r>
      <w:r>
        <w:rPr>
          <w:rFonts w:hint="eastAsia" w:ascii="Times New Roman" w:hAnsi="Times New Roman" w:eastAsia="仿宋_GB2312" w:cs="仿宋_GB2312"/>
          <w:color w:val="auto"/>
          <w:sz w:val="32"/>
          <w:szCs w:val="32"/>
          <w:highlight w:val="none"/>
        </w:rPr>
        <w:t>支出决算表</w:t>
      </w:r>
    </w:p>
    <w:p>
      <w:pPr>
        <w:pStyle w:val="14"/>
        <w:keepNext w:val="0"/>
        <w:keepLines w:val="0"/>
        <w:pageBreakBefore w:val="0"/>
        <w:kinsoku/>
        <w:wordWrap/>
        <w:overflowPunct/>
        <w:topLinePunct w:val="0"/>
        <w:autoSpaceDE/>
        <w:autoSpaceDN/>
        <w:bidi w:val="0"/>
        <w:adjustRightInd w:val="0"/>
        <w:snapToGrid w:val="0"/>
        <w:spacing w:line="560" w:lineRule="exact"/>
        <w:jc w:val="left"/>
        <w:textAlignment w:val="auto"/>
        <w:rPr>
          <w:rFonts w:hint="eastAsia" w:ascii="Times New Roman" w:hAnsi="Times New Roman" w:eastAsia="仿宋_GB2312" w:cs="仿宋_GB2312"/>
          <w:color w:val="auto"/>
          <w:sz w:val="32"/>
          <w:szCs w:val="32"/>
          <w:highlight w:val="none"/>
        </w:rPr>
      </w:pPr>
      <w:bookmarkStart w:id="80" w:name="_Toc15396630"/>
      <w:r>
        <w:rPr>
          <w:rFonts w:hint="eastAsia" w:ascii="Times New Roman" w:hAnsi="Times New Roman" w:eastAsia="仿宋_GB2312" w:cs="仿宋_GB2312"/>
          <w:color w:val="auto"/>
          <w:sz w:val="32"/>
          <w:szCs w:val="32"/>
          <w:highlight w:val="none"/>
        </w:rPr>
        <w:t>十二、</w:t>
      </w:r>
      <w:bookmarkEnd w:id="80"/>
      <w:r>
        <w:rPr>
          <w:rFonts w:hint="eastAsia" w:ascii="Times New Roman" w:hAnsi="Times New Roman" w:eastAsia="仿宋_GB2312" w:cs="仿宋_GB2312"/>
          <w:color w:val="auto"/>
          <w:sz w:val="32"/>
          <w:szCs w:val="32"/>
          <w:highlight w:val="none"/>
          <w:lang w:eastAsia="zh-CN"/>
        </w:rPr>
        <w:t>国有资本经营预算财政拨款支出决算表</w:t>
      </w:r>
    </w:p>
    <w:p>
      <w:pPr>
        <w:pStyle w:val="14"/>
        <w:keepNext w:val="0"/>
        <w:keepLines w:val="0"/>
        <w:pageBreakBefore w:val="0"/>
        <w:kinsoku/>
        <w:wordWrap/>
        <w:overflowPunct/>
        <w:topLinePunct w:val="0"/>
        <w:autoSpaceDE/>
        <w:autoSpaceDN/>
        <w:bidi w:val="0"/>
        <w:adjustRightInd w:val="0"/>
        <w:snapToGrid w:val="0"/>
        <w:spacing w:line="560" w:lineRule="exact"/>
        <w:jc w:val="left"/>
        <w:textAlignment w:val="auto"/>
        <w:rPr>
          <w:rFonts w:hint="eastAsia" w:ascii="Times New Roman" w:hAnsi="Times New Roman" w:eastAsia="仿宋_GB2312" w:cs="仿宋_GB2312"/>
          <w:color w:val="auto"/>
          <w:sz w:val="32"/>
          <w:szCs w:val="32"/>
          <w:highlight w:val="none"/>
          <w:lang w:eastAsia="zh-CN"/>
        </w:rPr>
      </w:pPr>
      <w:bookmarkStart w:id="81" w:name="_Toc15396631"/>
      <w:r>
        <w:rPr>
          <w:rFonts w:hint="eastAsia" w:ascii="Times New Roman" w:hAnsi="Times New Roman" w:eastAsia="仿宋_GB2312" w:cs="仿宋_GB2312"/>
          <w:color w:val="auto"/>
          <w:sz w:val="32"/>
          <w:szCs w:val="32"/>
          <w:highlight w:val="none"/>
        </w:rPr>
        <w:t>十三、</w:t>
      </w:r>
      <w:bookmarkEnd w:id="81"/>
      <w:r>
        <w:rPr>
          <w:rFonts w:hint="eastAsia" w:ascii="Times New Roman" w:hAnsi="Times New Roman" w:eastAsia="仿宋_GB2312" w:cs="仿宋_GB2312"/>
          <w:color w:val="auto"/>
          <w:sz w:val="32"/>
          <w:szCs w:val="32"/>
          <w:highlight w:val="none"/>
          <w:lang w:eastAsia="zh-CN"/>
        </w:rPr>
        <w:t>财政拨款“三公”经费支出决算表</w:t>
      </w:r>
    </w:p>
    <w:p>
      <w:pPr>
        <w:rPr>
          <w:rFonts w:hint="eastAsia" w:ascii="Times New Roman" w:hAnsi="Times New Roman"/>
          <w:lang w:eastAsia="zh-CN"/>
        </w:rPr>
      </w:pPr>
    </w:p>
    <w:sectPr>
      <w:footerReference r:id="rId6" w:type="first"/>
      <w:footerReference r:id="rId5" w:type="default"/>
      <w:pgSz w:w="11906" w:h="16838"/>
      <w:pgMar w:top="1440" w:right="1800" w:bottom="1440" w:left="1800" w:header="851" w:footer="992" w:gutter="0"/>
      <w:pgNumType w:fmt="numberInDash" w:start="1"/>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
    <w:altName w:val="Segoe Print"/>
    <w:panose1 w:val="00000000000000000000"/>
    <w:charset w:val="00"/>
    <w:family w:val="roman"/>
    <w:pitch w:val="default"/>
    <w:sig w:usb0="00000000" w:usb1="00000000" w:usb2="00000000" w:usb3="00000000" w:csb0="00000000" w:csb1="0000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pPr>
  </w:p>
  <w:p>
    <w:pPr>
      <w:pStyle w:val="1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pPr>
  </w:p>
  <w:p>
    <w:pPr>
      <w:pStyle w:val="1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619A06A"/>
    <w:multiLevelType w:val="singleLevel"/>
    <w:tmpl w:val="A619A06A"/>
    <w:lvl w:ilvl="0" w:tentative="0">
      <w:start w:val="2"/>
      <w:numFmt w:val="chineseCounting"/>
      <w:suff w:val="nothing"/>
      <w:lvlText w:val="%1、"/>
      <w:lvlJc w:val="left"/>
      <w:rPr>
        <w:rFonts w:hint="eastAsia"/>
      </w:rPr>
    </w:lvl>
  </w:abstractNum>
  <w:abstractNum w:abstractNumId="1">
    <w:nsid w:val="1B1A4DA9"/>
    <w:multiLevelType w:val="singleLevel"/>
    <w:tmpl w:val="1B1A4DA9"/>
    <w:lvl w:ilvl="0" w:tentative="0">
      <w:start w:val="1"/>
      <w:numFmt w:val="decimal"/>
      <w:lvlText w:val="%1."/>
      <w:lvlJc w:val="left"/>
      <w:pPr>
        <w:tabs>
          <w:tab w:val="left" w:pos="312"/>
        </w:tabs>
      </w:pPr>
    </w:lvl>
  </w:abstractNum>
  <w:abstractNum w:abstractNumId="2">
    <w:nsid w:val="62621CDC"/>
    <w:multiLevelType w:val="multilevel"/>
    <w:tmpl w:val="62621CDC"/>
    <w:lvl w:ilvl="0" w:tentative="0">
      <w:start w:val="1"/>
      <w:numFmt w:val="decimal"/>
      <w:lvlText w:val="%1."/>
      <w:lvlJc w:val="left"/>
      <w:pPr>
        <w:ind w:left="1152" w:hanging="480"/>
      </w:pPr>
      <w:rPr>
        <w:rFonts w:hint="default"/>
      </w:rPr>
    </w:lvl>
    <w:lvl w:ilvl="1" w:tentative="0">
      <w:start w:val="1"/>
      <w:numFmt w:val="lowerLetter"/>
      <w:lvlText w:val="%2)"/>
      <w:lvlJc w:val="left"/>
      <w:pPr>
        <w:ind w:left="1512" w:hanging="420"/>
      </w:pPr>
    </w:lvl>
    <w:lvl w:ilvl="2" w:tentative="0">
      <w:start w:val="1"/>
      <w:numFmt w:val="lowerRoman"/>
      <w:lvlText w:val="%3."/>
      <w:lvlJc w:val="right"/>
      <w:pPr>
        <w:ind w:left="1932" w:hanging="420"/>
      </w:pPr>
    </w:lvl>
    <w:lvl w:ilvl="3" w:tentative="0">
      <w:start w:val="1"/>
      <w:numFmt w:val="decimal"/>
      <w:lvlText w:val="%4."/>
      <w:lvlJc w:val="left"/>
      <w:pPr>
        <w:ind w:left="2352" w:hanging="420"/>
      </w:pPr>
    </w:lvl>
    <w:lvl w:ilvl="4" w:tentative="0">
      <w:start w:val="1"/>
      <w:numFmt w:val="lowerLetter"/>
      <w:lvlText w:val="%5)"/>
      <w:lvlJc w:val="left"/>
      <w:pPr>
        <w:ind w:left="2772" w:hanging="420"/>
      </w:pPr>
    </w:lvl>
    <w:lvl w:ilvl="5" w:tentative="0">
      <w:start w:val="1"/>
      <w:numFmt w:val="lowerRoman"/>
      <w:lvlText w:val="%6."/>
      <w:lvlJc w:val="right"/>
      <w:pPr>
        <w:ind w:left="3192" w:hanging="420"/>
      </w:pPr>
    </w:lvl>
    <w:lvl w:ilvl="6" w:tentative="0">
      <w:start w:val="1"/>
      <w:numFmt w:val="decimal"/>
      <w:lvlText w:val="%7."/>
      <w:lvlJc w:val="left"/>
      <w:pPr>
        <w:ind w:left="3612" w:hanging="420"/>
      </w:pPr>
    </w:lvl>
    <w:lvl w:ilvl="7" w:tentative="0">
      <w:start w:val="1"/>
      <w:numFmt w:val="lowerLetter"/>
      <w:lvlText w:val="%8)"/>
      <w:lvlJc w:val="left"/>
      <w:pPr>
        <w:ind w:left="4032" w:hanging="420"/>
      </w:pPr>
    </w:lvl>
    <w:lvl w:ilvl="8" w:tentative="0">
      <w:start w:val="1"/>
      <w:numFmt w:val="lowerRoman"/>
      <w:lvlText w:val="%9."/>
      <w:lvlJc w:val="right"/>
      <w:pPr>
        <w:ind w:left="4452"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361C"/>
    <w:rsid w:val="000222C6"/>
    <w:rsid w:val="0002549F"/>
    <w:rsid w:val="000468DB"/>
    <w:rsid w:val="0006487A"/>
    <w:rsid w:val="00065F8F"/>
    <w:rsid w:val="00070A43"/>
    <w:rsid w:val="000768F2"/>
    <w:rsid w:val="0009184B"/>
    <w:rsid w:val="00094236"/>
    <w:rsid w:val="0009593C"/>
    <w:rsid w:val="00097322"/>
    <w:rsid w:val="000A6A92"/>
    <w:rsid w:val="000B047F"/>
    <w:rsid w:val="000B5923"/>
    <w:rsid w:val="000B5A48"/>
    <w:rsid w:val="000B6FF3"/>
    <w:rsid w:val="000C3467"/>
    <w:rsid w:val="000C3CA6"/>
    <w:rsid w:val="000D1267"/>
    <w:rsid w:val="000D1D50"/>
    <w:rsid w:val="000D5782"/>
    <w:rsid w:val="000E6613"/>
    <w:rsid w:val="000E7119"/>
    <w:rsid w:val="00114E9B"/>
    <w:rsid w:val="00142216"/>
    <w:rsid w:val="00144D6A"/>
    <w:rsid w:val="0014729F"/>
    <w:rsid w:val="00157BAB"/>
    <w:rsid w:val="001654D1"/>
    <w:rsid w:val="00174518"/>
    <w:rsid w:val="0018106D"/>
    <w:rsid w:val="001877A7"/>
    <w:rsid w:val="00191536"/>
    <w:rsid w:val="00196687"/>
    <w:rsid w:val="001C0962"/>
    <w:rsid w:val="001D7531"/>
    <w:rsid w:val="001E737D"/>
    <w:rsid w:val="001F0592"/>
    <w:rsid w:val="001F7506"/>
    <w:rsid w:val="002006CD"/>
    <w:rsid w:val="00202B36"/>
    <w:rsid w:val="00204B7A"/>
    <w:rsid w:val="00204CDE"/>
    <w:rsid w:val="0021101A"/>
    <w:rsid w:val="00220536"/>
    <w:rsid w:val="00235629"/>
    <w:rsid w:val="00260C38"/>
    <w:rsid w:val="002616C0"/>
    <w:rsid w:val="00265372"/>
    <w:rsid w:val="002662AA"/>
    <w:rsid w:val="00280496"/>
    <w:rsid w:val="00294DC9"/>
    <w:rsid w:val="00295495"/>
    <w:rsid w:val="002A31DE"/>
    <w:rsid w:val="002B2613"/>
    <w:rsid w:val="002D6D05"/>
    <w:rsid w:val="002F1818"/>
    <w:rsid w:val="002F567B"/>
    <w:rsid w:val="003216A9"/>
    <w:rsid w:val="00335A74"/>
    <w:rsid w:val="0036561B"/>
    <w:rsid w:val="0037013F"/>
    <w:rsid w:val="00380C92"/>
    <w:rsid w:val="003A484F"/>
    <w:rsid w:val="003A4883"/>
    <w:rsid w:val="003B0BE0"/>
    <w:rsid w:val="003B0C1B"/>
    <w:rsid w:val="003B688C"/>
    <w:rsid w:val="003C0291"/>
    <w:rsid w:val="003C39AE"/>
    <w:rsid w:val="003C7B60"/>
    <w:rsid w:val="003D0C0F"/>
    <w:rsid w:val="003D1FB2"/>
    <w:rsid w:val="003D66DA"/>
    <w:rsid w:val="003E1310"/>
    <w:rsid w:val="003E6F55"/>
    <w:rsid w:val="00406254"/>
    <w:rsid w:val="004223DE"/>
    <w:rsid w:val="00434489"/>
    <w:rsid w:val="00437085"/>
    <w:rsid w:val="00443880"/>
    <w:rsid w:val="004464F4"/>
    <w:rsid w:val="00471401"/>
    <w:rsid w:val="00473F31"/>
    <w:rsid w:val="0048263A"/>
    <w:rsid w:val="00487E5D"/>
    <w:rsid w:val="004A711F"/>
    <w:rsid w:val="004B199D"/>
    <w:rsid w:val="004B4690"/>
    <w:rsid w:val="004E0A2D"/>
    <w:rsid w:val="004E206B"/>
    <w:rsid w:val="004E6DF7"/>
    <w:rsid w:val="004F0FBD"/>
    <w:rsid w:val="00505A47"/>
    <w:rsid w:val="00512FDA"/>
    <w:rsid w:val="00520DA0"/>
    <w:rsid w:val="005664BB"/>
    <w:rsid w:val="00566FFA"/>
    <w:rsid w:val="0057481D"/>
    <w:rsid w:val="0058486E"/>
    <w:rsid w:val="00585B33"/>
    <w:rsid w:val="0059014D"/>
    <w:rsid w:val="005B5C64"/>
    <w:rsid w:val="005C5337"/>
    <w:rsid w:val="005C6BD0"/>
    <w:rsid w:val="005D1C8B"/>
    <w:rsid w:val="005D468D"/>
    <w:rsid w:val="005D5CED"/>
    <w:rsid w:val="005F1A4C"/>
    <w:rsid w:val="00605688"/>
    <w:rsid w:val="006070AF"/>
    <w:rsid w:val="00607E6C"/>
    <w:rsid w:val="006101B1"/>
    <w:rsid w:val="00614E44"/>
    <w:rsid w:val="0062270A"/>
    <w:rsid w:val="00622830"/>
    <w:rsid w:val="00623DA0"/>
    <w:rsid w:val="00630AEF"/>
    <w:rsid w:val="006325F8"/>
    <w:rsid w:val="00633463"/>
    <w:rsid w:val="00634C9A"/>
    <w:rsid w:val="006440E4"/>
    <w:rsid w:val="0066343B"/>
    <w:rsid w:val="00664777"/>
    <w:rsid w:val="006748A4"/>
    <w:rsid w:val="00681A31"/>
    <w:rsid w:val="00683E73"/>
    <w:rsid w:val="006A3141"/>
    <w:rsid w:val="006A5E34"/>
    <w:rsid w:val="006B2422"/>
    <w:rsid w:val="006B2B9A"/>
    <w:rsid w:val="006C1937"/>
    <w:rsid w:val="006F020C"/>
    <w:rsid w:val="007127B7"/>
    <w:rsid w:val="0071798E"/>
    <w:rsid w:val="007416B6"/>
    <w:rsid w:val="00746F48"/>
    <w:rsid w:val="0075404D"/>
    <w:rsid w:val="0076182A"/>
    <w:rsid w:val="00767B7E"/>
    <w:rsid w:val="007770C3"/>
    <w:rsid w:val="00784D24"/>
    <w:rsid w:val="00785FBA"/>
    <w:rsid w:val="00786E4A"/>
    <w:rsid w:val="007875EB"/>
    <w:rsid w:val="0079426B"/>
    <w:rsid w:val="007D1682"/>
    <w:rsid w:val="007D312A"/>
    <w:rsid w:val="007D3F19"/>
    <w:rsid w:val="007E23B0"/>
    <w:rsid w:val="007E23E5"/>
    <w:rsid w:val="007F1991"/>
    <w:rsid w:val="007F2C2F"/>
    <w:rsid w:val="007F55FC"/>
    <w:rsid w:val="007F5665"/>
    <w:rsid w:val="00800112"/>
    <w:rsid w:val="00813348"/>
    <w:rsid w:val="008253BB"/>
    <w:rsid w:val="0083706E"/>
    <w:rsid w:val="008408F6"/>
    <w:rsid w:val="008423A5"/>
    <w:rsid w:val="00850625"/>
    <w:rsid w:val="00853718"/>
    <w:rsid w:val="00855221"/>
    <w:rsid w:val="00860645"/>
    <w:rsid w:val="00871F71"/>
    <w:rsid w:val="00872FD8"/>
    <w:rsid w:val="00885AF4"/>
    <w:rsid w:val="008939CD"/>
    <w:rsid w:val="008B768C"/>
    <w:rsid w:val="008C4DB1"/>
    <w:rsid w:val="008C4EAF"/>
    <w:rsid w:val="008C5176"/>
    <w:rsid w:val="008C7FD0"/>
    <w:rsid w:val="008E1DE7"/>
    <w:rsid w:val="008E707C"/>
    <w:rsid w:val="00900B08"/>
    <w:rsid w:val="00902155"/>
    <w:rsid w:val="00902FA3"/>
    <w:rsid w:val="00923564"/>
    <w:rsid w:val="0092392E"/>
    <w:rsid w:val="009315F9"/>
    <w:rsid w:val="00933499"/>
    <w:rsid w:val="00935C98"/>
    <w:rsid w:val="00946945"/>
    <w:rsid w:val="00951248"/>
    <w:rsid w:val="0095152F"/>
    <w:rsid w:val="00954C49"/>
    <w:rsid w:val="00955E37"/>
    <w:rsid w:val="0097099F"/>
    <w:rsid w:val="00971997"/>
    <w:rsid w:val="00971FFC"/>
    <w:rsid w:val="0098660A"/>
    <w:rsid w:val="009931C3"/>
    <w:rsid w:val="009B2C43"/>
    <w:rsid w:val="009B4EAE"/>
    <w:rsid w:val="009B7573"/>
    <w:rsid w:val="009C22F4"/>
    <w:rsid w:val="009C2A4B"/>
    <w:rsid w:val="009C2E98"/>
    <w:rsid w:val="009D3447"/>
    <w:rsid w:val="009D4711"/>
    <w:rsid w:val="009F1185"/>
    <w:rsid w:val="009F18CD"/>
    <w:rsid w:val="009F2A13"/>
    <w:rsid w:val="009F7527"/>
    <w:rsid w:val="00A04EB0"/>
    <w:rsid w:val="00A13CC1"/>
    <w:rsid w:val="00A16847"/>
    <w:rsid w:val="00A237D8"/>
    <w:rsid w:val="00A268C4"/>
    <w:rsid w:val="00A307CD"/>
    <w:rsid w:val="00A331C8"/>
    <w:rsid w:val="00A40A00"/>
    <w:rsid w:val="00A4142F"/>
    <w:rsid w:val="00A422EB"/>
    <w:rsid w:val="00A45BB7"/>
    <w:rsid w:val="00A56DF2"/>
    <w:rsid w:val="00A56E6E"/>
    <w:rsid w:val="00A67AB5"/>
    <w:rsid w:val="00A733B2"/>
    <w:rsid w:val="00A741C2"/>
    <w:rsid w:val="00A91760"/>
    <w:rsid w:val="00A93B00"/>
    <w:rsid w:val="00A93C21"/>
    <w:rsid w:val="00AB64C9"/>
    <w:rsid w:val="00AC3C6A"/>
    <w:rsid w:val="00AD5620"/>
    <w:rsid w:val="00AD656B"/>
    <w:rsid w:val="00AD7C1B"/>
    <w:rsid w:val="00AE16BA"/>
    <w:rsid w:val="00AE1EBE"/>
    <w:rsid w:val="00B03C9D"/>
    <w:rsid w:val="00B060AE"/>
    <w:rsid w:val="00B10517"/>
    <w:rsid w:val="00B14E76"/>
    <w:rsid w:val="00B161B8"/>
    <w:rsid w:val="00B2048C"/>
    <w:rsid w:val="00B310B9"/>
    <w:rsid w:val="00B35F3F"/>
    <w:rsid w:val="00B36CBB"/>
    <w:rsid w:val="00B425E0"/>
    <w:rsid w:val="00B440AA"/>
    <w:rsid w:val="00B44B70"/>
    <w:rsid w:val="00B53C56"/>
    <w:rsid w:val="00B57DAF"/>
    <w:rsid w:val="00B77EA6"/>
    <w:rsid w:val="00B81598"/>
    <w:rsid w:val="00B841F1"/>
    <w:rsid w:val="00B944D6"/>
    <w:rsid w:val="00BB4DF0"/>
    <w:rsid w:val="00BC289F"/>
    <w:rsid w:val="00BC2D50"/>
    <w:rsid w:val="00BC5361"/>
    <w:rsid w:val="00BC5460"/>
    <w:rsid w:val="00BC6B50"/>
    <w:rsid w:val="00BD0E25"/>
    <w:rsid w:val="00BF5BD6"/>
    <w:rsid w:val="00C03E31"/>
    <w:rsid w:val="00C33E72"/>
    <w:rsid w:val="00C354B2"/>
    <w:rsid w:val="00C35554"/>
    <w:rsid w:val="00C42709"/>
    <w:rsid w:val="00C533CC"/>
    <w:rsid w:val="00C5751C"/>
    <w:rsid w:val="00C61BFC"/>
    <w:rsid w:val="00C62B85"/>
    <w:rsid w:val="00C65438"/>
    <w:rsid w:val="00C87FD8"/>
    <w:rsid w:val="00C91381"/>
    <w:rsid w:val="00C91CBB"/>
    <w:rsid w:val="00CB4E70"/>
    <w:rsid w:val="00CC09B6"/>
    <w:rsid w:val="00CC666F"/>
    <w:rsid w:val="00CD1E3F"/>
    <w:rsid w:val="00CE44F6"/>
    <w:rsid w:val="00CE49DA"/>
    <w:rsid w:val="00CE7B61"/>
    <w:rsid w:val="00D00095"/>
    <w:rsid w:val="00D114F0"/>
    <w:rsid w:val="00D20620"/>
    <w:rsid w:val="00D254F7"/>
    <w:rsid w:val="00D26091"/>
    <w:rsid w:val="00D2685C"/>
    <w:rsid w:val="00D34E7C"/>
    <w:rsid w:val="00D35489"/>
    <w:rsid w:val="00D36AFE"/>
    <w:rsid w:val="00D51276"/>
    <w:rsid w:val="00D7035F"/>
    <w:rsid w:val="00DA634F"/>
    <w:rsid w:val="00DA65AC"/>
    <w:rsid w:val="00DB1913"/>
    <w:rsid w:val="00DC410D"/>
    <w:rsid w:val="00DC5A81"/>
    <w:rsid w:val="00DC68CA"/>
    <w:rsid w:val="00DC7CBA"/>
    <w:rsid w:val="00DD73B7"/>
    <w:rsid w:val="00DF28BC"/>
    <w:rsid w:val="00DF34B9"/>
    <w:rsid w:val="00E01053"/>
    <w:rsid w:val="00E07ACF"/>
    <w:rsid w:val="00E331A1"/>
    <w:rsid w:val="00E33202"/>
    <w:rsid w:val="00E336A9"/>
    <w:rsid w:val="00E472B1"/>
    <w:rsid w:val="00E50624"/>
    <w:rsid w:val="00E54633"/>
    <w:rsid w:val="00E568DF"/>
    <w:rsid w:val="00E64269"/>
    <w:rsid w:val="00E82267"/>
    <w:rsid w:val="00E853CE"/>
    <w:rsid w:val="00E867B6"/>
    <w:rsid w:val="00EA010F"/>
    <w:rsid w:val="00ED1B63"/>
    <w:rsid w:val="00ED3C1F"/>
    <w:rsid w:val="00ED4085"/>
    <w:rsid w:val="00ED420E"/>
    <w:rsid w:val="00ED6FBE"/>
    <w:rsid w:val="00EE2F57"/>
    <w:rsid w:val="00EF4C34"/>
    <w:rsid w:val="00EF77C6"/>
    <w:rsid w:val="00F05438"/>
    <w:rsid w:val="00F1361C"/>
    <w:rsid w:val="00F156F0"/>
    <w:rsid w:val="00F160C7"/>
    <w:rsid w:val="00F2408F"/>
    <w:rsid w:val="00F240E9"/>
    <w:rsid w:val="00F36D8F"/>
    <w:rsid w:val="00F417B1"/>
    <w:rsid w:val="00F45853"/>
    <w:rsid w:val="00F602DF"/>
    <w:rsid w:val="00F754A1"/>
    <w:rsid w:val="00F81FD9"/>
    <w:rsid w:val="00F841AA"/>
    <w:rsid w:val="00F84A94"/>
    <w:rsid w:val="00F87E96"/>
    <w:rsid w:val="00FA23E8"/>
    <w:rsid w:val="00FD3CC1"/>
    <w:rsid w:val="00FF1E02"/>
    <w:rsid w:val="00FF30B4"/>
    <w:rsid w:val="012A5EC2"/>
    <w:rsid w:val="015975B8"/>
    <w:rsid w:val="01773477"/>
    <w:rsid w:val="02FEBE30"/>
    <w:rsid w:val="04916F1E"/>
    <w:rsid w:val="061E35DE"/>
    <w:rsid w:val="066E0107"/>
    <w:rsid w:val="07996F6E"/>
    <w:rsid w:val="07DFD8BA"/>
    <w:rsid w:val="09867E8F"/>
    <w:rsid w:val="0A2032A3"/>
    <w:rsid w:val="0CA8290A"/>
    <w:rsid w:val="0D35B1ED"/>
    <w:rsid w:val="0E254B6B"/>
    <w:rsid w:val="0E8408B0"/>
    <w:rsid w:val="0F98263C"/>
    <w:rsid w:val="101860EC"/>
    <w:rsid w:val="101F47CC"/>
    <w:rsid w:val="10C055FF"/>
    <w:rsid w:val="11694EBD"/>
    <w:rsid w:val="11772AA4"/>
    <w:rsid w:val="118107EC"/>
    <w:rsid w:val="12E24EE2"/>
    <w:rsid w:val="13D50BC4"/>
    <w:rsid w:val="14B17F78"/>
    <w:rsid w:val="165E0673"/>
    <w:rsid w:val="16B831D5"/>
    <w:rsid w:val="16BB723D"/>
    <w:rsid w:val="17E50567"/>
    <w:rsid w:val="186504BB"/>
    <w:rsid w:val="19A445FC"/>
    <w:rsid w:val="1BE8440E"/>
    <w:rsid w:val="1D155CEE"/>
    <w:rsid w:val="1D1638FE"/>
    <w:rsid w:val="1E312DEB"/>
    <w:rsid w:val="1E740ACF"/>
    <w:rsid w:val="1FF35744"/>
    <w:rsid w:val="1FF6BC77"/>
    <w:rsid w:val="2186353C"/>
    <w:rsid w:val="23860B96"/>
    <w:rsid w:val="240371BF"/>
    <w:rsid w:val="244F3473"/>
    <w:rsid w:val="24C97D99"/>
    <w:rsid w:val="25A718F0"/>
    <w:rsid w:val="25BB59F6"/>
    <w:rsid w:val="260F557C"/>
    <w:rsid w:val="26970054"/>
    <w:rsid w:val="281408E2"/>
    <w:rsid w:val="29FD04D3"/>
    <w:rsid w:val="2BFF7BC6"/>
    <w:rsid w:val="2C6E12D4"/>
    <w:rsid w:val="2C8A61B5"/>
    <w:rsid w:val="2DF04E50"/>
    <w:rsid w:val="2E586DFA"/>
    <w:rsid w:val="2F040D46"/>
    <w:rsid w:val="2F6B035B"/>
    <w:rsid w:val="2FAE5751"/>
    <w:rsid w:val="2FB1A395"/>
    <w:rsid w:val="2FD9A7D8"/>
    <w:rsid w:val="2FDBF714"/>
    <w:rsid w:val="30AB6865"/>
    <w:rsid w:val="319F7F4E"/>
    <w:rsid w:val="32BD1EF1"/>
    <w:rsid w:val="3304709D"/>
    <w:rsid w:val="33A773CB"/>
    <w:rsid w:val="349D6851"/>
    <w:rsid w:val="36AA5135"/>
    <w:rsid w:val="36BE0DA7"/>
    <w:rsid w:val="376B6AA6"/>
    <w:rsid w:val="376D39B2"/>
    <w:rsid w:val="37E16F03"/>
    <w:rsid w:val="37F53A3B"/>
    <w:rsid w:val="389B6C89"/>
    <w:rsid w:val="38D469F0"/>
    <w:rsid w:val="39627CCD"/>
    <w:rsid w:val="397BAF1F"/>
    <w:rsid w:val="3AB79AF3"/>
    <w:rsid w:val="3AE834C0"/>
    <w:rsid w:val="3B7EF35A"/>
    <w:rsid w:val="3B9FDB6C"/>
    <w:rsid w:val="3BF5BC2F"/>
    <w:rsid w:val="3CEBA265"/>
    <w:rsid w:val="3D98207C"/>
    <w:rsid w:val="3DEE7CF3"/>
    <w:rsid w:val="3E740A63"/>
    <w:rsid w:val="3E78745D"/>
    <w:rsid w:val="3EE17838"/>
    <w:rsid w:val="3F55381A"/>
    <w:rsid w:val="3F7F7599"/>
    <w:rsid w:val="3FF4CAE0"/>
    <w:rsid w:val="3FF7B227"/>
    <w:rsid w:val="44E268DA"/>
    <w:rsid w:val="450D13D7"/>
    <w:rsid w:val="45506656"/>
    <w:rsid w:val="486A6C7A"/>
    <w:rsid w:val="4A627F82"/>
    <w:rsid w:val="4B0E749A"/>
    <w:rsid w:val="4B2477C4"/>
    <w:rsid w:val="4B4F25DA"/>
    <w:rsid w:val="4BE068DB"/>
    <w:rsid w:val="4D577224"/>
    <w:rsid w:val="4DBF1CEB"/>
    <w:rsid w:val="4DF0007C"/>
    <w:rsid w:val="4EAB630A"/>
    <w:rsid w:val="4ECE2238"/>
    <w:rsid w:val="4F833267"/>
    <w:rsid w:val="4FE9BD67"/>
    <w:rsid w:val="4FFB052F"/>
    <w:rsid w:val="537E6D0A"/>
    <w:rsid w:val="53F74C96"/>
    <w:rsid w:val="55170BA8"/>
    <w:rsid w:val="553218C9"/>
    <w:rsid w:val="567E1AA5"/>
    <w:rsid w:val="56E47B74"/>
    <w:rsid w:val="57175D52"/>
    <w:rsid w:val="57BD3DD4"/>
    <w:rsid w:val="5AF92295"/>
    <w:rsid w:val="5B250254"/>
    <w:rsid w:val="5BDD79E6"/>
    <w:rsid w:val="5BF561CA"/>
    <w:rsid w:val="5BFF5DFC"/>
    <w:rsid w:val="5CD71FC4"/>
    <w:rsid w:val="5D1F11B5"/>
    <w:rsid w:val="5D695134"/>
    <w:rsid w:val="5DAE1B18"/>
    <w:rsid w:val="5DE7D9E5"/>
    <w:rsid w:val="5ECEC941"/>
    <w:rsid w:val="5FBF9FF3"/>
    <w:rsid w:val="5FCD4E2C"/>
    <w:rsid w:val="5FEF394A"/>
    <w:rsid w:val="5FF67715"/>
    <w:rsid w:val="62BF3928"/>
    <w:rsid w:val="63B3701E"/>
    <w:rsid w:val="647F5392"/>
    <w:rsid w:val="65E66580"/>
    <w:rsid w:val="664B1D71"/>
    <w:rsid w:val="664B4E8E"/>
    <w:rsid w:val="67277B67"/>
    <w:rsid w:val="67AA3209"/>
    <w:rsid w:val="698D0931"/>
    <w:rsid w:val="6A7FE5F3"/>
    <w:rsid w:val="6B053271"/>
    <w:rsid w:val="6BDD78B3"/>
    <w:rsid w:val="6C4A05C8"/>
    <w:rsid w:val="6C8742B8"/>
    <w:rsid w:val="6DBF5E93"/>
    <w:rsid w:val="6DFF077E"/>
    <w:rsid w:val="6E714EF0"/>
    <w:rsid w:val="6E7E3605"/>
    <w:rsid w:val="6E7FDCC7"/>
    <w:rsid w:val="6ED6A62E"/>
    <w:rsid w:val="6EE00B15"/>
    <w:rsid w:val="6F6FB3EB"/>
    <w:rsid w:val="6F8731EA"/>
    <w:rsid w:val="6FCE6052"/>
    <w:rsid w:val="6FD57C00"/>
    <w:rsid w:val="6FEFFFD8"/>
    <w:rsid w:val="6FF5CC65"/>
    <w:rsid w:val="6FFB47EC"/>
    <w:rsid w:val="6FFF034A"/>
    <w:rsid w:val="70484440"/>
    <w:rsid w:val="712A28F1"/>
    <w:rsid w:val="715C0E4B"/>
    <w:rsid w:val="71992E7C"/>
    <w:rsid w:val="72233669"/>
    <w:rsid w:val="72734D90"/>
    <w:rsid w:val="73160E6D"/>
    <w:rsid w:val="7332FE48"/>
    <w:rsid w:val="73AB61DA"/>
    <w:rsid w:val="73AD73D5"/>
    <w:rsid w:val="73B6EB34"/>
    <w:rsid w:val="73FA497D"/>
    <w:rsid w:val="744731E5"/>
    <w:rsid w:val="74BBD01D"/>
    <w:rsid w:val="74ED5379"/>
    <w:rsid w:val="75DEEEC2"/>
    <w:rsid w:val="75E32345"/>
    <w:rsid w:val="76E3355F"/>
    <w:rsid w:val="76FF5125"/>
    <w:rsid w:val="776F6FFA"/>
    <w:rsid w:val="778769C8"/>
    <w:rsid w:val="77A75DCA"/>
    <w:rsid w:val="77DC22F5"/>
    <w:rsid w:val="783E271A"/>
    <w:rsid w:val="78616DE9"/>
    <w:rsid w:val="78E875D7"/>
    <w:rsid w:val="79086DAD"/>
    <w:rsid w:val="79D7FD79"/>
    <w:rsid w:val="79EE5BA4"/>
    <w:rsid w:val="7A894339"/>
    <w:rsid w:val="7AD284E8"/>
    <w:rsid w:val="7AFF7572"/>
    <w:rsid w:val="7B6C7DFB"/>
    <w:rsid w:val="7BBFBED0"/>
    <w:rsid w:val="7BC3E394"/>
    <w:rsid w:val="7C1F3737"/>
    <w:rsid w:val="7CBFC87B"/>
    <w:rsid w:val="7CFE0F48"/>
    <w:rsid w:val="7D272ABC"/>
    <w:rsid w:val="7D7EC23E"/>
    <w:rsid w:val="7E8ADEBF"/>
    <w:rsid w:val="7EEF11D3"/>
    <w:rsid w:val="7EFE4840"/>
    <w:rsid w:val="7F0971A6"/>
    <w:rsid w:val="7F1D62E7"/>
    <w:rsid w:val="7F3F679B"/>
    <w:rsid w:val="7F4FC4EF"/>
    <w:rsid w:val="7F5E4D54"/>
    <w:rsid w:val="7F6E0135"/>
    <w:rsid w:val="7F79F205"/>
    <w:rsid w:val="7FA30C79"/>
    <w:rsid w:val="7FA79C44"/>
    <w:rsid w:val="7FAF8ABF"/>
    <w:rsid w:val="7FB7269E"/>
    <w:rsid w:val="7FC96657"/>
    <w:rsid w:val="7FDA9588"/>
    <w:rsid w:val="7FDF220F"/>
    <w:rsid w:val="7FEDC5F7"/>
    <w:rsid w:val="7FEDD9DE"/>
    <w:rsid w:val="7FF5890D"/>
    <w:rsid w:val="7FF93490"/>
    <w:rsid w:val="99FF2014"/>
    <w:rsid w:val="A6DD0D7F"/>
    <w:rsid w:val="ACFF4FBB"/>
    <w:rsid w:val="ADC6F725"/>
    <w:rsid w:val="B7CF06AB"/>
    <w:rsid w:val="B7CFA926"/>
    <w:rsid w:val="B7F8786B"/>
    <w:rsid w:val="BABB6AA1"/>
    <w:rsid w:val="BB2F4199"/>
    <w:rsid w:val="BCFFB442"/>
    <w:rsid w:val="BD079C78"/>
    <w:rsid w:val="BD733540"/>
    <w:rsid w:val="BF3735D5"/>
    <w:rsid w:val="BF7F09AC"/>
    <w:rsid w:val="BFD475C3"/>
    <w:rsid w:val="BFDE5EA6"/>
    <w:rsid w:val="CF6FC6F3"/>
    <w:rsid w:val="CFD3D3D7"/>
    <w:rsid w:val="CFDF1009"/>
    <w:rsid w:val="D7D7B16A"/>
    <w:rsid w:val="D8D6DB89"/>
    <w:rsid w:val="DB6F4CAB"/>
    <w:rsid w:val="DB777682"/>
    <w:rsid w:val="DD1FB521"/>
    <w:rsid w:val="DEFBFEAE"/>
    <w:rsid w:val="DF1F3B80"/>
    <w:rsid w:val="DF6F9789"/>
    <w:rsid w:val="DFE9BE81"/>
    <w:rsid w:val="DFFFA9E8"/>
    <w:rsid w:val="E5F4E9DC"/>
    <w:rsid w:val="E70FE695"/>
    <w:rsid w:val="EB2E368B"/>
    <w:rsid w:val="ECFED1BC"/>
    <w:rsid w:val="ED1D69BB"/>
    <w:rsid w:val="ED7FD312"/>
    <w:rsid w:val="EF2E1AC6"/>
    <w:rsid w:val="EF53993F"/>
    <w:rsid w:val="EF6FD633"/>
    <w:rsid w:val="EFBFB2F4"/>
    <w:rsid w:val="EFBFFA21"/>
    <w:rsid w:val="F2BEBCB8"/>
    <w:rsid w:val="F36FB518"/>
    <w:rsid w:val="F3DE1A04"/>
    <w:rsid w:val="F3F722E5"/>
    <w:rsid w:val="F4FBCD07"/>
    <w:rsid w:val="FA5F1E70"/>
    <w:rsid w:val="FA5FDB97"/>
    <w:rsid w:val="FB7F486A"/>
    <w:rsid w:val="FBFF5B2E"/>
    <w:rsid w:val="FD7FFE2B"/>
    <w:rsid w:val="FDEE196B"/>
    <w:rsid w:val="FDFE6575"/>
    <w:rsid w:val="FEDFDDC2"/>
    <w:rsid w:val="FEED32F6"/>
    <w:rsid w:val="FEF781DD"/>
    <w:rsid w:val="FF3F7E3F"/>
    <w:rsid w:val="FFBA12D7"/>
    <w:rsid w:val="FFCBD314"/>
    <w:rsid w:val="FFDFF91C"/>
    <w:rsid w:val="FFDFFAEE"/>
    <w:rsid w:val="FFEF6777"/>
    <w:rsid w:val="FFF9B57B"/>
    <w:rsid w:val="FFFD61D9"/>
    <w:rsid w:val="FFFD8F59"/>
    <w:rsid w:val="FFFF2BB1"/>
    <w:rsid w:val="FFFFB04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5">
    <w:name w:val="heading 1"/>
    <w:basedOn w:val="1"/>
    <w:next w:val="1"/>
    <w:link w:val="28"/>
    <w:qFormat/>
    <w:uiPriority w:val="9"/>
    <w:pPr>
      <w:keepNext/>
      <w:keepLines/>
      <w:spacing w:before="340" w:after="330" w:line="578" w:lineRule="auto"/>
      <w:outlineLvl w:val="0"/>
    </w:pPr>
    <w:rPr>
      <w:b/>
      <w:bCs/>
      <w:kern w:val="44"/>
      <w:sz w:val="44"/>
      <w:szCs w:val="44"/>
    </w:rPr>
  </w:style>
  <w:style w:type="paragraph" w:styleId="6">
    <w:name w:val="heading 2"/>
    <w:basedOn w:val="1"/>
    <w:next w:val="1"/>
    <w:link w:val="29"/>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7">
    <w:name w:val="heading 3"/>
    <w:basedOn w:val="1"/>
    <w:next w:val="1"/>
    <w:link w:val="32"/>
    <w:unhideWhenUsed/>
    <w:qFormat/>
    <w:uiPriority w:val="9"/>
    <w:pPr>
      <w:keepNext/>
      <w:keepLines/>
      <w:spacing w:before="260" w:after="260" w:line="416" w:lineRule="auto"/>
      <w:outlineLvl w:val="2"/>
    </w:pPr>
    <w:rPr>
      <w:b/>
      <w:bCs/>
      <w:sz w:val="32"/>
      <w:szCs w:val="32"/>
    </w:rPr>
  </w:style>
  <w:style w:type="character" w:default="1" w:styleId="16">
    <w:name w:val="Default Paragraph Font"/>
    <w:unhideWhenUsed/>
    <w:qFormat/>
    <w:uiPriority w:val="1"/>
  </w:style>
  <w:style w:type="table" w:default="1" w:styleId="15">
    <w:name w:val="Normal Table"/>
    <w:semiHidden/>
    <w:unhideWhenUsed/>
    <w:qFormat/>
    <w:uiPriority w:val="99"/>
    <w:tblPr>
      <w:tblLayout w:type="fixed"/>
      <w:tblCellMar>
        <w:top w:w="0" w:type="dxa"/>
        <w:left w:w="108" w:type="dxa"/>
        <w:bottom w:w="0" w:type="dxa"/>
        <w:right w:w="108" w:type="dxa"/>
      </w:tblCellMar>
    </w:tblPr>
  </w:style>
  <w:style w:type="paragraph" w:styleId="2">
    <w:name w:val="footnote text"/>
    <w:basedOn w:val="1"/>
    <w:next w:val="3"/>
    <w:semiHidden/>
    <w:qFormat/>
    <w:uiPriority w:val="0"/>
    <w:pPr>
      <w:snapToGrid w:val="0"/>
      <w:jc w:val="left"/>
    </w:pPr>
    <w:rPr>
      <w:sz w:val="18"/>
      <w:szCs w:val="18"/>
    </w:rPr>
  </w:style>
  <w:style w:type="paragraph" w:styleId="3">
    <w:name w:val="Body Text First Indent 2"/>
    <w:basedOn w:val="4"/>
    <w:unhideWhenUsed/>
    <w:qFormat/>
    <w:uiPriority w:val="99"/>
    <w:pPr>
      <w:ind w:firstLine="420" w:firstLineChars="200"/>
    </w:pPr>
  </w:style>
  <w:style w:type="paragraph" w:styleId="4">
    <w:name w:val="Body Text Indent"/>
    <w:basedOn w:val="1"/>
    <w:next w:val="3"/>
    <w:qFormat/>
    <w:uiPriority w:val="0"/>
    <w:pPr>
      <w:spacing w:after="120"/>
      <w:ind w:leftChars="200"/>
    </w:pPr>
    <w:rPr>
      <w:rFonts w:ascii="仿宋_GB2312"/>
      <w:szCs w:val="32"/>
    </w:rPr>
  </w:style>
  <w:style w:type="paragraph" w:styleId="8">
    <w:name w:val="Body Text"/>
    <w:basedOn w:val="1"/>
    <w:link w:val="25"/>
    <w:qFormat/>
    <w:uiPriority w:val="99"/>
    <w:pPr>
      <w:spacing w:beforeLines="30"/>
    </w:pPr>
    <w:rPr>
      <w:rFonts w:ascii="仿宋_GB2312" w:eastAsia="仿宋_GB2312"/>
      <w:kern w:val="0"/>
      <w:sz w:val="30"/>
    </w:rPr>
  </w:style>
  <w:style w:type="paragraph" w:styleId="9">
    <w:name w:val="toc 3"/>
    <w:basedOn w:val="1"/>
    <w:next w:val="1"/>
    <w:unhideWhenUsed/>
    <w:qFormat/>
    <w:uiPriority w:val="39"/>
    <w:pPr>
      <w:tabs>
        <w:tab w:val="right" w:leader="dot" w:pos="8296"/>
      </w:tabs>
      <w:ind w:left="840" w:leftChars="400"/>
    </w:pPr>
  </w:style>
  <w:style w:type="paragraph" w:styleId="10">
    <w:name w:val="Balloon Text"/>
    <w:basedOn w:val="1"/>
    <w:link w:val="31"/>
    <w:semiHidden/>
    <w:unhideWhenUsed/>
    <w:qFormat/>
    <w:uiPriority w:val="99"/>
    <w:rPr>
      <w:sz w:val="18"/>
      <w:szCs w:val="18"/>
    </w:rPr>
  </w:style>
  <w:style w:type="paragraph" w:styleId="11">
    <w:name w:val="footer"/>
    <w:basedOn w:val="1"/>
    <w:link w:val="23"/>
    <w:qFormat/>
    <w:uiPriority w:val="99"/>
    <w:pPr>
      <w:tabs>
        <w:tab w:val="center" w:pos="4153"/>
        <w:tab w:val="right" w:pos="8306"/>
      </w:tabs>
      <w:snapToGrid w:val="0"/>
      <w:jc w:val="left"/>
    </w:pPr>
    <w:rPr>
      <w:rFonts w:ascii="Calibri" w:hAnsi="Calibri"/>
      <w:kern w:val="0"/>
      <w:sz w:val="18"/>
      <w:szCs w:val="18"/>
    </w:rPr>
  </w:style>
  <w:style w:type="paragraph" w:styleId="12">
    <w:name w:val="header"/>
    <w:basedOn w:val="1"/>
    <w:link w:val="21"/>
    <w:semiHidden/>
    <w:qFormat/>
    <w:uiPriority w:val="99"/>
    <w:pPr>
      <w:pBdr>
        <w:bottom w:val="single" w:color="auto" w:sz="6" w:space="1"/>
      </w:pBdr>
      <w:tabs>
        <w:tab w:val="center" w:pos="4153"/>
        <w:tab w:val="right" w:pos="8306"/>
      </w:tabs>
      <w:snapToGrid w:val="0"/>
      <w:jc w:val="center"/>
    </w:pPr>
    <w:rPr>
      <w:rFonts w:ascii="Calibri" w:hAnsi="Calibri"/>
      <w:kern w:val="0"/>
      <w:sz w:val="18"/>
      <w:szCs w:val="18"/>
    </w:rPr>
  </w:style>
  <w:style w:type="paragraph" w:styleId="13">
    <w:name w:val="toc 1"/>
    <w:basedOn w:val="1"/>
    <w:next w:val="1"/>
    <w:unhideWhenUsed/>
    <w:qFormat/>
    <w:uiPriority w:val="39"/>
    <w:pPr>
      <w:tabs>
        <w:tab w:val="right" w:leader="dot" w:pos="8296"/>
      </w:tabs>
      <w:spacing w:before="93"/>
      <w:jc w:val="center"/>
    </w:pPr>
    <w:rPr>
      <w:rFonts w:ascii="仿宋" w:hAnsi="仿宋" w:eastAsia="仿宋"/>
      <w:sz w:val="28"/>
      <w:szCs w:val="28"/>
    </w:rPr>
  </w:style>
  <w:style w:type="paragraph" w:styleId="14">
    <w:name w:val="toc 2"/>
    <w:basedOn w:val="1"/>
    <w:next w:val="1"/>
    <w:unhideWhenUsed/>
    <w:qFormat/>
    <w:uiPriority w:val="39"/>
    <w:pPr>
      <w:tabs>
        <w:tab w:val="right" w:leader="dot" w:pos="8296"/>
      </w:tabs>
      <w:ind w:left="420" w:leftChars="200"/>
    </w:pPr>
  </w:style>
  <w:style w:type="character" w:styleId="17">
    <w:name w:val="Strong"/>
    <w:basedOn w:val="16"/>
    <w:qFormat/>
    <w:uiPriority w:val="99"/>
    <w:rPr>
      <w:b/>
    </w:rPr>
  </w:style>
  <w:style w:type="character" w:styleId="18">
    <w:name w:val="Hyperlink"/>
    <w:basedOn w:val="16"/>
    <w:unhideWhenUsed/>
    <w:qFormat/>
    <w:uiPriority w:val="99"/>
    <w:rPr>
      <w:color w:val="0000FF" w:themeColor="hyperlink"/>
      <w:u w:val="single"/>
      <w14:textFill>
        <w14:solidFill>
          <w14:schemeClr w14:val="hlink"/>
        </w14:solidFill>
      </w14:textFill>
    </w:rPr>
  </w:style>
  <w:style w:type="paragraph" w:customStyle="1" w:styleId="19">
    <w:name w:val="标题 5（有编号）（绿盟科技）"/>
    <w:next w:val="1"/>
    <w:qFormat/>
    <w:uiPriority w:val="99"/>
    <w:pPr>
      <w:keepNext/>
      <w:keepLines/>
      <w:widowControl w:val="0"/>
      <w:spacing w:before="280" w:after="156" w:line="377" w:lineRule="auto"/>
      <w:jc w:val="left"/>
      <w:outlineLvl w:val="4"/>
    </w:pPr>
    <w:rPr>
      <w:rFonts w:ascii="Arial" w:hAnsi="Arial" w:eastAsia="黑体" w:cs="Times New Roman"/>
      <w:b/>
      <w:kern w:val="2"/>
      <w:sz w:val="24"/>
      <w:szCs w:val="28"/>
      <w:lang w:val="en-US" w:eastAsia="zh-CN" w:bidi="ar-SA"/>
    </w:rPr>
  </w:style>
  <w:style w:type="character" w:customStyle="1" w:styleId="20">
    <w:name w:val="Header Char"/>
    <w:basedOn w:val="16"/>
    <w:semiHidden/>
    <w:qFormat/>
    <w:uiPriority w:val="99"/>
    <w:rPr>
      <w:rFonts w:ascii="Times New Roman" w:hAnsi="Times New Roman"/>
      <w:sz w:val="18"/>
      <w:szCs w:val="18"/>
    </w:rPr>
  </w:style>
  <w:style w:type="character" w:customStyle="1" w:styleId="21">
    <w:name w:val="页眉 Char"/>
    <w:link w:val="12"/>
    <w:semiHidden/>
    <w:qFormat/>
    <w:locked/>
    <w:uiPriority w:val="99"/>
    <w:rPr>
      <w:sz w:val="18"/>
    </w:rPr>
  </w:style>
  <w:style w:type="character" w:customStyle="1" w:styleId="22">
    <w:name w:val="Footer Char"/>
    <w:basedOn w:val="16"/>
    <w:semiHidden/>
    <w:qFormat/>
    <w:uiPriority w:val="99"/>
    <w:rPr>
      <w:rFonts w:ascii="Times New Roman" w:hAnsi="Times New Roman"/>
      <w:sz w:val="18"/>
      <w:szCs w:val="18"/>
    </w:rPr>
  </w:style>
  <w:style w:type="character" w:customStyle="1" w:styleId="23">
    <w:name w:val="页脚 Char"/>
    <w:link w:val="11"/>
    <w:qFormat/>
    <w:locked/>
    <w:uiPriority w:val="99"/>
    <w:rPr>
      <w:sz w:val="18"/>
    </w:rPr>
  </w:style>
  <w:style w:type="character" w:customStyle="1" w:styleId="24">
    <w:name w:val="Body Text Char"/>
    <w:basedOn w:val="16"/>
    <w:semiHidden/>
    <w:qFormat/>
    <w:uiPriority w:val="99"/>
    <w:rPr>
      <w:rFonts w:ascii="Times New Roman" w:hAnsi="Times New Roman"/>
      <w:szCs w:val="24"/>
    </w:rPr>
  </w:style>
  <w:style w:type="character" w:customStyle="1" w:styleId="25">
    <w:name w:val="正文文本 Char"/>
    <w:link w:val="8"/>
    <w:qFormat/>
    <w:locked/>
    <w:uiPriority w:val="99"/>
    <w:rPr>
      <w:rFonts w:ascii="仿宋_GB2312" w:hAnsi="Times New Roman" w:eastAsia="仿宋_GB2312"/>
      <w:sz w:val="24"/>
    </w:rPr>
  </w:style>
  <w:style w:type="paragraph" w:customStyle="1" w:styleId="26">
    <w:name w:val="Default"/>
    <w:qFormat/>
    <w:uiPriority w:val="99"/>
    <w:pPr>
      <w:widowControl w:val="0"/>
      <w:autoSpaceDE w:val="0"/>
      <w:autoSpaceDN w:val="0"/>
      <w:adjustRightInd w:val="0"/>
    </w:pPr>
    <w:rPr>
      <w:rFonts w:ascii="仿宋" w:hAnsi="Calibri" w:eastAsia="仿宋" w:cs="仿宋"/>
      <w:color w:val="000000"/>
      <w:sz w:val="24"/>
      <w:szCs w:val="24"/>
      <w:lang w:val="en-US" w:eastAsia="zh-CN" w:bidi="ar-SA"/>
    </w:rPr>
  </w:style>
  <w:style w:type="paragraph" w:styleId="27">
    <w:name w:val="List Paragraph"/>
    <w:basedOn w:val="1"/>
    <w:qFormat/>
    <w:uiPriority w:val="34"/>
    <w:pPr>
      <w:ind w:firstLine="420" w:firstLineChars="200"/>
    </w:pPr>
  </w:style>
  <w:style w:type="character" w:customStyle="1" w:styleId="28">
    <w:name w:val="标题 1 Char"/>
    <w:basedOn w:val="16"/>
    <w:link w:val="5"/>
    <w:qFormat/>
    <w:uiPriority w:val="9"/>
    <w:rPr>
      <w:rFonts w:ascii="Times New Roman" w:hAnsi="Times New Roman"/>
      <w:b/>
      <w:bCs/>
      <w:kern w:val="44"/>
      <w:sz w:val="44"/>
      <w:szCs w:val="44"/>
    </w:rPr>
  </w:style>
  <w:style w:type="character" w:customStyle="1" w:styleId="29">
    <w:name w:val="标题 2 Char"/>
    <w:basedOn w:val="16"/>
    <w:link w:val="6"/>
    <w:qFormat/>
    <w:uiPriority w:val="9"/>
    <w:rPr>
      <w:rFonts w:asciiTheme="majorHAnsi" w:hAnsiTheme="majorHAnsi" w:eastAsiaTheme="majorEastAsia" w:cstheme="majorBidi"/>
      <w:b/>
      <w:bCs/>
      <w:kern w:val="2"/>
      <w:sz w:val="32"/>
      <w:szCs w:val="32"/>
    </w:rPr>
  </w:style>
  <w:style w:type="paragraph" w:customStyle="1" w:styleId="30">
    <w:name w:val="TOC 标题1"/>
    <w:basedOn w:val="5"/>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31">
    <w:name w:val="批注框文本 Char"/>
    <w:basedOn w:val="16"/>
    <w:link w:val="10"/>
    <w:semiHidden/>
    <w:qFormat/>
    <w:uiPriority w:val="99"/>
    <w:rPr>
      <w:rFonts w:ascii="Times New Roman" w:hAnsi="Times New Roman"/>
      <w:kern w:val="2"/>
      <w:sz w:val="18"/>
      <w:szCs w:val="18"/>
    </w:rPr>
  </w:style>
  <w:style w:type="character" w:customStyle="1" w:styleId="32">
    <w:name w:val="标题 3 Char"/>
    <w:basedOn w:val="16"/>
    <w:link w:val="7"/>
    <w:qFormat/>
    <w:uiPriority w:val="9"/>
    <w:rPr>
      <w:rFonts w:ascii="Times New Roman" w:hAnsi="Times New Roman"/>
      <w:b/>
      <w:bCs/>
      <w:kern w:val="2"/>
      <w:sz w:val="32"/>
      <w:szCs w:val="32"/>
    </w:rPr>
  </w:style>
  <w:style w:type="paragraph" w:customStyle="1" w:styleId="33">
    <w:name w:val="TOC Heading"/>
    <w:basedOn w:val="5"/>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paragraph" w:customStyle="1" w:styleId="34">
    <w:name w:val="四号正文"/>
    <w:basedOn w:val="1"/>
    <w:qFormat/>
    <w:uiPriority w:val="0"/>
    <w:pPr>
      <w:spacing w:line="360" w:lineRule="auto"/>
    </w:pPr>
    <w:rPr>
      <w:rFonts w:ascii="??" w:hAnsi="??" w:eastAsia="宋体"/>
      <w:color w:val="000000"/>
      <w:kern w:val="0"/>
      <w:sz w:val="28"/>
      <w:szCs w:val="21"/>
      <w:lang w:val="zh-CN" w:eastAsia="zh-CN"/>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四川省财政厅</Company>
  <Pages>23</Pages>
  <Words>1299</Words>
  <Characters>7410</Characters>
  <Lines>61</Lines>
  <Paragraphs>17</Paragraphs>
  <TotalTime>1</TotalTime>
  <ScaleCrop>false</ScaleCrop>
  <LinksUpToDate>false</LinksUpToDate>
  <CharactersWithSpaces>8692</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2020-08-09T09:49:00Z</dcterms:created>
  <dc:creator>曹颖</dc:creator>
  <cp:lastModifiedBy>Administrator</cp:lastModifiedBy>
  <cp:lastPrinted>2025-08-06T17:34:00Z</cp:lastPrinted>
  <dcterms:modified xsi:type="dcterms:W3CDTF">2025-10-29T06:50:13Z</dcterms:modified>
  <dc:title>四川省***</dc:title>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04787F2533EB45DC91BCDE4AB213247F</vt:lpwstr>
  </property>
</Properties>
</file>