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744FDF">
      <w:pPr>
        <w:pStyle w:val="4"/>
        <w:jc w:val="center"/>
        <w:rPr>
          <w:rFonts w:hint="eastAsia" w:ascii="宋体" w:hAnsi="宋体" w:eastAsia="宋体" w:cs="宋体"/>
          <w:b/>
          <w:bCs/>
          <w:sz w:val="52"/>
          <w:szCs w:val="52"/>
          <w:shd w:val="clear" w:color="auto" w:fill="auto"/>
          <w:lang w:val="en-US" w:eastAsia="zh-CN"/>
        </w:rPr>
      </w:pPr>
    </w:p>
    <w:p w14:paraId="2C96A1AD">
      <w:pPr>
        <w:pStyle w:val="4"/>
        <w:jc w:val="center"/>
        <w:rPr>
          <w:rFonts w:hint="eastAsia" w:ascii="宋体" w:hAnsi="宋体" w:eastAsia="宋体" w:cs="宋体"/>
          <w:b/>
          <w:bCs/>
          <w:sz w:val="52"/>
          <w:szCs w:val="52"/>
          <w:shd w:val="clear" w:color="auto" w:fill="auto"/>
          <w:lang w:val="en-US" w:eastAsia="zh-CN"/>
        </w:rPr>
      </w:pPr>
    </w:p>
    <w:p w14:paraId="7FEBC4CD">
      <w:pPr>
        <w:pStyle w:val="4"/>
        <w:jc w:val="center"/>
        <w:rPr>
          <w:rFonts w:hint="eastAsia" w:ascii="宋体" w:hAnsi="宋体" w:eastAsia="宋体" w:cs="宋体"/>
          <w:b/>
          <w:bCs/>
          <w:sz w:val="52"/>
          <w:szCs w:val="52"/>
          <w:shd w:val="clear" w:color="auto" w:fill="auto"/>
          <w:lang w:val="en-US" w:eastAsia="zh-CN"/>
        </w:rPr>
      </w:pPr>
    </w:p>
    <w:p w14:paraId="5C9EEFCD">
      <w:pPr>
        <w:pStyle w:val="4"/>
        <w:jc w:val="center"/>
        <w:rPr>
          <w:rFonts w:hint="eastAsia" w:ascii="宋体" w:hAnsi="宋体" w:eastAsia="宋体" w:cs="宋体"/>
          <w:b/>
          <w:bCs/>
          <w:sz w:val="52"/>
          <w:szCs w:val="52"/>
          <w:shd w:val="clear" w:color="auto" w:fill="auto"/>
          <w:lang w:val="en-US" w:eastAsia="zh-CN"/>
        </w:rPr>
      </w:pPr>
    </w:p>
    <w:p w14:paraId="13B94989">
      <w:pPr>
        <w:pStyle w:val="4"/>
        <w:jc w:val="center"/>
        <w:rPr>
          <w:rFonts w:hint="eastAsia" w:ascii="宋体" w:hAnsi="宋体" w:eastAsia="宋体" w:cs="宋体"/>
          <w:b/>
          <w:bCs/>
          <w:sz w:val="52"/>
          <w:szCs w:val="52"/>
          <w:shd w:val="clear" w:color="auto" w:fill="auto"/>
          <w:lang w:val="en-US" w:eastAsia="zh-CN"/>
        </w:rPr>
      </w:pPr>
    </w:p>
    <w:p w14:paraId="46734144">
      <w:pPr>
        <w:pStyle w:val="4"/>
        <w:jc w:val="center"/>
        <w:rPr>
          <w:rFonts w:hint="eastAsia" w:ascii="宋体" w:hAnsi="宋体" w:eastAsia="宋体" w:cs="宋体"/>
          <w:b/>
          <w:bCs/>
          <w:sz w:val="52"/>
          <w:szCs w:val="52"/>
          <w:shd w:val="clear" w:color="auto" w:fill="auto"/>
          <w:lang w:val="en-US" w:eastAsia="zh-CN"/>
        </w:rPr>
      </w:pPr>
    </w:p>
    <w:p w14:paraId="775D69C0">
      <w:pPr>
        <w:pStyle w:val="4"/>
        <w:jc w:val="center"/>
        <w:rPr>
          <w:rFonts w:hint="eastAsia" w:ascii="宋体" w:hAnsi="宋体" w:eastAsia="宋体" w:cs="宋体"/>
          <w:b/>
          <w:bCs/>
          <w:sz w:val="52"/>
          <w:szCs w:val="52"/>
          <w:shd w:val="clear" w:color="auto" w:fill="auto"/>
          <w:lang w:val="en-US" w:eastAsia="zh-CN"/>
        </w:rPr>
      </w:pPr>
    </w:p>
    <w:p w14:paraId="2FD3D13A">
      <w:pPr>
        <w:pStyle w:val="4"/>
        <w:jc w:val="center"/>
        <w:rPr>
          <w:rFonts w:hint="eastAsia" w:ascii="宋体" w:hAnsi="宋体" w:eastAsia="宋体" w:cs="宋体"/>
          <w:b/>
          <w:bCs/>
          <w:sz w:val="52"/>
          <w:szCs w:val="52"/>
          <w:shd w:val="clear" w:color="auto" w:fill="auto"/>
          <w:lang w:val="en-US" w:eastAsia="zh-CN"/>
        </w:rPr>
      </w:pPr>
    </w:p>
    <w:p w14:paraId="677227DD">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乐山市五通桥区司法局</w:t>
      </w:r>
    </w:p>
    <w:p w14:paraId="28966365">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default"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2026部门预算编制说明</w:t>
      </w:r>
    </w:p>
    <w:p w14:paraId="40E1B21F">
      <w:pPr>
        <w:spacing w:after="0"/>
        <w:rPr>
          <w:rFonts w:ascii="宋体" w:hAnsi="宋体"/>
        </w:rPr>
      </w:pPr>
    </w:p>
    <w:p w14:paraId="70B361D3">
      <w:pPr>
        <w:rPr>
          <w:rFonts w:ascii="宋体" w:hAnsi="宋体"/>
          <w:sz w:val="4"/>
        </w:rPr>
      </w:pPr>
      <w:r>
        <w:rPr>
          <w:rFonts w:ascii="宋体" w:hAnsi="宋体"/>
          <w:sz w:val="4"/>
        </w:rPr>
        <w:br w:type="page"/>
      </w:r>
    </w:p>
    <w:p w14:paraId="5D690CBB">
      <w:pPr>
        <w:rPr>
          <w:rFonts w:ascii="宋体" w:hAnsi="宋体"/>
          <w:sz w:val="4"/>
        </w:rPr>
      </w:pPr>
    </w:p>
    <w:p w14:paraId="10EB5EA3">
      <w:pPr>
        <w:pStyle w:val="4"/>
        <w:spacing w:before="2"/>
        <w:rPr>
          <w:rFonts w:ascii="宋体" w:hAnsi="宋体"/>
          <w:sz w:val="4"/>
        </w:rPr>
      </w:pPr>
    </w:p>
    <w:p w14:paraId="1D148278">
      <w:pPr>
        <w:pStyle w:val="4"/>
        <w:tabs>
          <w:tab w:val="left" w:pos="4798"/>
        </w:tabs>
        <w:jc w:val="center"/>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
          <w:bCs/>
          <w:sz w:val="48"/>
          <w:szCs w:val="48"/>
          <w:lang w:val="en-US" w:eastAsia="zh-CN"/>
        </w:rPr>
        <w:t>目  录</w:t>
      </w:r>
    </w:p>
    <w:sdt>
      <w:sdtPr>
        <w:rPr>
          <w:rFonts w:ascii="宋体" w:hAnsi="宋体" w:eastAsia="宋体" w:cs="宋体"/>
          <w:sz w:val="21"/>
          <w:szCs w:val="22"/>
          <w:lang w:val="zh-CN" w:eastAsia="zh-CN" w:bidi="zh-CN"/>
        </w:rPr>
        <w:id w:val="147453385"/>
        <w15:color w:val="DBDBDB"/>
        <w:docPartObj>
          <w:docPartGallery w:val="Table of Contents"/>
          <w:docPartUnique/>
        </w:docPartObj>
      </w:sdtPr>
      <w:sdtEndPr>
        <w:rPr>
          <w:rFonts w:hint="eastAsia" w:ascii="宋体" w:hAnsi="宋体" w:eastAsia="方正小标宋简体" w:cs="方正小标宋简体"/>
          <w:bCs/>
          <w:sz w:val="32"/>
          <w:szCs w:val="48"/>
          <w:lang w:val="en-US" w:eastAsia="zh-CN" w:bidi="zh-CN"/>
        </w:rPr>
      </w:sdtEndPr>
      <w:sdtContent>
        <w:p w14:paraId="38310798">
          <w:pPr>
            <w:spacing w:before="0" w:beforeLines="0" w:after="0" w:afterLines="0" w:line="240" w:lineRule="auto"/>
            <w:ind w:left="0" w:leftChars="0" w:right="0" w:rightChars="0" w:firstLine="0" w:firstLineChars="0"/>
            <w:jc w:val="center"/>
            <w:rPr>
              <w:rFonts w:ascii="宋体" w:hAnsi="宋体"/>
            </w:rPr>
          </w:pPr>
        </w:p>
        <w:p w14:paraId="669BBCC4">
          <w:pPr>
            <w:pStyle w:val="10"/>
            <w:tabs>
              <w:tab w:val="right" w:leader="dot" w:pos="9812"/>
            </w:tabs>
            <w:rPr>
              <w:sz w:val="30"/>
              <w:szCs w:val="30"/>
            </w:rPr>
          </w:pPr>
          <w:r>
            <w:rPr>
              <w:rFonts w:hint="eastAsia" w:ascii="宋体" w:hAnsi="宋体" w:eastAsia="方正小标宋简体" w:cs="方正小标宋简体"/>
              <w:b/>
              <w:bCs/>
              <w:sz w:val="48"/>
              <w:szCs w:val="48"/>
              <w:lang w:val="en-US" w:eastAsia="zh-CN"/>
            </w:rPr>
            <w:fldChar w:fldCharType="begin"/>
          </w:r>
          <w:r>
            <w:rPr>
              <w:rFonts w:hint="eastAsia" w:ascii="宋体" w:hAnsi="宋体" w:eastAsia="方正小标宋简体" w:cs="方正小标宋简体"/>
              <w:b/>
              <w:bCs/>
              <w:sz w:val="48"/>
              <w:szCs w:val="48"/>
              <w:lang w:val="en-US" w:eastAsia="zh-CN"/>
            </w:rPr>
            <w:instrText xml:space="preserve">TOC \o "1-3" \h \u </w:instrText>
          </w:r>
          <w:r>
            <w:rPr>
              <w:rFonts w:hint="eastAsia" w:ascii="宋体" w:hAnsi="宋体" w:eastAsia="方正小标宋简体" w:cs="方正小标宋简体"/>
              <w:b/>
              <w:bCs/>
              <w:sz w:val="48"/>
              <w:szCs w:val="48"/>
              <w:lang w:val="en-US" w:eastAsia="zh-CN"/>
            </w:rPr>
            <w:fldChar w:fldCharType="separate"/>
          </w: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_Toc4421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bCs/>
              <w:sz w:val="30"/>
              <w:szCs w:val="30"/>
              <w:lang w:val="en-US" w:eastAsia="zh-CN"/>
            </w:rPr>
            <w:t>第一部分 部门概况</w:t>
          </w:r>
          <w:r>
            <w:rPr>
              <w:sz w:val="30"/>
              <w:szCs w:val="30"/>
            </w:rPr>
            <w:tab/>
          </w:r>
          <w:r>
            <w:rPr>
              <w:sz w:val="30"/>
              <w:szCs w:val="30"/>
            </w:rPr>
            <w:fldChar w:fldCharType="begin"/>
          </w:r>
          <w:r>
            <w:rPr>
              <w:sz w:val="30"/>
              <w:szCs w:val="30"/>
            </w:rPr>
            <w:instrText xml:space="preserve"> PAGEREF _Toc4421 \h </w:instrText>
          </w:r>
          <w:r>
            <w:rPr>
              <w:sz w:val="30"/>
              <w:szCs w:val="30"/>
            </w:rPr>
            <w:fldChar w:fldCharType="separate"/>
          </w:r>
          <w:r>
            <w:rPr>
              <w:sz w:val="30"/>
              <w:szCs w:val="30"/>
            </w:rPr>
            <w:t>1</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00D4430">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_Toc15794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一、基本职能及主要工作</w:t>
          </w:r>
          <w:r>
            <w:rPr>
              <w:sz w:val="30"/>
              <w:szCs w:val="30"/>
            </w:rPr>
            <w:tab/>
          </w:r>
          <w:r>
            <w:rPr>
              <w:sz w:val="30"/>
              <w:szCs w:val="30"/>
            </w:rPr>
            <w:fldChar w:fldCharType="begin"/>
          </w:r>
          <w:r>
            <w:rPr>
              <w:sz w:val="30"/>
              <w:szCs w:val="30"/>
            </w:rPr>
            <w:instrText xml:space="preserve"> PAGEREF _Toc15794 \h </w:instrText>
          </w:r>
          <w:r>
            <w:rPr>
              <w:sz w:val="30"/>
              <w:szCs w:val="30"/>
            </w:rPr>
            <w:fldChar w:fldCharType="separate"/>
          </w:r>
          <w:r>
            <w:rPr>
              <w:sz w:val="30"/>
              <w:szCs w:val="30"/>
            </w:rPr>
            <w:t>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91F4EB8">
          <w:pPr>
            <w:pStyle w:val="7"/>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_Toc7055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（一）部门职能简介</w:t>
          </w:r>
          <w:r>
            <w:rPr>
              <w:sz w:val="30"/>
              <w:szCs w:val="30"/>
            </w:rPr>
            <w:tab/>
          </w:r>
          <w:r>
            <w:rPr>
              <w:sz w:val="30"/>
              <w:szCs w:val="30"/>
            </w:rPr>
            <w:fldChar w:fldCharType="begin"/>
          </w:r>
          <w:r>
            <w:rPr>
              <w:sz w:val="30"/>
              <w:szCs w:val="30"/>
            </w:rPr>
            <w:instrText xml:space="preserve"> PAGEREF _Toc7055 \h </w:instrText>
          </w:r>
          <w:r>
            <w:rPr>
              <w:sz w:val="30"/>
              <w:szCs w:val="30"/>
            </w:rPr>
            <w:fldChar w:fldCharType="separate"/>
          </w:r>
          <w:r>
            <w:rPr>
              <w:sz w:val="30"/>
              <w:szCs w:val="30"/>
            </w:rPr>
            <w:t>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36C6F30">
          <w:pPr>
            <w:pStyle w:val="7"/>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_Toc6714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（二）部门</w:t>
          </w:r>
          <w:r>
            <w:rPr>
              <w:rFonts w:hint="eastAsia" w:ascii="宋体" w:hAnsi="宋体"/>
              <w:sz w:val="30"/>
              <w:szCs w:val="30"/>
              <w:lang w:val="en-US" w:eastAsia="zh-CN"/>
            </w:rPr>
            <w:t>202</w:t>
          </w:r>
          <w:r>
            <w:rPr>
              <w:rFonts w:hint="eastAsia"/>
              <w:sz w:val="30"/>
              <w:szCs w:val="30"/>
              <w:lang w:val="en-US" w:eastAsia="zh-CN"/>
            </w:rPr>
            <w:t>6</w:t>
          </w:r>
          <w:r>
            <w:rPr>
              <w:rFonts w:ascii="宋体" w:hAnsi="宋体"/>
              <w:sz w:val="30"/>
              <w:szCs w:val="30"/>
            </w:rPr>
            <w:t>年重点工</w:t>
          </w:r>
          <w:r>
            <w:rPr>
              <w:rFonts w:hint="eastAsia" w:ascii="宋体" w:hAnsi="宋体"/>
              <w:sz w:val="30"/>
              <w:szCs w:val="30"/>
            </w:rPr>
            <w:t>作</w:t>
          </w:r>
          <w:r>
            <w:rPr>
              <w:sz w:val="30"/>
              <w:szCs w:val="30"/>
            </w:rPr>
            <w:tab/>
          </w:r>
          <w:r>
            <w:rPr>
              <w:sz w:val="30"/>
              <w:szCs w:val="30"/>
            </w:rPr>
            <w:fldChar w:fldCharType="begin"/>
          </w:r>
          <w:r>
            <w:rPr>
              <w:sz w:val="30"/>
              <w:szCs w:val="30"/>
            </w:rPr>
            <w:instrText xml:space="preserve"> PAGEREF _Toc6714 \h </w:instrText>
          </w:r>
          <w:r>
            <w:rPr>
              <w:sz w:val="30"/>
              <w:szCs w:val="30"/>
            </w:rPr>
            <w:fldChar w:fldCharType="separate"/>
          </w:r>
          <w:r>
            <w:rPr>
              <w:sz w:val="30"/>
              <w:szCs w:val="30"/>
            </w:rPr>
            <w:t>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338F7CD">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_Toc20578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二、部门预算单位构成</w:t>
          </w:r>
          <w:r>
            <w:rPr>
              <w:sz w:val="30"/>
              <w:szCs w:val="30"/>
            </w:rPr>
            <w:tab/>
          </w:r>
          <w:r>
            <w:rPr>
              <w:sz w:val="30"/>
              <w:szCs w:val="30"/>
            </w:rPr>
            <w:fldChar w:fldCharType="begin"/>
          </w:r>
          <w:r>
            <w:rPr>
              <w:sz w:val="30"/>
              <w:szCs w:val="30"/>
            </w:rPr>
            <w:instrText xml:space="preserve"> PAGEREF _Toc20578 \h </w:instrText>
          </w:r>
          <w:r>
            <w:rPr>
              <w:sz w:val="30"/>
              <w:szCs w:val="30"/>
            </w:rPr>
            <w:fldChar w:fldCharType="separate"/>
          </w:r>
          <w:r>
            <w:rPr>
              <w:sz w:val="30"/>
              <w:szCs w:val="30"/>
            </w:rPr>
            <w:t>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DCFFC13">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_Toc26270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bCs/>
              <w:sz w:val="30"/>
              <w:szCs w:val="30"/>
              <w:lang w:val="en-US" w:eastAsia="zh-CN"/>
            </w:rPr>
            <w:t xml:space="preserve">第二部分 </w:t>
          </w:r>
          <w:r>
            <w:rPr>
              <w:rFonts w:hint="eastAsia" w:eastAsia="方正小标宋简体" w:cs="方正小标宋简体"/>
              <w:bCs/>
              <w:sz w:val="30"/>
              <w:szCs w:val="30"/>
              <w:lang w:val="en-US" w:eastAsia="zh-CN"/>
            </w:rPr>
            <w:t>司法局</w:t>
          </w:r>
          <w:r>
            <w:rPr>
              <w:rFonts w:hint="eastAsia" w:ascii="宋体" w:hAnsi="宋体" w:eastAsia="方正小标宋简体" w:cs="方正小标宋简体"/>
              <w:bCs/>
              <w:sz w:val="30"/>
              <w:szCs w:val="30"/>
              <w:lang w:val="en-US" w:eastAsia="zh-CN"/>
            </w:rPr>
            <w:t>202</w:t>
          </w:r>
          <w:r>
            <w:rPr>
              <w:rFonts w:hint="eastAsia" w:eastAsia="方正小标宋简体" w:cs="方正小标宋简体"/>
              <w:bCs/>
              <w:sz w:val="30"/>
              <w:szCs w:val="30"/>
              <w:lang w:val="en-US" w:eastAsia="zh-CN"/>
            </w:rPr>
            <w:t>6</w:t>
          </w:r>
          <w:r>
            <w:rPr>
              <w:rFonts w:hint="eastAsia" w:ascii="宋体" w:hAnsi="宋体" w:eastAsia="方正小标宋简体" w:cs="方正小标宋简体"/>
              <w:bCs/>
              <w:sz w:val="30"/>
              <w:szCs w:val="30"/>
              <w:lang w:val="en-US" w:eastAsia="zh-CN"/>
            </w:rPr>
            <w:t>年部门预算表</w:t>
          </w:r>
          <w:r>
            <w:rPr>
              <w:sz w:val="30"/>
              <w:szCs w:val="30"/>
            </w:rPr>
            <w:tab/>
          </w:r>
          <w:r>
            <w:rPr>
              <w:sz w:val="30"/>
              <w:szCs w:val="30"/>
            </w:rPr>
            <w:fldChar w:fldCharType="begin"/>
          </w:r>
          <w:r>
            <w:rPr>
              <w:sz w:val="30"/>
              <w:szCs w:val="30"/>
            </w:rPr>
            <w:instrText xml:space="preserve"> PAGEREF _Toc26270 \h </w:instrText>
          </w:r>
          <w:r>
            <w:rPr>
              <w:sz w:val="30"/>
              <w:szCs w:val="30"/>
            </w:rPr>
            <w:fldChar w:fldCharType="separate"/>
          </w:r>
          <w:r>
            <w:rPr>
              <w:sz w:val="30"/>
              <w:szCs w:val="30"/>
            </w:rPr>
            <w:t>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15F91A0">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_Toc19525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一、收支预算总表（收支总表1）</w:t>
          </w:r>
          <w:r>
            <w:rPr>
              <w:sz w:val="30"/>
              <w:szCs w:val="30"/>
            </w:rPr>
            <w:tab/>
          </w:r>
          <w:r>
            <w:rPr>
              <w:sz w:val="30"/>
              <w:szCs w:val="30"/>
            </w:rPr>
            <w:fldChar w:fldCharType="begin"/>
          </w:r>
          <w:r>
            <w:rPr>
              <w:sz w:val="30"/>
              <w:szCs w:val="30"/>
            </w:rPr>
            <w:instrText xml:space="preserve"> PAGEREF _Toc19525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B3E7044">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_Toc27375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二、收入预算总表（收入总表2）</w:t>
          </w:r>
          <w:r>
            <w:rPr>
              <w:sz w:val="30"/>
              <w:szCs w:val="30"/>
            </w:rPr>
            <w:tab/>
          </w:r>
          <w:r>
            <w:rPr>
              <w:sz w:val="30"/>
              <w:szCs w:val="30"/>
            </w:rPr>
            <w:fldChar w:fldCharType="begin"/>
          </w:r>
          <w:r>
            <w:rPr>
              <w:sz w:val="30"/>
              <w:szCs w:val="30"/>
            </w:rPr>
            <w:instrText xml:space="preserve"> PAGEREF _Toc27375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CFD46E9">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_Toc1535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三、征收预期表（征收预期3）</w:t>
          </w:r>
          <w:r>
            <w:rPr>
              <w:sz w:val="30"/>
              <w:szCs w:val="30"/>
            </w:rPr>
            <w:tab/>
          </w:r>
          <w:r>
            <w:rPr>
              <w:sz w:val="30"/>
              <w:szCs w:val="30"/>
            </w:rPr>
            <w:fldChar w:fldCharType="begin"/>
          </w:r>
          <w:r>
            <w:rPr>
              <w:sz w:val="30"/>
              <w:szCs w:val="30"/>
            </w:rPr>
            <w:instrText xml:space="preserve"> PAGEREF _Toc1535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28B7F80D">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_Toc24022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四、支出预算总表（支出总表4）</w:t>
          </w:r>
          <w:r>
            <w:rPr>
              <w:sz w:val="30"/>
              <w:szCs w:val="30"/>
            </w:rPr>
            <w:tab/>
          </w:r>
          <w:r>
            <w:rPr>
              <w:sz w:val="30"/>
              <w:szCs w:val="30"/>
            </w:rPr>
            <w:fldChar w:fldCharType="begin"/>
          </w:r>
          <w:r>
            <w:rPr>
              <w:sz w:val="30"/>
              <w:szCs w:val="30"/>
            </w:rPr>
            <w:instrText xml:space="preserve"> PAGEREF _Toc24022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EF34040">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_Toc28846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五、财政拨款预算总表（财拨总表5）</w:t>
          </w:r>
          <w:r>
            <w:rPr>
              <w:sz w:val="30"/>
              <w:szCs w:val="30"/>
            </w:rPr>
            <w:tab/>
          </w:r>
          <w:r>
            <w:rPr>
              <w:sz w:val="30"/>
              <w:szCs w:val="30"/>
            </w:rPr>
            <w:fldChar w:fldCharType="begin"/>
          </w:r>
          <w:r>
            <w:rPr>
              <w:sz w:val="30"/>
              <w:szCs w:val="30"/>
            </w:rPr>
            <w:instrText xml:space="preserve"> PAGEREF _Toc28846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558F1EC">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_Toc26817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六、一般公共预算支出表（一般预算支出6）</w:t>
          </w:r>
          <w:r>
            <w:rPr>
              <w:sz w:val="30"/>
              <w:szCs w:val="30"/>
            </w:rPr>
            <w:tab/>
          </w:r>
          <w:r>
            <w:rPr>
              <w:sz w:val="30"/>
              <w:szCs w:val="30"/>
            </w:rPr>
            <w:fldChar w:fldCharType="begin"/>
          </w:r>
          <w:r>
            <w:rPr>
              <w:sz w:val="30"/>
              <w:szCs w:val="30"/>
            </w:rPr>
            <w:instrText xml:space="preserve"> PAGEREF _Toc26817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7F83959">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_Toc12197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七、一般公共预算基本支出表（基本支出7）</w:t>
          </w:r>
          <w:r>
            <w:rPr>
              <w:sz w:val="30"/>
              <w:szCs w:val="30"/>
            </w:rPr>
            <w:tab/>
          </w:r>
          <w:r>
            <w:rPr>
              <w:sz w:val="30"/>
              <w:szCs w:val="30"/>
            </w:rPr>
            <w:fldChar w:fldCharType="begin"/>
          </w:r>
          <w:r>
            <w:rPr>
              <w:sz w:val="30"/>
              <w:szCs w:val="30"/>
            </w:rPr>
            <w:instrText xml:space="preserve"> PAGEREF _Toc12197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362ABDD">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_Toc19152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八、一般公共预算“三公”经费支出预算表（三公8）</w:t>
          </w:r>
          <w:r>
            <w:rPr>
              <w:sz w:val="30"/>
              <w:szCs w:val="30"/>
            </w:rPr>
            <w:tab/>
          </w:r>
          <w:r>
            <w:rPr>
              <w:sz w:val="30"/>
              <w:szCs w:val="30"/>
            </w:rPr>
            <w:fldChar w:fldCharType="begin"/>
          </w:r>
          <w:r>
            <w:rPr>
              <w:sz w:val="30"/>
              <w:szCs w:val="30"/>
            </w:rPr>
            <w:instrText xml:space="preserve"> PAGEREF _Toc19152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D94BBA8">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_Toc29240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九、政府性基金预算支出表（基金9）</w:t>
          </w:r>
          <w:r>
            <w:rPr>
              <w:sz w:val="30"/>
              <w:szCs w:val="30"/>
            </w:rPr>
            <w:tab/>
          </w:r>
          <w:r>
            <w:rPr>
              <w:sz w:val="30"/>
              <w:szCs w:val="30"/>
            </w:rPr>
            <w:fldChar w:fldCharType="begin"/>
          </w:r>
          <w:r>
            <w:rPr>
              <w:sz w:val="30"/>
              <w:szCs w:val="30"/>
            </w:rPr>
            <w:instrText xml:space="preserve"> PAGEREF _Toc29240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2F5DF1F">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_Toc30708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十、国有资本经营预算支出表（国资10）</w:t>
          </w:r>
          <w:r>
            <w:rPr>
              <w:sz w:val="30"/>
              <w:szCs w:val="30"/>
            </w:rPr>
            <w:tab/>
          </w:r>
          <w:r>
            <w:rPr>
              <w:sz w:val="30"/>
              <w:szCs w:val="30"/>
            </w:rPr>
            <w:fldChar w:fldCharType="begin"/>
          </w:r>
          <w:r>
            <w:rPr>
              <w:sz w:val="30"/>
              <w:szCs w:val="30"/>
            </w:rPr>
            <w:instrText xml:space="preserve"> PAGEREF _Toc30708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A628378">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_Toc32474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十一、支出功能分类预算表（支出功能11）</w:t>
          </w:r>
          <w:r>
            <w:rPr>
              <w:sz w:val="30"/>
              <w:szCs w:val="30"/>
            </w:rPr>
            <w:tab/>
          </w:r>
          <w:r>
            <w:rPr>
              <w:sz w:val="30"/>
              <w:szCs w:val="30"/>
            </w:rPr>
            <w:fldChar w:fldCharType="begin"/>
          </w:r>
          <w:r>
            <w:rPr>
              <w:sz w:val="30"/>
              <w:szCs w:val="30"/>
            </w:rPr>
            <w:instrText xml:space="preserve"> PAGEREF _Toc32474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FC31AD6">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_Toc15884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十二、支出经济分类预算表（支出经济分类12）</w:t>
          </w:r>
          <w:r>
            <w:rPr>
              <w:sz w:val="30"/>
              <w:szCs w:val="30"/>
            </w:rPr>
            <w:tab/>
          </w:r>
          <w:r>
            <w:rPr>
              <w:sz w:val="30"/>
              <w:szCs w:val="30"/>
            </w:rPr>
            <w:fldChar w:fldCharType="begin"/>
          </w:r>
          <w:r>
            <w:rPr>
              <w:sz w:val="30"/>
              <w:szCs w:val="30"/>
            </w:rPr>
            <w:instrText xml:space="preserve"> PAGEREF _Toc15884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CD3AFF5">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_Toc28730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十三、上级资金安排情况表（上级资金安排13）</w:t>
          </w:r>
          <w:r>
            <w:rPr>
              <w:sz w:val="30"/>
              <w:szCs w:val="30"/>
            </w:rPr>
            <w:tab/>
          </w:r>
          <w:r>
            <w:rPr>
              <w:sz w:val="30"/>
              <w:szCs w:val="30"/>
            </w:rPr>
            <w:fldChar w:fldCharType="begin"/>
          </w:r>
          <w:r>
            <w:rPr>
              <w:sz w:val="30"/>
              <w:szCs w:val="30"/>
            </w:rPr>
            <w:instrText xml:space="preserve"> PAGEREF _Toc28730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0CDCC8D">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_Toc2069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十四、项目支出表（项目支出14）</w:t>
          </w:r>
          <w:r>
            <w:rPr>
              <w:sz w:val="30"/>
              <w:szCs w:val="30"/>
            </w:rPr>
            <w:tab/>
          </w:r>
          <w:r>
            <w:rPr>
              <w:sz w:val="30"/>
              <w:szCs w:val="30"/>
            </w:rPr>
            <w:fldChar w:fldCharType="begin"/>
          </w:r>
          <w:r>
            <w:rPr>
              <w:sz w:val="30"/>
              <w:szCs w:val="30"/>
            </w:rPr>
            <w:instrText xml:space="preserve"> PAGEREF _Toc2069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E82D477">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_Toc31813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十六、政府购买服务预算表（购买服务16）</w:t>
          </w:r>
          <w:r>
            <w:rPr>
              <w:sz w:val="30"/>
              <w:szCs w:val="30"/>
            </w:rPr>
            <w:tab/>
          </w:r>
          <w:r>
            <w:rPr>
              <w:sz w:val="30"/>
              <w:szCs w:val="30"/>
            </w:rPr>
            <w:fldChar w:fldCharType="begin"/>
          </w:r>
          <w:r>
            <w:rPr>
              <w:sz w:val="30"/>
              <w:szCs w:val="30"/>
            </w:rPr>
            <w:instrText xml:space="preserve"> PAGEREF _Toc31813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FD00765">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_Toc22434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十七、采购需求表（采购需求表17）</w:t>
          </w:r>
          <w:r>
            <w:rPr>
              <w:sz w:val="30"/>
              <w:szCs w:val="30"/>
            </w:rPr>
            <w:tab/>
          </w:r>
          <w:r>
            <w:rPr>
              <w:sz w:val="30"/>
              <w:szCs w:val="30"/>
            </w:rPr>
            <w:fldChar w:fldCharType="begin"/>
          </w:r>
          <w:r>
            <w:rPr>
              <w:sz w:val="30"/>
              <w:szCs w:val="30"/>
            </w:rPr>
            <w:instrText xml:space="preserve"> PAGEREF _Toc22434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200DB612">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_Toc7220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十八、国有资产配置预算表（资产18）</w:t>
          </w:r>
          <w:r>
            <w:rPr>
              <w:sz w:val="30"/>
              <w:szCs w:val="30"/>
            </w:rPr>
            <w:tab/>
          </w:r>
          <w:r>
            <w:rPr>
              <w:sz w:val="30"/>
              <w:szCs w:val="30"/>
            </w:rPr>
            <w:fldChar w:fldCharType="begin"/>
          </w:r>
          <w:r>
            <w:rPr>
              <w:sz w:val="30"/>
              <w:szCs w:val="30"/>
            </w:rPr>
            <w:instrText xml:space="preserve"> PAGEREF _Toc7220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FE068D6">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_Toc3888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十九、项目支出绩效表（项目绩效19）</w:t>
          </w:r>
          <w:r>
            <w:rPr>
              <w:sz w:val="30"/>
              <w:szCs w:val="30"/>
            </w:rPr>
            <w:tab/>
          </w:r>
          <w:r>
            <w:rPr>
              <w:sz w:val="30"/>
              <w:szCs w:val="30"/>
            </w:rPr>
            <w:fldChar w:fldCharType="begin"/>
          </w:r>
          <w:r>
            <w:rPr>
              <w:sz w:val="30"/>
              <w:szCs w:val="30"/>
            </w:rPr>
            <w:instrText xml:space="preserve"> PAGEREF _Toc3888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6A6C613">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_Toc26130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二十、部门绩效表（部门绩效20）</w:t>
          </w:r>
          <w:r>
            <w:rPr>
              <w:sz w:val="30"/>
              <w:szCs w:val="30"/>
            </w:rPr>
            <w:tab/>
          </w:r>
          <w:r>
            <w:rPr>
              <w:sz w:val="30"/>
              <w:szCs w:val="30"/>
            </w:rPr>
            <w:fldChar w:fldCharType="begin"/>
          </w:r>
          <w:r>
            <w:rPr>
              <w:sz w:val="30"/>
              <w:szCs w:val="30"/>
            </w:rPr>
            <w:instrText xml:space="preserve"> PAGEREF _Toc26130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146A8B7">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_Toc15389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二十一、年初政府采购项目预算表（政府采购项目预算表21）</w:t>
          </w:r>
          <w:r>
            <w:rPr>
              <w:sz w:val="30"/>
              <w:szCs w:val="30"/>
            </w:rPr>
            <w:tab/>
          </w:r>
          <w:r>
            <w:rPr>
              <w:sz w:val="30"/>
              <w:szCs w:val="30"/>
            </w:rPr>
            <w:fldChar w:fldCharType="begin"/>
          </w:r>
          <w:r>
            <w:rPr>
              <w:sz w:val="30"/>
              <w:szCs w:val="30"/>
            </w:rPr>
            <w:instrText xml:space="preserve"> PAGEREF _Toc15389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7B56C37">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_Toc11097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二十二、202</w:t>
          </w:r>
          <w:r>
            <w:rPr>
              <w:rFonts w:hint="eastAsia"/>
              <w:sz w:val="30"/>
              <w:szCs w:val="30"/>
              <w:lang w:val="en-US" w:eastAsia="zh-CN"/>
            </w:rPr>
            <w:t>6</w:t>
          </w:r>
          <w:r>
            <w:rPr>
              <w:rFonts w:hint="eastAsia" w:ascii="宋体" w:hAnsi="宋体"/>
              <w:sz w:val="30"/>
              <w:szCs w:val="30"/>
              <w:lang w:val="en-US" w:eastAsia="zh-CN"/>
            </w:rPr>
            <w:t>-202</w:t>
          </w:r>
          <w:r>
            <w:rPr>
              <w:rFonts w:hint="eastAsia"/>
              <w:sz w:val="30"/>
              <w:szCs w:val="30"/>
              <w:lang w:val="en-US" w:eastAsia="zh-CN"/>
            </w:rPr>
            <w:t>8</w:t>
          </w:r>
          <w:r>
            <w:rPr>
              <w:rFonts w:hint="eastAsia" w:ascii="宋体" w:hAnsi="宋体"/>
              <w:sz w:val="30"/>
              <w:szCs w:val="30"/>
              <w:lang w:val="en-US" w:eastAsia="zh-CN"/>
            </w:rPr>
            <w:t>年支出计划总表（三年计划总表22）</w:t>
          </w:r>
          <w:r>
            <w:rPr>
              <w:sz w:val="30"/>
              <w:szCs w:val="30"/>
            </w:rPr>
            <w:tab/>
          </w:r>
          <w:r>
            <w:rPr>
              <w:sz w:val="30"/>
              <w:szCs w:val="30"/>
            </w:rPr>
            <w:fldChar w:fldCharType="begin"/>
          </w:r>
          <w:r>
            <w:rPr>
              <w:sz w:val="30"/>
              <w:szCs w:val="30"/>
            </w:rPr>
            <w:instrText xml:space="preserve"> PAGEREF _Toc11097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3E82CE88">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_Toc17731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二十三、202</w:t>
          </w:r>
          <w:r>
            <w:rPr>
              <w:rFonts w:hint="eastAsia"/>
              <w:sz w:val="30"/>
              <w:szCs w:val="30"/>
              <w:lang w:val="en-US" w:eastAsia="zh-CN"/>
            </w:rPr>
            <w:t>6</w:t>
          </w:r>
          <w:r>
            <w:rPr>
              <w:rFonts w:hint="eastAsia" w:ascii="宋体" w:hAnsi="宋体"/>
              <w:sz w:val="30"/>
              <w:szCs w:val="30"/>
              <w:lang w:val="en-US" w:eastAsia="zh-CN"/>
            </w:rPr>
            <w:t>-202</w:t>
          </w:r>
          <w:r>
            <w:rPr>
              <w:rFonts w:hint="eastAsia"/>
              <w:sz w:val="30"/>
              <w:szCs w:val="30"/>
              <w:lang w:val="en-US" w:eastAsia="zh-CN"/>
            </w:rPr>
            <w:t>8</w:t>
          </w:r>
          <w:r>
            <w:rPr>
              <w:rFonts w:hint="eastAsia" w:ascii="宋体" w:hAnsi="宋体"/>
              <w:sz w:val="30"/>
              <w:szCs w:val="30"/>
              <w:lang w:val="en-US" w:eastAsia="zh-CN"/>
            </w:rPr>
            <w:t>年支出计划明细表（三年计划明细表23）</w:t>
          </w:r>
          <w:r>
            <w:rPr>
              <w:sz w:val="30"/>
              <w:szCs w:val="30"/>
            </w:rPr>
            <w:tab/>
          </w:r>
          <w:r>
            <w:rPr>
              <w:sz w:val="30"/>
              <w:szCs w:val="30"/>
            </w:rPr>
            <w:fldChar w:fldCharType="begin"/>
          </w:r>
          <w:r>
            <w:rPr>
              <w:sz w:val="30"/>
              <w:szCs w:val="30"/>
            </w:rPr>
            <w:instrText xml:space="preserve"> PAGEREF _Toc17731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0087DB8">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_Toc19864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二十四、人员和车辆基本情况表（人员24）</w:t>
          </w:r>
          <w:r>
            <w:rPr>
              <w:sz w:val="30"/>
              <w:szCs w:val="30"/>
            </w:rPr>
            <w:tab/>
          </w:r>
          <w:r>
            <w:rPr>
              <w:sz w:val="30"/>
              <w:szCs w:val="30"/>
            </w:rPr>
            <w:fldChar w:fldCharType="begin"/>
          </w:r>
          <w:r>
            <w:rPr>
              <w:sz w:val="30"/>
              <w:szCs w:val="30"/>
            </w:rPr>
            <w:instrText xml:space="preserve"> PAGEREF _Toc19864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4E511C50">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_Toc19339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bCs/>
              <w:sz w:val="30"/>
              <w:szCs w:val="30"/>
              <w:lang w:val="en-US" w:eastAsia="zh-CN"/>
            </w:rPr>
            <w:t>以上所有表格详见部门说明后附件。</w:t>
          </w:r>
          <w:r>
            <w:rPr>
              <w:sz w:val="30"/>
              <w:szCs w:val="30"/>
            </w:rPr>
            <w:tab/>
          </w:r>
          <w:r>
            <w:rPr>
              <w:sz w:val="30"/>
              <w:szCs w:val="30"/>
            </w:rPr>
            <w:fldChar w:fldCharType="begin"/>
          </w:r>
          <w:r>
            <w:rPr>
              <w:sz w:val="30"/>
              <w:szCs w:val="30"/>
            </w:rPr>
            <w:instrText xml:space="preserve"> PAGEREF _Toc19339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914A577">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_Toc330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sz w:val="30"/>
              <w:szCs w:val="30"/>
              <w:lang w:val="en-US" w:eastAsia="zh-CN"/>
            </w:rPr>
            <w:t xml:space="preserve">第三部分 </w:t>
          </w:r>
          <w:r>
            <w:rPr>
              <w:rFonts w:hint="eastAsia" w:eastAsia="方正小标宋简体" w:cs="方正小标宋简体"/>
              <w:sz w:val="30"/>
              <w:szCs w:val="30"/>
              <w:lang w:val="en-US" w:eastAsia="zh-CN"/>
            </w:rPr>
            <w:t>司法</w:t>
          </w:r>
          <w:r>
            <w:rPr>
              <w:rFonts w:hint="eastAsia" w:ascii="宋体" w:hAnsi="宋体" w:eastAsia="方正小标宋简体" w:cs="方正小标宋简体"/>
              <w:sz w:val="30"/>
              <w:szCs w:val="30"/>
              <w:lang w:val="en-US" w:eastAsia="zh-CN"/>
            </w:rPr>
            <w:t>局202</w:t>
          </w:r>
          <w:r>
            <w:rPr>
              <w:rFonts w:hint="eastAsia" w:eastAsia="方正小标宋简体" w:cs="方正小标宋简体"/>
              <w:sz w:val="30"/>
              <w:szCs w:val="30"/>
              <w:lang w:val="en-US" w:eastAsia="zh-CN"/>
            </w:rPr>
            <w:t>6</w:t>
          </w:r>
          <w:r>
            <w:rPr>
              <w:rFonts w:hint="eastAsia" w:ascii="宋体" w:hAnsi="宋体" w:eastAsia="方正小标宋简体" w:cs="方正小标宋简体"/>
              <w:sz w:val="30"/>
              <w:szCs w:val="30"/>
              <w:lang w:val="en-US" w:eastAsia="zh-CN"/>
            </w:rPr>
            <w:t>年</w:t>
          </w:r>
          <w:r>
            <w:rPr>
              <w:sz w:val="30"/>
              <w:szCs w:val="30"/>
            </w:rPr>
            <w:tab/>
          </w:r>
          <w:r>
            <w:rPr>
              <w:sz w:val="30"/>
              <w:szCs w:val="30"/>
            </w:rPr>
            <w:fldChar w:fldCharType="begin"/>
          </w:r>
          <w:r>
            <w:rPr>
              <w:sz w:val="30"/>
              <w:szCs w:val="30"/>
            </w:rPr>
            <w:instrText xml:space="preserve"> PAGEREF _Toc330 \h </w:instrText>
          </w:r>
          <w:r>
            <w:rPr>
              <w:sz w:val="30"/>
              <w:szCs w:val="30"/>
            </w:rPr>
            <w:fldChar w:fldCharType="separate"/>
          </w:r>
          <w:r>
            <w:rPr>
              <w:sz w:val="30"/>
              <w:szCs w:val="30"/>
            </w:rPr>
            <w:t>7</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538C626">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_Toc13299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sz w:val="30"/>
              <w:szCs w:val="30"/>
              <w:lang w:val="en-US" w:eastAsia="zh-CN"/>
            </w:rPr>
            <w:t>部门预算情况说明</w:t>
          </w:r>
          <w:r>
            <w:rPr>
              <w:sz w:val="30"/>
              <w:szCs w:val="30"/>
            </w:rPr>
            <w:tab/>
          </w:r>
          <w:r>
            <w:rPr>
              <w:sz w:val="30"/>
              <w:szCs w:val="30"/>
            </w:rPr>
            <w:fldChar w:fldCharType="begin"/>
          </w:r>
          <w:r>
            <w:rPr>
              <w:sz w:val="30"/>
              <w:szCs w:val="30"/>
            </w:rPr>
            <w:instrText xml:space="preserve"> PAGEREF _Toc13299 \h </w:instrText>
          </w:r>
          <w:r>
            <w:rPr>
              <w:sz w:val="30"/>
              <w:szCs w:val="30"/>
            </w:rPr>
            <w:fldChar w:fldCharType="separate"/>
          </w:r>
          <w:r>
            <w:rPr>
              <w:sz w:val="30"/>
              <w:szCs w:val="30"/>
            </w:rPr>
            <w:t>7</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CEAAA4D">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_Toc14393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一、收支预算情况说明</w:t>
          </w:r>
          <w:r>
            <w:rPr>
              <w:sz w:val="30"/>
              <w:szCs w:val="30"/>
            </w:rPr>
            <w:tab/>
          </w:r>
          <w:r>
            <w:rPr>
              <w:sz w:val="30"/>
              <w:szCs w:val="30"/>
            </w:rPr>
            <w:fldChar w:fldCharType="begin"/>
          </w:r>
          <w:r>
            <w:rPr>
              <w:sz w:val="30"/>
              <w:szCs w:val="30"/>
            </w:rPr>
            <w:instrText xml:space="preserve"> PAGEREF _Toc14393 \h </w:instrText>
          </w:r>
          <w:r>
            <w:rPr>
              <w:sz w:val="30"/>
              <w:szCs w:val="30"/>
            </w:rPr>
            <w:fldChar w:fldCharType="separate"/>
          </w:r>
          <w:r>
            <w:rPr>
              <w:sz w:val="30"/>
              <w:szCs w:val="30"/>
            </w:rPr>
            <w:t>8</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3DD6544">
          <w:pPr>
            <w:pStyle w:val="7"/>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_Toc20181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（一）收入预算情况</w:t>
          </w:r>
          <w:r>
            <w:rPr>
              <w:sz w:val="30"/>
              <w:szCs w:val="30"/>
            </w:rPr>
            <w:tab/>
          </w:r>
          <w:r>
            <w:rPr>
              <w:sz w:val="30"/>
              <w:szCs w:val="30"/>
            </w:rPr>
            <w:fldChar w:fldCharType="begin"/>
          </w:r>
          <w:r>
            <w:rPr>
              <w:sz w:val="30"/>
              <w:szCs w:val="30"/>
            </w:rPr>
            <w:instrText xml:space="preserve"> PAGEREF _Toc20181 \h </w:instrText>
          </w:r>
          <w:r>
            <w:rPr>
              <w:sz w:val="30"/>
              <w:szCs w:val="30"/>
            </w:rPr>
            <w:fldChar w:fldCharType="separate"/>
          </w:r>
          <w:r>
            <w:rPr>
              <w:sz w:val="30"/>
              <w:szCs w:val="30"/>
            </w:rPr>
            <w:t>8</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CF4984B">
          <w:pPr>
            <w:pStyle w:val="7"/>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_Toc30757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（二）支出预算情况</w:t>
          </w:r>
          <w:r>
            <w:rPr>
              <w:sz w:val="30"/>
              <w:szCs w:val="30"/>
            </w:rPr>
            <w:tab/>
          </w:r>
          <w:r>
            <w:rPr>
              <w:sz w:val="30"/>
              <w:szCs w:val="30"/>
            </w:rPr>
            <w:fldChar w:fldCharType="begin"/>
          </w:r>
          <w:r>
            <w:rPr>
              <w:sz w:val="30"/>
              <w:szCs w:val="30"/>
            </w:rPr>
            <w:instrText xml:space="preserve"> PAGEREF _Toc30757 \h </w:instrText>
          </w:r>
          <w:r>
            <w:rPr>
              <w:sz w:val="30"/>
              <w:szCs w:val="30"/>
            </w:rPr>
            <w:fldChar w:fldCharType="separate"/>
          </w:r>
          <w:r>
            <w:rPr>
              <w:sz w:val="30"/>
              <w:szCs w:val="30"/>
            </w:rPr>
            <w:t>8</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980DD09">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_Toc28286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二、财政拨款收支预算情况说明</w:t>
          </w:r>
          <w:r>
            <w:rPr>
              <w:sz w:val="30"/>
              <w:szCs w:val="30"/>
            </w:rPr>
            <w:tab/>
          </w:r>
          <w:r>
            <w:rPr>
              <w:sz w:val="30"/>
              <w:szCs w:val="30"/>
            </w:rPr>
            <w:fldChar w:fldCharType="begin"/>
          </w:r>
          <w:r>
            <w:rPr>
              <w:sz w:val="30"/>
              <w:szCs w:val="30"/>
            </w:rPr>
            <w:instrText xml:space="preserve"> PAGEREF _Toc28286 \h </w:instrText>
          </w:r>
          <w:r>
            <w:rPr>
              <w:sz w:val="30"/>
              <w:szCs w:val="30"/>
            </w:rPr>
            <w:fldChar w:fldCharType="separate"/>
          </w:r>
          <w:r>
            <w:rPr>
              <w:sz w:val="30"/>
              <w:szCs w:val="30"/>
            </w:rPr>
            <w:t>8</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414AA30F">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_Toc18314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三、一般公共预算当年拨款情况说明</w:t>
          </w:r>
          <w:r>
            <w:rPr>
              <w:sz w:val="30"/>
              <w:szCs w:val="30"/>
            </w:rPr>
            <w:tab/>
          </w:r>
          <w:r>
            <w:rPr>
              <w:sz w:val="30"/>
              <w:szCs w:val="30"/>
            </w:rPr>
            <w:fldChar w:fldCharType="begin"/>
          </w:r>
          <w:r>
            <w:rPr>
              <w:sz w:val="30"/>
              <w:szCs w:val="30"/>
            </w:rPr>
            <w:instrText xml:space="preserve"> PAGEREF _Toc18314 \h </w:instrText>
          </w:r>
          <w:r>
            <w:rPr>
              <w:sz w:val="30"/>
              <w:szCs w:val="30"/>
            </w:rPr>
            <w:fldChar w:fldCharType="separate"/>
          </w:r>
          <w:r>
            <w:rPr>
              <w:sz w:val="30"/>
              <w:szCs w:val="30"/>
            </w:rPr>
            <w:t>9</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C8C088F">
          <w:pPr>
            <w:pStyle w:val="7"/>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_Toc3917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（一）一般公共预算当年拨款规模变化情况</w:t>
          </w:r>
          <w:r>
            <w:rPr>
              <w:sz w:val="30"/>
              <w:szCs w:val="30"/>
            </w:rPr>
            <w:tab/>
          </w:r>
          <w:r>
            <w:rPr>
              <w:sz w:val="30"/>
              <w:szCs w:val="30"/>
            </w:rPr>
            <w:fldChar w:fldCharType="begin"/>
          </w:r>
          <w:r>
            <w:rPr>
              <w:sz w:val="30"/>
              <w:szCs w:val="30"/>
            </w:rPr>
            <w:instrText xml:space="preserve"> PAGEREF _Toc3917 \h </w:instrText>
          </w:r>
          <w:r>
            <w:rPr>
              <w:sz w:val="30"/>
              <w:szCs w:val="30"/>
            </w:rPr>
            <w:fldChar w:fldCharType="separate"/>
          </w:r>
          <w:r>
            <w:rPr>
              <w:sz w:val="30"/>
              <w:szCs w:val="30"/>
            </w:rPr>
            <w:t>9</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4766C0E">
          <w:pPr>
            <w:pStyle w:val="7"/>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_Toc27070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（二）一般公共预算当年拨款结构情况</w:t>
          </w:r>
          <w:r>
            <w:rPr>
              <w:sz w:val="30"/>
              <w:szCs w:val="30"/>
            </w:rPr>
            <w:tab/>
          </w:r>
          <w:r>
            <w:rPr>
              <w:sz w:val="30"/>
              <w:szCs w:val="30"/>
            </w:rPr>
            <w:fldChar w:fldCharType="begin"/>
          </w:r>
          <w:r>
            <w:rPr>
              <w:sz w:val="30"/>
              <w:szCs w:val="30"/>
            </w:rPr>
            <w:instrText xml:space="preserve"> PAGEREF _Toc27070 \h </w:instrText>
          </w:r>
          <w:r>
            <w:rPr>
              <w:sz w:val="30"/>
              <w:szCs w:val="30"/>
            </w:rPr>
            <w:fldChar w:fldCharType="separate"/>
          </w:r>
          <w:r>
            <w:rPr>
              <w:sz w:val="30"/>
              <w:szCs w:val="30"/>
            </w:rPr>
            <w:t>9</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7E2D174">
          <w:pPr>
            <w:pStyle w:val="7"/>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_Toc1521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（三）一般公共预算当年拨款具体使用情况</w:t>
          </w:r>
          <w:r>
            <w:rPr>
              <w:sz w:val="30"/>
              <w:szCs w:val="30"/>
            </w:rPr>
            <w:tab/>
          </w:r>
          <w:r>
            <w:rPr>
              <w:sz w:val="30"/>
              <w:szCs w:val="30"/>
            </w:rPr>
            <w:fldChar w:fldCharType="begin"/>
          </w:r>
          <w:r>
            <w:rPr>
              <w:sz w:val="30"/>
              <w:szCs w:val="30"/>
            </w:rPr>
            <w:instrText xml:space="preserve"> PAGEREF _Toc1521 \h </w:instrText>
          </w:r>
          <w:r>
            <w:rPr>
              <w:sz w:val="30"/>
              <w:szCs w:val="30"/>
            </w:rPr>
            <w:fldChar w:fldCharType="separate"/>
          </w:r>
          <w:r>
            <w:rPr>
              <w:sz w:val="30"/>
              <w:szCs w:val="30"/>
            </w:rPr>
            <w:t>10</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D693123">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_Toc11444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四、一般公共预算基本支出情况说明</w:t>
          </w:r>
          <w:r>
            <w:rPr>
              <w:sz w:val="30"/>
              <w:szCs w:val="30"/>
            </w:rPr>
            <w:tab/>
          </w:r>
          <w:r>
            <w:rPr>
              <w:sz w:val="30"/>
              <w:szCs w:val="30"/>
            </w:rPr>
            <w:fldChar w:fldCharType="begin"/>
          </w:r>
          <w:r>
            <w:rPr>
              <w:sz w:val="30"/>
              <w:szCs w:val="30"/>
            </w:rPr>
            <w:instrText xml:space="preserve"> PAGEREF _Toc11444 \h </w:instrText>
          </w:r>
          <w:r>
            <w:rPr>
              <w:sz w:val="30"/>
              <w:szCs w:val="30"/>
            </w:rPr>
            <w:fldChar w:fldCharType="separate"/>
          </w:r>
          <w:r>
            <w:rPr>
              <w:sz w:val="30"/>
              <w:szCs w:val="30"/>
            </w:rPr>
            <w:t>12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1FA6541">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_Toc3206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五、“三公”经费财政拨款预算安排情况说明</w:t>
          </w:r>
          <w:r>
            <w:rPr>
              <w:sz w:val="30"/>
              <w:szCs w:val="30"/>
            </w:rPr>
            <w:tab/>
          </w:r>
          <w:r>
            <w:rPr>
              <w:sz w:val="30"/>
              <w:szCs w:val="30"/>
            </w:rPr>
            <w:fldChar w:fldCharType="begin"/>
          </w:r>
          <w:r>
            <w:rPr>
              <w:sz w:val="30"/>
              <w:szCs w:val="30"/>
            </w:rPr>
            <w:instrText xml:space="preserve"> PAGEREF _Toc3206 \h </w:instrText>
          </w:r>
          <w:r>
            <w:rPr>
              <w:sz w:val="30"/>
              <w:szCs w:val="30"/>
            </w:rPr>
            <w:fldChar w:fldCharType="separate"/>
          </w:r>
          <w:r>
            <w:rPr>
              <w:sz w:val="30"/>
              <w:szCs w:val="30"/>
            </w:rPr>
            <w:t>12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9CC0F0A">
          <w:pPr>
            <w:pStyle w:val="7"/>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_Toc24108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w:t>
          </w:r>
          <w:r>
            <w:rPr>
              <w:rFonts w:hint="eastAsia" w:ascii="宋体" w:hAnsi="宋体"/>
              <w:sz w:val="30"/>
              <w:szCs w:val="30"/>
              <w:lang w:val="en-US" w:eastAsia="zh-CN"/>
            </w:rPr>
            <w:t>公务接待费变化情况</w:t>
          </w:r>
          <w:r>
            <w:rPr>
              <w:sz w:val="30"/>
              <w:szCs w:val="30"/>
            </w:rPr>
            <w:tab/>
          </w:r>
          <w:r>
            <w:rPr>
              <w:sz w:val="30"/>
              <w:szCs w:val="30"/>
            </w:rPr>
            <w:fldChar w:fldCharType="begin"/>
          </w:r>
          <w:r>
            <w:rPr>
              <w:sz w:val="30"/>
              <w:szCs w:val="30"/>
            </w:rPr>
            <w:instrText xml:space="preserve"> PAGEREF _Toc24108 \h </w:instrText>
          </w:r>
          <w:r>
            <w:rPr>
              <w:sz w:val="30"/>
              <w:szCs w:val="30"/>
            </w:rPr>
            <w:fldChar w:fldCharType="separate"/>
          </w:r>
          <w:r>
            <w:rPr>
              <w:sz w:val="30"/>
              <w:szCs w:val="30"/>
            </w:rPr>
            <w:t>12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317AE8A9">
          <w:pPr>
            <w:pStyle w:val="7"/>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_Toc3483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w:t>
          </w:r>
          <w:r>
            <w:rPr>
              <w:rFonts w:hint="eastAsia" w:ascii="宋体" w:hAnsi="宋体"/>
              <w:sz w:val="30"/>
              <w:szCs w:val="30"/>
              <w:lang w:val="en-US" w:eastAsia="zh-CN"/>
            </w:rPr>
            <w:t>二</w:t>
          </w:r>
          <w:r>
            <w:rPr>
              <w:rFonts w:ascii="宋体" w:hAnsi="宋体"/>
              <w:sz w:val="30"/>
              <w:szCs w:val="30"/>
            </w:rPr>
            <w:t>）</w:t>
          </w:r>
          <w:r>
            <w:rPr>
              <w:rFonts w:hint="eastAsia" w:ascii="宋体" w:hAnsi="宋体"/>
              <w:sz w:val="30"/>
              <w:szCs w:val="30"/>
              <w:lang w:val="en-US" w:eastAsia="zh-CN"/>
            </w:rPr>
            <w:t>公务用车购置及运行维护费变化情况</w:t>
          </w:r>
          <w:r>
            <w:rPr>
              <w:sz w:val="30"/>
              <w:szCs w:val="30"/>
            </w:rPr>
            <w:tab/>
          </w:r>
          <w:r>
            <w:rPr>
              <w:sz w:val="30"/>
              <w:szCs w:val="30"/>
            </w:rPr>
            <w:fldChar w:fldCharType="begin"/>
          </w:r>
          <w:r>
            <w:rPr>
              <w:sz w:val="30"/>
              <w:szCs w:val="30"/>
            </w:rPr>
            <w:instrText xml:space="preserve"> PAGEREF _Toc3483 \h </w:instrText>
          </w:r>
          <w:r>
            <w:rPr>
              <w:sz w:val="30"/>
              <w:szCs w:val="30"/>
            </w:rPr>
            <w:fldChar w:fldCharType="separate"/>
          </w:r>
          <w:r>
            <w:rPr>
              <w:sz w:val="30"/>
              <w:szCs w:val="30"/>
            </w:rPr>
            <w:t>13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3D2F3F6D">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_Toc27419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六、政府性基金预算支出情况说明</w:t>
          </w:r>
          <w:r>
            <w:rPr>
              <w:sz w:val="30"/>
              <w:szCs w:val="30"/>
            </w:rPr>
            <w:tab/>
          </w:r>
          <w:r>
            <w:rPr>
              <w:sz w:val="30"/>
              <w:szCs w:val="30"/>
            </w:rPr>
            <w:fldChar w:fldCharType="begin"/>
          </w:r>
          <w:r>
            <w:rPr>
              <w:sz w:val="30"/>
              <w:szCs w:val="30"/>
            </w:rPr>
            <w:instrText xml:space="preserve"> PAGEREF _Toc27419 \h </w:instrText>
          </w:r>
          <w:r>
            <w:rPr>
              <w:sz w:val="30"/>
              <w:szCs w:val="30"/>
            </w:rPr>
            <w:fldChar w:fldCharType="separate"/>
          </w:r>
          <w:r>
            <w:rPr>
              <w:sz w:val="30"/>
              <w:szCs w:val="30"/>
            </w:rPr>
            <w:t>13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8DA5784">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_Toc17512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lang w:val="en-US" w:eastAsia="zh-CN"/>
            </w:rPr>
            <w:t>七、</w:t>
          </w:r>
          <w:r>
            <w:rPr>
              <w:rFonts w:hint="eastAsia" w:ascii="宋体" w:hAnsi="宋体" w:eastAsia="黑体"/>
              <w:sz w:val="30"/>
              <w:szCs w:val="30"/>
            </w:rPr>
            <w:t>国有资本经营预算情况说明</w:t>
          </w:r>
          <w:r>
            <w:rPr>
              <w:sz w:val="30"/>
              <w:szCs w:val="30"/>
            </w:rPr>
            <w:tab/>
          </w:r>
          <w:r>
            <w:rPr>
              <w:sz w:val="30"/>
              <w:szCs w:val="30"/>
            </w:rPr>
            <w:fldChar w:fldCharType="begin"/>
          </w:r>
          <w:r>
            <w:rPr>
              <w:sz w:val="30"/>
              <w:szCs w:val="30"/>
            </w:rPr>
            <w:instrText xml:space="preserve"> PAGEREF _Toc17512 \h </w:instrText>
          </w:r>
          <w:r>
            <w:rPr>
              <w:sz w:val="30"/>
              <w:szCs w:val="30"/>
            </w:rPr>
            <w:fldChar w:fldCharType="separate"/>
          </w:r>
          <w:r>
            <w:rPr>
              <w:sz w:val="30"/>
              <w:szCs w:val="30"/>
            </w:rPr>
            <w:t>13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85D63D5">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_Toc904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lang w:val="en-US" w:eastAsia="zh-CN"/>
            </w:rPr>
            <w:t>八、其他重要事项的情况说明</w:t>
          </w:r>
          <w:r>
            <w:rPr>
              <w:sz w:val="30"/>
              <w:szCs w:val="30"/>
            </w:rPr>
            <w:tab/>
          </w:r>
          <w:r>
            <w:rPr>
              <w:sz w:val="30"/>
              <w:szCs w:val="30"/>
            </w:rPr>
            <w:fldChar w:fldCharType="begin"/>
          </w:r>
          <w:r>
            <w:rPr>
              <w:sz w:val="30"/>
              <w:szCs w:val="30"/>
            </w:rPr>
            <w:instrText xml:space="preserve"> PAGEREF _Toc904 \h </w:instrText>
          </w:r>
          <w:r>
            <w:rPr>
              <w:sz w:val="30"/>
              <w:szCs w:val="30"/>
            </w:rPr>
            <w:fldChar w:fldCharType="separate"/>
          </w:r>
          <w:r>
            <w:rPr>
              <w:sz w:val="30"/>
              <w:szCs w:val="30"/>
            </w:rPr>
            <w:t>14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F20BEFC">
          <w:pPr>
            <w:pStyle w:val="7"/>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_Toc17345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（一）机关运行经费情况</w:t>
          </w:r>
          <w:r>
            <w:rPr>
              <w:sz w:val="30"/>
              <w:szCs w:val="30"/>
            </w:rPr>
            <w:tab/>
          </w:r>
          <w:r>
            <w:rPr>
              <w:sz w:val="30"/>
              <w:szCs w:val="30"/>
            </w:rPr>
            <w:fldChar w:fldCharType="begin"/>
          </w:r>
          <w:r>
            <w:rPr>
              <w:sz w:val="30"/>
              <w:szCs w:val="30"/>
            </w:rPr>
            <w:instrText xml:space="preserve"> PAGEREF _Toc17345 \h </w:instrText>
          </w:r>
          <w:r>
            <w:rPr>
              <w:sz w:val="30"/>
              <w:szCs w:val="30"/>
            </w:rPr>
            <w:fldChar w:fldCharType="separate"/>
          </w:r>
          <w:r>
            <w:rPr>
              <w:sz w:val="30"/>
              <w:szCs w:val="30"/>
            </w:rPr>
            <w:t>14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ED8D20F">
          <w:pPr>
            <w:pStyle w:val="7"/>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_Toc11837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（二）政府采购情况</w:t>
          </w:r>
          <w:r>
            <w:rPr>
              <w:sz w:val="30"/>
              <w:szCs w:val="30"/>
            </w:rPr>
            <w:tab/>
          </w:r>
          <w:r>
            <w:rPr>
              <w:sz w:val="30"/>
              <w:szCs w:val="30"/>
            </w:rPr>
            <w:fldChar w:fldCharType="begin"/>
          </w:r>
          <w:r>
            <w:rPr>
              <w:sz w:val="30"/>
              <w:szCs w:val="30"/>
            </w:rPr>
            <w:instrText xml:space="preserve"> PAGEREF _Toc11837 \h </w:instrText>
          </w:r>
          <w:r>
            <w:rPr>
              <w:sz w:val="30"/>
              <w:szCs w:val="30"/>
            </w:rPr>
            <w:fldChar w:fldCharType="separate"/>
          </w:r>
          <w:r>
            <w:rPr>
              <w:sz w:val="30"/>
              <w:szCs w:val="30"/>
            </w:rPr>
            <w:t>14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9EDF60A">
          <w:pPr>
            <w:pStyle w:val="7"/>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_Toc16771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（三）国有资产占有使用情况</w:t>
          </w:r>
          <w:r>
            <w:rPr>
              <w:sz w:val="30"/>
              <w:szCs w:val="30"/>
            </w:rPr>
            <w:tab/>
          </w:r>
          <w:r>
            <w:rPr>
              <w:sz w:val="30"/>
              <w:szCs w:val="30"/>
            </w:rPr>
            <w:fldChar w:fldCharType="begin"/>
          </w:r>
          <w:r>
            <w:rPr>
              <w:sz w:val="30"/>
              <w:szCs w:val="30"/>
            </w:rPr>
            <w:instrText xml:space="preserve"> PAGEREF _Toc16771 \h </w:instrText>
          </w:r>
          <w:r>
            <w:rPr>
              <w:sz w:val="30"/>
              <w:szCs w:val="30"/>
            </w:rPr>
            <w:fldChar w:fldCharType="separate"/>
          </w:r>
          <w:r>
            <w:rPr>
              <w:sz w:val="30"/>
              <w:szCs w:val="30"/>
            </w:rPr>
            <w:t>14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E788BA0">
          <w:pPr>
            <w:pStyle w:val="7"/>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_Toc21233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eastAsia="zh-CN"/>
            </w:rPr>
            <w:t>（</w:t>
          </w:r>
          <w:r>
            <w:rPr>
              <w:rFonts w:hint="eastAsia" w:ascii="宋体" w:hAnsi="宋体"/>
              <w:sz w:val="30"/>
              <w:szCs w:val="30"/>
              <w:lang w:val="en-US" w:eastAsia="zh-CN"/>
            </w:rPr>
            <w:t>四</w:t>
          </w:r>
          <w:r>
            <w:rPr>
              <w:rFonts w:hint="eastAsia" w:ascii="宋体" w:hAnsi="宋体"/>
              <w:sz w:val="30"/>
              <w:szCs w:val="30"/>
              <w:lang w:eastAsia="zh-CN"/>
            </w:rPr>
            <w:t>）</w:t>
          </w:r>
          <w:r>
            <w:rPr>
              <w:rFonts w:ascii="宋体" w:hAnsi="宋体"/>
              <w:sz w:val="30"/>
              <w:szCs w:val="30"/>
            </w:rPr>
            <w:t>预算绩效情况</w:t>
          </w:r>
          <w:r>
            <w:rPr>
              <w:sz w:val="30"/>
              <w:szCs w:val="30"/>
            </w:rPr>
            <w:tab/>
          </w:r>
          <w:r>
            <w:rPr>
              <w:sz w:val="30"/>
              <w:szCs w:val="30"/>
            </w:rPr>
            <w:fldChar w:fldCharType="begin"/>
          </w:r>
          <w:r>
            <w:rPr>
              <w:sz w:val="30"/>
              <w:szCs w:val="30"/>
            </w:rPr>
            <w:instrText xml:space="preserve"> PAGEREF _Toc21233 \h </w:instrText>
          </w:r>
          <w:r>
            <w:rPr>
              <w:sz w:val="30"/>
              <w:szCs w:val="30"/>
            </w:rPr>
            <w:fldChar w:fldCharType="separate"/>
          </w:r>
          <w:r>
            <w:rPr>
              <w:sz w:val="30"/>
              <w:szCs w:val="30"/>
            </w:rPr>
            <w:t>14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8B0950C">
          <w:pPr>
            <w:pStyle w:val="10"/>
            <w:tabs>
              <w:tab w:val="right" w:leader="dot" w:pos="9812"/>
            </w:tabs>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_Toc12947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sz w:val="30"/>
              <w:szCs w:val="30"/>
              <w:lang w:val="en-US" w:eastAsia="zh-CN"/>
            </w:rPr>
            <w:t>第四部分  名词解释</w:t>
          </w:r>
          <w:r>
            <w:rPr>
              <w:sz w:val="30"/>
              <w:szCs w:val="30"/>
            </w:rPr>
            <w:tab/>
          </w:r>
          <w:r>
            <w:rPr>
              <w:sz w:val="30"/>
              <w:szCs w:val="30"/>
            </w:rPr>
            <w:fldChar w:fldCharType="begin"/>
          </w:r>
          <w:r>
            <w:rPr>
              <w:sz w:val="30"/>
              <w:szCs w:val="30"/>
            </w:rPr>
            <w:instrText xml:space="preserve"> PAGEREF _Toc12947 \h </w:instrText>
          </w:r>
          <w:r>
            <w:rPr>
              <w:sz w:val="30"/>
              <w:szCs w:val="30"/>
            </w:rPr>
            <w:fldChar w:fldCharType="separate"/>
          </w:r>
          <w:r>
            <w:rPr>
              <w:sz w:val="30"/>
              <w:szCs w:val="30"/>
            </w:rPr>
            <w:t>15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204CC5E1">
          <w:pPr>
            <w:pStyle w:val="4"/>
            <w:tabs>
              <w:tab w:val="left" w:pos="4798"/>
            </w:tabs>
            <w:jc w:val="both"/>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Cs/>
              <w:szCs w:val="48"/>
              <w:lang w:val="en-US" w:eastAsia="zh-CN"/>
            </w:rPr>
            <w:fldChar w:fldCharType="end"/>
          </w:r>
        </w:p>
      </w:sdtContent>
    </w:sdt>
    <w:p w14:paraId="5B48E108">
      <w:pPr>
        <w:pStyle w:val="4"/>
        <w:rPr>
          <w:rFonts w:ascii="宋体" w:hAnsi="宋体"/>
          <w:sz w:val="20"/>
        </w:rPr>
        <w:sectPr>
          <w:headerReference r:id="rId5" w:type="default"/>
          <w:footerReference r:id="rId6" w:type="default"/>
          <w:pgSz w:w="11910" w:h="16840"/>
          <w:pgMar w:top="1587" w:right="964" w:bottom="1701" w:left="1134" w:header="737" w:footer="737" w:gutter="0"/>
          <w:pgNumType w:fmt="decimal" w:start="1"/>
          <w:cols w:space="0" w:num="1"/>
          <w:rtlGutter w:val="0"/>
          <w:docGrid w:linePitch="0" w:charSpace="0"/>
        </w:sectPr>
      </w:pPr>
    </w:p>
    <w:p w14:paraId="0EF64B2B">
      <w:pPr>
        <w:pStyle w:val="4"/>
        <w:rPr>
          <w:rFonts w:ascii="宋体" w:hAnsi="宋体"/>
          <w:sz w:val="20"/>
        </w:rPr>
      </w:pPr>
    </w:p>
    <w:p w14:paraId="47A7F74F">
      <w:pPr>
        <w:pStyle w:val="4"/>
        <w:rPr>
          <w:rFonts w:ascii="宋体" w:hAnsi="宋体"/>
          <w:sz w:val="20"/>
        </w:rPr>
      </w:pPr>
    </w:p>
    <w:p w14:paraId="2DC627E4">
      <w:pPr>
        <w:pStyle w:val="4"/>
        <w:rPr>
          <w:rFonts w:ascii="宋体" w:hAnsi="宋体"/>
          <w:sz w:val="20"/>
        </w:rPr>
      </w:pPr>
    </w:p>
    <w:p w14:paraId="1F1528A2">
      <w:pPr>
        <w:pStyle w:val="4"/>
        <w:rPr>
          <w:rFonts w:ascii="宋体" w:hAnsi="宋体"/>
          <w:sz w:val="20"/>
        </w:rPr>
      </w:pPr>
    </w:p>
    <w:p w14:paraId="6E5A1468">
      <w:pPr>
        <w:pStyle w:val="4"/>
        <w:rPr>
          <w:rFonts w:ascii="宋体" w:hAnsi="宋体"/>
          <w:sz w:val="20"/>
        </w:rPr>
      </w:pPr>
    </w:p>
    <w:p w14:paraId="76A47B7E">
      <w:pPr>
        <w:pStyle w:val="4"/>
        <w:rPr>
          <w:rFonts w:ascii="宋体" w:hAnsi="宋体"/>
          <w:sz w:val="20"/>
        </w:rPr>
      </w:pPr>
    </w:p>
    <w:p w14:paraId="26529756">
      <w:pPr>
        <w:pStyle w:val="4"/>
        <w:rPr>
          <w:rFonts w:ascii="宋体" w:hAnsi="宋体"/>
          <w:sz w:val="20"/>
        </w:rPr>
      </w:pPr>
    </w:p>
    <w:p w14:paraId="13CDEF7A">
      <w:pPr>
        <w:pStyle w:val="4"/>
        <w:rPr>
          <w:rFonts w:ascii="宋体" w:hAnsi="宋体"/>
          <w:sz w:val="20"/>
        </w:rPr>
      </w:pPr>
    </w:p>
    <w:p w14:paraId="4E2A1AEC">
      <w:pPr>
        <w:pStyle w:val="4"/>
        <w:rPr>
          <w:rFonts w:ascii="宋体" w:hAnsi="宋体"/>
          <w:sz w:val="20"/>
        </w:rPr>
      </w:pPr>
    </w:p>
    <w:p w14:paraId="1A3520FE">
      <w:pPr>
        <w:pStyle w:val="4"/>
        <w:rPr>
          <w:rFonts w:ascii="宋体" w:hAnsi="宋体"/>
          <w:sz w:val="20"/>
        </w:rPr>
      </w:pPr>
    </w:p>
    <w:p w14:paraId="644F47C7">
      <w:pPr>
        <w:pStyle w:val="4"/>
        <w:rPr>
          <w:rFonts w:ascii="宋体" w:hAnsi="宋体"/>
          <w:sz w:val="20"/>
        </w:rPr>
      </w:pPr>
    </w:p>
    <w:p w14:paraId="07ABCA08">
      <w:pPr>
        <w:pStyle w:val="4"/>
        <w:rPr>
          <w:rFonts w:ascii="宋体" w:hAnsi="宋体"/>
          <w:sz w:val="20"/>
        </w:rPr>
      </w:pPr>
    </w:p>
    <w:p w14:paraId="596B53B2">
      <w:pPr>
        <w:pStyle w:val="4"/>
        <w:rPr>
          <w:rFonts w:ascii="宋体" w:hAnsi="宋体"/>
          <w:sz w:val="20"/>
        </w:rPr>
      </w:pPr>
    </w:p>
    <w:p w14:paraId="7CB280A0">
      <w:pPr>
        <w:pStyle w:val="4"/>
        <w:rPr>
          <w:rFonts w:ascii="宋体" w:hAnsi="宋体"/>
          <w:sz w:val="20"/>
        </w:rPr>
      </w:pPr>
    </w:p>
    <w:p w14:paraId="5743B498">
      <w:pPr>
        <w:pStyle w:val="4"/>
        <w:rPr>
          <w:rFonts w:ascii="宋体" w:hAnsi="宋体"/>
          <w:sz w:val="20"/>
        </w:rPr>
      </w:pPr>
    </w:p>
    <w:p w14:paraId="6C472610">
      <w:pPr>
        <w:pStyle w:val="4"/>
        <w:rPr>
          <w:rFonts w:ascii="宋体" w:hAnsi="宋体"/>
          <w:sz w:val="20"/>
        </w:rPr>
      </w:pPr>
    </w:p>
    <w:p w14:paraId="4306410C">
      <w:pPr>
        <w:pStyle w:val="4"/>
        <w:rPr>
          <w:rFonts w:ascii="宋体" w:hAnsi="宋体"/>
          <w:sz w:val="20"/>
        </w:rPr>
      </w:pPr>
    </w:p>
    <w:p w14:paraId="11A311C3">
      <w:pPr>
        <w:pStyle w:val="4"/>
        <w:rPr>
          <w:rFonts w:ascii="宋体" w:hAnsi="宋体"/>
          <w:sz w:val="20"/>
        </w:rPr>
      </w:pPr>
    </w:p>
    <w:p w14:paraId="15E8B92F">
      <w:pPr>
        <w:pStyle w:val="4"/>
        <w:rPr>
          <w:rFonts w:ascii="宋体" w:hAnsi="宋体"/>
          <w:sz w:val="20"/>
        </w:rPr>
      </w:pPr>
    </w:p>
    <w:p w14:paraId="1066C31C">
      <w:pPr>
        <w:pStyle w:val="4"/>
        <w:rPr>
          <w:rFonts w:ascii="宋体" w:hAnsi="宋体"/>
          <w:sz w:val="20"/>
        </w:rPr>
      </w:pPr>
    </w:p>
    <w:p w14:paraId="49AD0498">
      <w:pPr>
        <w:pStyle w:val="4"/>
        <w:spacing w:before="3"/>
        <w:rPr>
          <w:rFonts w:ascii="宋体" w:hAnsi="宋体"/>
          <w:sz w:val="28"/>
        </w:rPr>
      </w:pPr>
    </w:p>
    <w:p w14:paraId="2575E8FD">
      <w:pPr>
        <w:pStyle w:val="4"/>
        <w:numPr>
          <w:ilvl w:val="0"/>
          <w:numId w:val="1"/>
        </w:numPr>
        <w:jc w:val="center"/>
        <w:outlineLvl w:val="0"/>
        <w:rPr>
          <w:rFonts w:hint="eastAsia" w:ascii="宋体" w:hAnsi="宋体" w:eastAsia="方正小标宋简体" w:cs="方正小标宋简体"/>
          <w:b/>
          <w:bCs/>
          <w:sz w:val="52"/>
          <w:szCs w:val="52"/>
          <w:lang w:val="en-US" w:eastAsia="zh-CN"/>
        </w:rPr>
      </w:pPr>
      <w:bookmarkStart w:id="0" w:name="_Toc4421"/>
      <w:r>
        <w:rPr>
          <w:rFonts w:hint="eastAsia" w:ascii="宋体" w:hAnsi="宋体" w:eastAsia="方正小标宋简体" w:cs="方正小标宋简体"/>
          <w:b/>
          <w:bCs/>
          <w:sz w:val="52"/>
          <w:szCs w:val="52"/>
          <w:lang w:val="en-US" w:eastAsia="zh-CN"/>
        </w:rPr>
        <w:t>部门概况</w:t>
      </w:r>
      <w:bookmarkEnd w:id="0"/>
    </w:p>
    <w:p w14:paraId="5B4909DE">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14:paraId="667EA8C9">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14:paraId="1CC40D61">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sectPr>
          <w:footerReference r:id="rId7" w:type="default"/>
          <w:pgSz w:w="11910" w:h="16840"/>
          <w:pgMar w:top="1587" w:right="964" w:bottom="1701" w:left="1134" w:header="737" w:footer="737" w:gutter="0"/>
          <w:pgNumType w:fmt="decimal" w:start="1"/>
          <w:cols w:space="0" w:num="1"/>
          <w:rtlGutter w:val="0"/>
          <w:docGrid w:linePitch="0" w:charSpace="0"/>
        </w:sectPr>
      </w:pPr>
    </w:p>
    <w:p w14:paraId="599BC71D">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bookmarkStart w:id="1" w:name="_Toc15794"/>
      <w:r>
        <w:rPr>
          <w:rFonts w:hint="eastAsia" w:ascii="宋体" w:hAnsi="宋体" w:eastAsia="黑体"/>
          <w:color w:val="333333"/>
        </w:rPr>
        <w:t>一、基本职能及主要工作</w:t>
      </w:r>
      <w:bookmarkEnd w:id="1"/>
    </w:p>
    <w:p w14:paraId="69453E23">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lang w:eastAsia="zh-CN"/>
        </w:rPr>
      </w:pPr>
      <w:bookmarkStart w:id="2" w:name="_Toc7055"/>
      <w:r>
        <w:rPr>
          <w:rFonts w:ascii="宋体" w:hAnsi="宋体"/>
        </w:rPr>
        <w:t>（一）部门职能简介</w:t>
      </w:r>
      <w:bookmarkEnd w:id="2"/>
    </w:p>
    <w:p w14:paraId="69FC9AAE">
      <w:pPr>
        <w:keepNext w:val="0"/>
        <w:keepLines w:val="0"/>
        <w:pageBreakBefore w:val="0"/>
        <w:widowControl w:val="0"/>
        <w:kinsoku/>
        <w:wordWrap/>
        <w:overflowPunct/>
        <w:topLinePunct w:val="0"/>
        <w:autoSpaceDE/>
        <w:autoSpaceDN/>
        <w:adjustRightInd/>
        <w:snapToGrid/>
        <w:spacing w:line="560" w:lineRule="exact"/>
        <w:ind w:firstLine="640" w:firstLineChars="200"/>
        <w:textAlignment w:val="auto"/>
      </w:pPr>
      <w:r>
        <w:rPr>
          <w:rFonts w:hint="eastAsia" w:ascii="仿宋" w:hAnsi="仿宋" w:eastAsia="仿宋" w:cs="仿宋"/>
          <w:sz w:val="32"/>
          <w:szCs w:val="32"/>
          <w:lang w:eastAsia="zh-CN"/>
        </w:rPr>
        <w:t>（</w:t>
      </w:r>
      <w:r>
        <w:rPr>
          <w:rFonts w:hint="eastAsia" w:ascii="仿宋" w:hAnsi="仿宋" w:eastAsia="仿宋" w:cs="仿宋"/>
          <w:sz w:val="32"/>
          <w:szCs w:val="32"/>
        </w:rPr>
        <w:t>1</w:t>
      </w:r>
      <w:r>
        <w:rPr>
          <w:rFonts w:hint="eastAsia" w:ascii="仿宋" w:hAnsi="仿宋" w:eastAsia="仿宋" w:cs="仿宋"/>
          <w:sz w:val="32"/>
          <w:szCs w:val="32"/>
          <w:lang w:eastAsia="zh-CN"/>
        </w:rPr>
        <w:t>）</w:t>
      </w:r>
      <w:r>
        <w:rPr>
          <w:rFonts w:hint="eastAsia" w:ascii="仿宋" w:hAnsi="仿宋" w:eastAsia="仿宋" w:cs="仿宋"/>
          <w:sz w:val="32"/>
          <w:szCs w:val="32"/>
        </w:rPr>
        <w:t>、承担依法治区重大问题的政策研究，协调有关方面提出全面依法治区规划建议，负责有关重大决策部署督察工作。</w:t>
      </w:r>
      <w:r>
        <w:rPr>
          <w:rFonts w:hint="eastAsia" w:ascii="仿宋" w:hAnsi="仿宋" w:eastAsia="仿宋" w:cs="仿宋"/>
          <w:sz w:val="32"/>
          <w:szCs w:val="32"/>
          <w:lang w:eastAsia="zh-CN"/>
        </w:rPr>
        <w:t>（</w:t>
      </w:r>
      <w:r>
        <w:rPr>
          <w:rFonts w:hint="eastAsia" w:ascii="仿宋" w:hAnsi="仿宋" w:eastAsia="仿宋" w:cs="仿宋"/>
          <w:sz w:val="32"/>
          <w:szCs w:val="32"/>
        </w:rPr>
        <w:t>2</w:t>
      </w:r>
      <w:r>
        <w:rPr>
          <w:rFonts w:hint="eastAsia" w:ascii="仿宋" w:hAnsi="仿宋" w:eastAsia="仿宋" w:cs="仿宋"/>
          <w:sz w:val="32"/>
          <w:szCs w:val="32"/>
          <w:lang w:eastAsia="zh-CN"/>
        </w:rPr>
        <w:t>）</w:t>
      </w:r>
      <w:r>
        <w:rPr>
          <w:rFonts w:hint="eastAsia" w:ascii="仿宋" w:hAnsi="仿宋" w:eastAsia="仿宋" w:cs="仿宋"/>
          <w:sz w:val="32"/>
          <w:szCs w:val="32"/>
        </w:rPr>
        <w:t>、负责区政府规范性文件、重大行政决策发布前的合法性审查。承办区政府报送备案工作。负责各镇（乡）政府和区政府各部门规范性文件报送区政府的备案审查工作。组织开展规范性文件清理。</w:t>
      </w:r>
      <w:r>
        <w:rPr>
          <w:rFonts w:hint="eastAsia" w:ascii="仿宋" w:hAnsi="仿宋" w:eastAsia="仿宋" w:cs="仿宋"/>
          <w:sz w:val="32"/>
          <w:szCs w:val="32"/>
          <w:lang w:eastAsia="zh-CN"/>
        </w:rPr>
        <w:t>（</w:t>
      </w:r>
      <w:r>
        <w:rPr>
          <w:rFonts w:hint="eastAsia" w:ascii="仿宋" w:hAnsi="仿宋" w:eastAsia="仿宋" w:cs="仿宋"/>
          <w:sz w:val="32"/>
          <w:szCs w:val="32"/>
        </w:rPr>
        <w:t>3</w:t>
      </w:r>
      <w:r>
        <w:rPr>
          <w:rFonts w:hint="eastAsia" w:ascii="仿宋" w:hAnsi="仿宋" w:eastAsia="仿宋" w:cs="仿宋"/>
          <w:sz w:val="32"/>
          <w:szCs w:val="32"/>
          <w:lang w:eastAsia="zh-CN"/>
        </w:rPr>
        <w:t>）</w:t>
      </w:r>
      <w:r>
        <w:rPr>
          <w:rFonts w:hint="eastAsia" w:ascii="仿宋" w:hAnsi="仿宋" w:eastAsia="仿宋" w:cs="仿宋"/>
          <w:sz w:val="32"/>
          <w:szCs w:val="32"/>
        </w:rPr>
        <w:t>、承担统筹推进法治政府建设的责任。</w:t>
      </w:r>
      <w:r>
        <w:rPr>
          <w:rFonts w:hint="eastAsia" w:ascii="仿宋" w:hAnsi="仿宋" w:eastAsia="仿宋" w:cs="仿宋"/>
          <w:sz w:val="32"/>
          <w:szCs w:val="32"/>
          <w:lang w:eastAsia="zh-CN"/>
        </w:rPr>
        <w:t>（</w:t>
      </w:r>
      <w:r>
        <w:rPr>
          <w:rFonts w:hint="eastAsia" w:ascii="仿宋" w:hAnsi="仿宋" w:eastAsia="仿宋" w:cs="仿宋"/>
          <w:sz w:val="32"/>
          <w:szCs w:val="32"/>
        </w:rPr>
        <w:t>4</w:t>
      </w:r>
      <w:r>
        <w:rPr>
          <w:rFonts w:hint="eastAsia" w:ascii="仿宋" w:hAnsi="仿宋" w:eastAsia="仿宋" w:cs="仿宋"/>
          <w:sz w:val="32"/>
          <w:szCs w:val="32"/>
          <w:lang w:eastAsia="zh-CN"/>
        </w:rPr>
        <w:t>）</w:t>
      </w:r>
      <w:r>
        <w:rPr>
          <w:rFonts w:hint="eastAsia" w:ascii="仿宋" w:hAnsi="仿宋" w:eastAsia="仿宋" w:cs="仿宋"/>
          <w:sz w:val="32"/>
          <w:szCs w:val="32"/>
        </w:rPr>
        <w:t>、承担统筹规划法治社会建设的责任。</w:t>
      </w:r>
      <w:r>
        <w:rPr>
          <w:rFonts w:hint="eastAsia" w:ascii="仿宋" w:hAnsi="仿宋" w:eastAsia="仿宋" w:cs="仿宋"/>
          <w:sz w:val="32"/>
          <w:szCs w:val="32"/>
          <w:lang w:eastAsia="zh-CN"/>
        </w:rPr>
        <w:t>（</w:t>
      </w:r>
      <w:r>
        <w:rPr>
          <w:rFonts w:hint="eastAsia" w:ascii="仿宋" w:hAnsi="仿宋" w:eastAsia="仿宋" w:cs="仿宋"/>
          <w:sz w:val="32"/>
          <w:szCs w:val="32"/>
        </w:rPr>
        <w:t>5</w:t>
      </w:r>
      <w:r>
        <w:rPr>
          <w:rFonts w:hint="eastAsia" w:ascii="仿宋" w:hAnsi="仿宋" w:eastAsia="仿宋" w:cs="仿宋"/>
          <w:sz w:val="32"/>
          <w:szCs w:val="32"/>
          <w:lang w:eastAsia="zh-CN"/>
        </w:rPr>
        <w:t>）</w:t>
      </w:r>
      <w:r>
        <w:rPr>
          <w:rFonts w:hint="eastAsia" w:ascii="仿宋" w:hAnsi="仿宋" w:eastAsia="仿宋" w:cs="仿宋"/>
          <w:sz w:val="32"/>
          <w:szCs w:val="32"/>
        </w:rPr>
        <w:t>、指导管理全区社区矫正工作。</w:t>
      </w:r>
      <w:r>
        <w:rPr>
          <w:rFonts w:hint="eastAsia" w:ascii="仿宋" w:hAnsi="仿宋" w:eastAsia="仿宋" w:cs="仿宋"/>
          <w:sz w:val="32"/>
          <w:szCs w:val="32"/>
          <w:lang w:eastAsia="zh-CN"/>
        </w:rPr>
        <w:t>（</w:t>
      </w:r>
      <w:r>
        <w:rPr>
          <w:rFonts w:hint="eastAsia" w:ascii="仿宋" w:hAnsi="仿宋" w:eastAsia="仿宋" w:cs="仿宋"/>
          <w:sz w:val="32"/>
          <w:szCs w:val="32"/>
        </w:rPr>
        <w:t>6</w:t>
      </w:r>
      <w:r>
        <w:rPr>
          <w:rFonts w:hint="eastAsia" w:ascii="仿宋" w:hAnsi="仿宋" w:eastAsia="仿宋" w:cs="仿宋"/>
          <w:sz w:val="32"/>
          <w:szCs w:val="32"/>
          <w:lang w:eastAsia="zh-CN"/>
        </w:rPr>
        <w:t>）</w:t>
      </w:r>
      <w:r>
        <w:rPr>
          <w:rFonts w:hint="eastAsia" w:ascii="仿宋" w:hAnsi="仿宋" w:eastAsia="仿宋" w:cs="仿宋"/>
          <w:sz w:val="32"/>
          <w:szCs w:val="32"/>
        </w:rPr>
        <w:t>、负责拟订全区公共法律服务体系建设规划并指导实施，统筹和布局全区城乡、区域法律服务资源。指导监督律师、法律援助、公证和基层法律服务管理工作。</w:t>
      </w:r>
      <w:r>
        <w:rPr>
          <w:rFonts w:hint="eastAsia" w:ascii="仿宋" w:hAnsi="仿宋" w:eastAsia="仿宋" w:cs="仿宋"/>
          <w:sz w:val="32"/>
          <w:szCs w:val="32"/>
          <w:lang w:eastAsia="zh-CN"/>
        </w:rPr>
        <w:t>（</w:t>
      </w:r>
      <w:r>
        <w:rPr>
          <w:rFonts w:hint="eastAsia" w:ascii="仿宋" w:hAnsi="仿宋" w:eastAsia="仿宋" w:cs="仿宋"/>
          <w:sz w:val="32"/>
          <w:szCs w:val="32"/>
        </w:rPr>
        <w:t>7</w:t>
      </w:r>
      <w:r>
        <w:rPr>
          <w:rFonts w:hint="eastAsia" w:ascii="仿宋" w:hAnsi="仿宋" w:eastAsia="仿宋" w:cs="仿宋"/>
          <w:sz w:val="32"/>
          <w:szCs w:val="32"/>
          <w:lang w:eastAsia="zh-CN"/>
        </w:rPr>
        <w:t>）</w:t>
      </w:r>
      <w:r>
        <w:rPr>
          <w:rFonts w:hint="eastAsia" w:ascii="仿宋" w:hAnsi="仿宋" w:eastAsia="仿宋" w:cs="仿宋"/>
          <w:sz w:val="32"/>
          <w:szCs w:val="32"/>
        </w:rPr>
        <w:t>、规划、协调、指导法治人才队伍建设相关工作，指导监督本系统队伍建设。</w:t>
      </w:r>
      <w:r>
        <w:rPr>
          <w:rFonts w:hint="eastAsia" w:ascii="仿宋" w:hAnsi="仿宋" w:eastAsia="仿宋" w:cs="仿宋"/>
          <w:sz w:val="32"/>
          <w:szCs w:val="32"/>
          <w:lang w:eastAsia="zh-CN"/>
        </w:rPr>
        <w:t>（</w:t>
      </w:r>
      <w:r>
        <w:rPr>
          <w:rFonts w:hint="eastAsia" w:ascii="仿宋" w:hAnsi="仿宋" w:eastAsia="仿宋" w:cs="仿宋"/>
          <w:sz w:val="32"/>
          <w:szCs w:val="32"/>
        </w:rPr>
        <w:t>8</w:t>
      </w:r>
      <w:r>
        <w:rPr>
          <w:rFonts w:hint="eastAsia" w:ascii="仿宋" w:hAnsi="仿宋" w:eastAsia="仿宋" w:cs="仿宋"/>
          <w:sz w:val="32"/>
          <w:szCs w:val="32"/>
          <w:lang w:eastAsia="zh-CN"/>
        </w:rPr>
        <w:t>）</w:t>
      </w:r>
      <w:r>
        <w:rPr>
          <w:rFonts w:hint="eastAsia" w:ascii="仿宋" w:hAnsi="仿宋" w:eastAsia="仿宋" w:cs="仿宋"/>
          <w:sz w:val="32"/>
          <w:szCs w:val="32"/>
        </w:rPr>
        <w:t>、负责全区外来企业投诉处理和民营企业法律服务工作。</w:t>
      </w:r>
      <w:r>
        <w:rPr>
          <w:rFonts w:hint="eastAsia" w:ascii="仿宋" w:hAnsi="仿宋" w:eastAsia="仿宋" w:cs="仿宋"/>
          <w:sz w:val="32"/>
          <w:szCs w:val="32"/>
          <w:lang w:eastAsia="zh-CN"/>
        </w:rPr>
        <w:t>（</w:t>
      </w:r>
      <w:r>
        <w:rPr>
          <w:rFonts w:hint="eastAsia" w:ascii="仿宋" w:hAnsi="仿宋" w:eastAsia="仿宋" w:cs="仿宋"/>
          <w:sz w:val="32"/>
          <w:szCs w:val="32"/>
        </w:rPr>
        <w:t>9</w:t>
      </w:r>
      <w:r>
        <w:rPr>
          <w:rFonts w:hint="eastAsia" w:ascii="仿宋" w:hAnsi="仿宋" w:eastAsia="仿宋" w:cs="仿宋"/>
          <w:sz w:val="32"/>
          <w:szCs w:val="32"/>
          <w:lang w:eastAsia="zh-CN"/>
        </w:rPr>
        <w:t>）</w:t>
      </w:r>
      <w:r>
        <w:rPr>
          <w:rFonts w:hint="eastAsia" w:ascii="仿宋" w:hAnsi="仿宋" w:eastAsia="仿宋" w:cs="仿宋"/>
          <w:sz w:val="32"/>
          <w:szCs w:val="32"/>
        </w:rPr>
        <w:t>、负责职责范围内安全生产和职业健康、生态环境保护等工作。</w:t>
      </w:r>
      <w:r>
        <w:rPr>
          <w:rFonts w:hint="eastAsia" w:ascii="仿宋" w:hAnsi="仿宋" w:eastAsia="仿宋" w:cs="仿宋"/>
          <w:sz w:val="32"/>
          <w:szCs w:val="32"/>
          <w:lang w:eastAsia="zh-CN"/>
        </w:rPr>
        <w:t>（</w:t>
      </w:r>
      <w:r>
        <w:rPr>
          <w:rFonts w:hint="eastAsia" w:ascii="仿宋" w:hAnsi="仿宋" w:eastAsia="仿宋" w:cs="仿宋"/>
          <w:sz w:val="32"/>
          <w:szCs w:val="32"/>
        </w:rPr>
        <w:t>10</w:t>
      </w:r>
      <w:r>
        <w:rPr>
          <w:rFonts w:hint="eastAsia" w:ascii="仿宋" w:hAnsi="仿宋" w:eastAsia="仿宋" w:cs="仿宋"/>
          <w:sz w:val="32"/>
          <w:szCs w:val="32"/>
          <w:lang w:eastAsia="zh-CN"/>
        </w:rPr>
        <w:t>）</w:t>
      </w:r>
      <w:r>
        <w:rPr>
          <w:rFonts w:hint="eastAsia" w:ascii="仿宋" w:hAnsi="仿宋" w:eastAsia="仿宋" w:cs="仿宋"/>
          <w:sz w:val="32"/>
          <w:szCs w:val="32"/>
        </w:rPr>
        <w:t>、完成区委、区政府交办的其他工作。</w:t>
      </w:r>
    </w:p>
    <w:p w14:paraId="488EE274">
      <w:pPr>
        <w:pStyle w:val="3"/>
        <w:keepNext w:val="0"/>
        <w:keepLines w:val="0"/>
        <w:pageBreakBefore w:val="0"/>
        <w:widowControl w:val="0"/>
        <w:kinsoku/>
        <w:wordWrap/>
        <w:overflowPunct/>
        <w:topLinePunct w:val="0"/>
        <w:autoSpaceDE w:val="0"/>
        <w:autoSpaceDN w:val="0"/>
        <w:bidi w:val="0"/>
        <w:adjustRightInd/>
        <w:snapToGrid/>
        <w:spacing w:before="190"/>
        <w:ind w:left="0" w:leftChars="0" w:firstLine="964" w:firstLineChars="300"/>
        <w:textAlignment w:val="auto"/>
        <w:rPr>
          <w:rFonts w:hint="eastAsia" w:ascii="宋体" w:hAnsi="宋体"/>
        </w:rPr>
      </w:pPr>
      <w:bookmarkStart w:id="3" w:name="_Toc6714"/>
      <w:r>
        <w:rPr>
          <w:rFonts w:ascii="宋体" w:hAnsi="宋体"/>
        </w:rPr>
        <w:t>（二）部门</w:t>
      </w:r>
      <w:r>
        <w:rPr>
          <w:rFonts w:hint="eastAsia" w:ascii="宋体" w:hAnsi="宋体"/>
          <w:lang w:val="en-US" w:eastAsia="zh-CN"/>
        </w:rPr>
        <w:t>2026</w:t>
      </w:r>
      <w:r>
        <w:rPr>
          <w:rFonts w:ascii="宋体" w:hAnsi="宋体"/>
        </w:rPr>
        <w:t>年重点工</w:t>
      </w:r>
      <w:r>
        <w:rPr>
          <w:rFonts w:hint="eastAsia" w:ascii="宋体" w:hAnsi="宋体"/>
        </w:rPr>
        <w:t>作</w:t>
      </w:r>
      <w:bookmarkEnd w:id="3"/>
    </w:p>
    <w:p w14:paraId="2C566C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i w:val="0"/>
          <w:caps w:val="0"/>
          <w:color w:val="auto"/>
          <w:spacing w:val="0"/>
          <w:kern w:val="2"/>
          <w:sz w:val="32"/>
          <w:szCs w:val="32"/>
          <w:shd w:val="clear" w:color="auto" w:fill="FFFFFF"/>
          <w:lang w:val="en-US" w:eastAsia="zh-CN" w:bidi="ar-SA"/>
        </w:rPr>
      </w:pPr>
      <w:r>
        <w:rPr>
          <w:rFonts w:hint="eastAsia" w:ascii="楷体_GB2312" w:hAnsi="楷体_GB2312" w:eastAsia="楷体_GB2312" w:cs="楷体_GB2312"/>
          <w:kern w:val="2"/>
          <w:sz w:val="32"/>
          <w:szCs w:val="32"/>
          <w:highlight w:val="none"/>
          <w:lang w:val="en-US" w:eastAsia="zh-CN" w:bidi="ar-SA"/>
        </w:rPr>
        <w:t>1.统筹推进法治五通桥建设。</w:t>
      </w:r>
      <w:r>
        <w:rPr>
          <w:rFonts w:hint="eastAsia" w:ascii="仿宋_GB2312" w:hAnsi="仿宋_GB2312" w:eastAsia="仿宋_GB2312" w:cs="仿宋_GB2312"/>
          <w:b w:val="0"/>
          <w:bCs w:val="0"/>
          <w:color w:val="auto"/>
          <w:spacing w:val="0"/>
          <w:sz w:val="32"/>
          <w:szCs w:val="32"/>
          <w:u w:val="none"/>
          <w:lang w:val="en-US" w:eastAsia="zh-CN"/>
        </w:rPr>
        <w:t>启动编制新一轮法治建设规划和“九五”普法规划；</w:t>
      </w:r>
      <w:r>
        <w:rPr>
          <w:rFonts w:hint="eastAsia" w:ascii="仿宋_GB2312" w:hAnsi="仿宋_GB2312" w:eastAsia="仿宋_GB2312" w:cs="仿宋_GB2312"/>
          <w:b w:val="0"/>
          <w:bCs w:val="0"/>
          <w:color w:val="auto"/>
          <w:spacing w:val="0"/>
          <w:sz w:val="32"/>
          <w:szCs w:val="32"/>
          <w:u w:val="none"/>
          <w:rtl w:val="0"/>
          <w:lang w:val="en-US" w:eastAsia="zh-CN"/>
        </w:rPr>
        <w:t>聚</w:t>
      </w:r>
      <w:r>
        <w:rPr>
          <w:rFonts w:hint="eastAsia" w:ascii="仿宋_GB2312" w:hAnsi="仿宋_GB2312" w:eastAsia="仿宋_GB2312" w:cs="仿宋_GB2312"/>
          <w:spacing w:val="0"/>
          <w:sz w:val="32"/>
          <w:szCs w:val="32"/>
          <w:rtl w:val="0"/>
          <w:lang w:val="en-US" w:eastAsia="zh-CN"/>
        </w:rPr>
        <w:t>焦“关键少数”和基层一线，构建“全生命周期”“分层分类、精准滴灌”的法治教育培训体系；</w:t>
      </w:r>
      <w:r>
        <w:rPr>
          <w:rFonts w:hint="eastAsia" w:ascii="仿宋_GB2312" w:hAnsi="仿宋_GB2312" w:eastAsia="仿宋_GB2312" w:cs="仿宋_GB2312"/>
          <w:b w:val="0"/>
          <w:bCs w:val="0"/>
          <w:color w:val="auto"/>
          <w:spacing w:val="0"/>
          <w:sz w:val="32"/>
          <w:szCs w:val="32"/>
          <w:u w:val="none"/>
          <w:lang w:val="en-US" w:eastAsia="zh-CN"/>
        </w:rPr>
        <w:t>严格落实“谁执法谁普法”普法责任制，创新宣传形式和载体，进一步扩大法治宣传的覆盖面和渗透力。</w:t>
      </w:r>
      <w:r>
        <w:rPr>
          <w:rFonts w:hint="eastAsia" w:ascii="楷体_GB2312" w:hAnsi="楷体_GB2312" w:eastAsia="楷体_GB2312" w:cs="楷体_GB2312"/>
          <w:kern w:val="2"/>
          <w:sz w:val="32"/>
          <w:szCs w:val="32"/>
          <w:highlight w:val="none"/>
          <w:lang w:val="en-US" w:eastAsia="zh-CN" w:bidi="ar-SA"/>
        </w:rPr>
        <w:t>2.全面加强法治政府建设。</w:t>
      </w:r>
      <w:r>
        <w:rPr>
          <w:rFonts w:hint="eastAsia" w:ascii="仿宋_GB2312" w:hAnsi="仿宋_GB2312" w:eastAsia="仿宋_GB2312" w:cs="仿宋_GB2312"/>
          <w:b w:val="0"/>
          <w:bCs w:val="0"/>
          <w:color w:val="auto"/>
          <w:spacing w:val="0"/>
          <w:sz w:val="32"/>
          <w:szCs w:val="32"/>
          <w:u w:val="none"/>
          <w:lang w:val="en-US" w:eastAsia="zh-CN"/>
        </w:rPr>
        <w:t>精准开展合法性审查，严格实施行政执法监督，</w:t>
      </w:r>
      <w:r>
        <w:rPr>
          <w:rFonts w:hint="eastAsia" w:ascii="仿宋_GB2312" w:hAnsi="仿宋_GB2312" w:eastAsia="仿宋_GB2312" w:cs="仿宋_GB2312"/>
          <w:b w:val="0"/>
          <w:bCs w:val="0"/>
          <w:color w:val="auto"/>
          <w:spacing w:val="0"/>
          <w:sz w:val="32"/>
          <w:szCs w:val="32"/>
          <w:u w:val="none"/>
          <w:rtl w:val="0"/>
          <w:lang w:val="en-US" w:eastAsia="zh-CN"/>
        </w:rPr>
        <w:t>持</w:t>
      </w:r>
      <w:r>
        <w:rPr>
          <w:rFonts w:hint="eastAsia" w:ascii="仿宋_GB2312" w:hAnsi="仿宋_GB2312" w:eastAsia="仿宋_GB2312" w:cs="仿宋_GB2312"/>
          <w:spacing w:val="0"/>
          <w:sz w:val="32"/>
          <w:szCs w:val="32"/>
          <w:rtl w:val="0"/>
          <w:lang w:val="en-US" w:eastAsia="zh-CN"/>
        </w:rPr>
        <w:t>续深化“综合查一次”联合执法，</w:t>
      </w:r>
      <w:r>
        <w:rPr>
          <w:rFonts w:hint="eastAsia" w:ascii="仿宋_GB2312" w:hAnsi="仿宋_GB2312" w:eastAsia="仿宋_GB2312" w:cs="仿宋_GB2312"/>
          <w:color w:val="auto"/>
          <w:sz w:val="32"/>
          <w:szCs w:val="32"/>
        </w:rPr>
        <w:t>推广天府入企码</w:t>
      </w:r>
      <w:r>
        <w:rPr>
          <w:rFonts w:hint="eastAsia" w:ascii="仿宋_GB2312" w:hAnsi="仿宋_GB2312" w:eastAsia="仿宋_GB2312" w:cs="仿宋_GB2312"/>
          <w:b w:val="0"/>
          <w:bCs w:val="0"/>
          <w:color w:val="auto"/>
          <w:kern w:val="2"/>
          <w:sz w:val="32"/>
          <w:szCs w:val="32"/>
          <w:rtl w:val="0"/>
          <w:lang w:val="en-US" w:eastAsia="zh-CN" w:bidi="ar-SA"/>
        </w:rPr>
        <w:t>，</w:t>
      </w:r>
      <w:r>
        <w:rPr>
          <w:rFonts w:hint="eastAsia" w:ascii="仿宋_GB2312" w:hAnsi="仿宋_GB2312" w:eastAsia="仿宋_GB2312" w:cs="仿宋_GB2312"/>
          <w:b w:val="0"/>
          <w:bCs w:val="0"/>
          <w:color w:val="auto"/>
          <w:kern w:val="2"/>
          <w:sz w:val="32"/>
          <w:szCs w:val="32"/>
          <w:lang w:val="en-US" w:eastAsia="zh-CN" w:bidi="ar-SA"/>
        </w:rPr>
        <w:t>常态化开展行政执法突出问题专项整治和监督行动；</w:t>
      </w:r>
      <w:r>
        <w:rPr>
          <w:rFonts w:hint="eastAsia" w:ascii="仿宋_GB2312" w:hAnsi="仿宋_GB2312" w:eastAsia="仿宋_GB2312" w:cs="仿宋_GB2312"/>
          <w:b w:val="0"/>
          <w:bCs w:val="0"/>
          <w:color w:val="auto"/>
          <w:spacing w:val="0"/>
          <w:sz w:val="32"/>
          <w:szCs w:val="32"/>
          <w:u w:val="none"/>
          <w:lang w:val="en-US" w:eastAsia="zh-CN"/>
        </w:rPr>
        <w:t>持续</w:t>
      </w:r>
      <w:r>
        <w:rPr>
          <w:rFonts w:hint="eastAsia" w:ascii="仿宋_GB2312" w:hAnsi="仿宋_GB2312" w:eastAsia="仿宋_GB2312" w:cs="仿宋_GB2312"/>
          <w:b w:val="0"/>
          <w:bCs w:val="0"/>
          <w:color w:val="auto"/>
          <w:spacing w:val="0"/>
          <w:sz w:val="32"/>
          <w:szCs w:val="32"/>
          <w:u w:val="none"/>
          <w:rtl w:val="0"/>
          <w:lang w:val="en-US" w:eastAsia="zh-CN"/>
        </w:rPr>
        <w:t>强化执法队伍建设，加</w:t>
      </w:r>
      <w:r>
        <w:rPr>
          <w:rFonts w:hint="eastAsia" w:ascii="仿宋_GB2312" w:hAnsi="仿宋_GB2312" w:eastAsia="仿宋_GB2312" w:cs="仿宋_GB2312"/>
          <w:b w:val="0"/>
          <w:bCs w:val="0"/>
          <w:color w:val="auto"/>
          <w:kern w:val="2"/>
          <w:sz w:val="32"/>
          <w:szCs w:val="32"/>
          <w:rtl w:val="0"/>
          <w:lang w:val="en-US" w:eastAsia="zh-CN" w:bidi="ar-SA"/>
        </w:rPr>
        <w:t>强执法人员</w:t>
      </w:r>
      <w:r>
        <w:rPr>
          <w:rFonts w:hint="eastAsia" w:ascii="仿宋_GB2312" w:hAnsi="仿宋" w:eastAsia="仿宋_GB2312" w:cs="仿宋"/>
          <w:b w:val="0"/>
          <w:bCs w:val="0"/>
          <w:color w:val="auto"/>
          <w:sz w:val="32"/>
          <w:szCs w:val="32"/>
          <w:highlight w:val="none"/>
          <w:lang w:val="en-US" w:eastAsia="zh-CN"/>
        </w:rPr>
        <w:t>公共法律知识等培训力度</w:t>
      </w:r>
      <w:r>
        <w:rPr>
          <w:rFonts w:hint="eastAsia" w:ascii="仿宋_GB2312" w:hAnsi="仿宋_GB2312" w:eastAsia="仿宋_GB2312" w:cs="仿宋_GB2312"/>
          <w:b w:val="0"/>
          <w:bCs w:val="0"/>
          <w:color w:val="auto"/>
          <w:spacing w:val="0"/>
          <w:sz w:val="32"/>
          <w:szCs w:val="32"/>
          <w:u w:val="none"/>
          <w:rtl w:val="0"/>
          <w:lang w:val="en-US" w:eastAsia="zh-CN"/>
        </w:rPr>
        <w:t>；</w:t>
      </w:r>
      <w:r>
        <w:rPr>
          <w:rFonts w:hint="eastAsia" w:ascii="仿宋_GB2312" w:hAnsi="仿宋_GB2312" w:eastAsia="仿宋_GB2312" w:cs="仿宋_GB2312"/>
          <w:b w:val="0"/>
          <w:bCs w:val="0"/>
          <w:color w:val="auto"/>
          <w:spacing w:val="0"/>
          <w:sz w:val="32"/>
          <w:szCs w:val="32"/>
          <w:u w:val="none"/>
          <w:lang w:val="en-US" w:eastAsia="zh-CN"/>
        </w:rPr>
        <w:t>提升行政复议质效，</w:t>
      </w:r>
      <w:r>
        <w:rPr>
          <w:rFonts w:hint="default" w:ascii="仿宋_GB2312" w:hAnsi="仿宋_GB2312" w:eastAsia="仿宋_GB2312" w:cs="仿宋_GB2312"/>
          <w:b w:val="0"/>
          <w:bCs/>
          <w:color w:val="auto"/>
          <w:kern w:val="2"/>
          <w:sz w:val="32"/>
          <w:szCs w:val="32"/>
          <w:lang w:val="en-US" w:eastAsia="zh-CN" w:bidi="ar-SA"/>
        </w:rPr>
        <w:t>搭建跨部门信息共享平台，实现信息实时互通，提升多部门协同应对争议的能力。</w:t>
      </w:r>
      <w:r>
        <w:rPr>
          <w:rFonts w:hint="eastAsia" w:ascii="楷体_GB2312" w:hAnsi="楷体_GB2312" w:eastAsia="楷体_GB2312" w:cs="楷体_GB2312"/>
          <w:kern w:val="2"/>
          <w:sz w:val="32"/>
          <w:szCs w:val="32"/>
          <w:highlight w:val="none"/>
          <w:lang w:val="en-US" w:eastAsia="zh-CN" w:bidi="ar-SA"/>
        </w:rPr>
        <w:t>3.持续提升公共法律服务。</w:t>
      </w:r>
      <w:r>
        <w:rPr>
          <w:rFonts w:hint="eastAsia" w:ascii="仿宋_GB2312" w:hAnsi="仿宋_GB2312" w:eastAsia="仿宋_GB2312" w:cs="仿宋_GB2312"/>
          <w:b w:val="0"/>
          <w:bCs w:val="0"/>
          <w:color w:val="auto"/>
          <w:kern w:val="2"/>
          <w:sz w:val="32"/>
          <w:szCs w:val="32"/>
          <w:lang w:val="en-US" w:eastAsia="zh-CN" w:bidi="ar-SA"/>
        </w:rPr>
        <w:t>积极配合完成五通桥区社会治安综合治理中心规范化建设工作</w:t>
      </w:r>
      <w:r>
        <w:rPr>
          <w:rFonts w:hint="eastAsia" w:ascii="仿宋_GB2312" w:hAnsi="仿宋_GB2312" w:eastAsia="仿宋_GB2312" w:cs="仿宋_GB2312"/>
          <w:b w:val="0"/>
          <w:bCs w:val="0"/>
          <w:color w:val="auto"/>
          <w:spacing w:val="0"/>
          <w:sz w:val="32"/>
          <w:szCs w:val="32"/>
          <w:u w:val="none"/>
          <w:lang w:val="en-US" w:eastAsia="zh-CN"/>
        </w:rPr>
        <w:t>；积极引进法律服务人才，引导律</w:t>
      </w:r>
      <w:r>
        <w:rPr>
          <w:rFonts w:hint="eastAsia" w:ascii="仿宋_GB2312" w:hAnsi="仿宋" w:eastAsia="仿宋_GB2312" w:cs="仿宋"/>
          <w:color w:val="auto"/>
          <w:sz w:val="32"/>
          <w:szCs w:val="32"/>
          <w:highlight w:val="none"/>
          <w:lang w:val="en-US" w:eastAsia="zh-CN"/>
        </w:rPr>
        <w:t>师服务向基层和农村倾斜；</w:t>
      </w:r>
      <w:r>
        <w:rPr>
          <w:rFonts w:hint="eastAsia" w:ascii="仿宋_GB2312" w:hAnsi="仿宋_GB2312" w:eastAsia="仿宋_GB2312" w:cs="仿宋_GB2312"/>
          <w:b w:val="0"/>
          <w:bCs w:val="0"/>
          <w:color w:val="auto"/>
          <w:spacing w:val="0"/>
          <w:sz w:val="32"/>
          <w:szCs w:val="32"/>
          <w:u w:val="none"/>
          <w:lang w:val="en-US" w:eastAsia="zh-CN"/>
        </w:rPr>
        <w:t>持续服务惠民，加</w:t>
      </w:r>
      <w:r>
        <w:rPr>
          <w:rFonts w:hint="eastAsia" w:ascii="仿宋_GB2312" w:hAnsi="仿宋_GB2312" w:eastAsia="仿宋_GB2312" w:cs="仿宋_GB2312"/>
          <w:b w:val="0"/>
          <w:bCs w:val="0"/>
          <w:color w:val="auto"/>
          <w:kern w:val="2"/>
          <w:sz w:val="32"/>
          <w:szCs w:val="32"/>
          <w:lang w:val="en-US" w:eastAsia="zh-CN" w:bidi="ar-SA"/>
        </w:rPr>
        <w:t>大法律援助工作的宣传力度，进一步优化法律援助流程</w:t>
      </w:r>
      <w:r>
        <w:rPr>
          <w:rFonts w:hint="eastAsia" w:ascii="仿宋_GB2312" w:hAnsi="仿宋_GB2312" w:eastAsia="仿宋_GB2312" w:cs="仿宋_GB2312"/>
          <w:b w:val="0"/>
          <w:bCs w:val="0"/>
          <w:color w:val="auto"/>
          <w:spacing w:val="0"/>
          <w:sz w:val="32"/>
          <w:szCs w:val="32"/>
          <w:u w:val="none"/>
          <w:lang w:val="en-US" w:eastAsia="zh-CN"/>
        </w:rPr>
        <w:t>；持续开展矛盾纠纷排查化解，加强</w:t>
      </w:r>
      <w:r>
        <w:rPr>
          <w:rFonts w:hint="eastAsia" w:ascii="仿宋_GB2312" w:hAnsi="仿宋_GB2312" w:eastAsia="仿宋_GB2312" w:cs="仿宋_GB2312"/>
          <w:b w:val="0"/>
          <w:bCs w:val="0"/>
          <w:color w:val="auto"/>
          <w:kern w:val="2"/>
          <w:sz w:val="32"/>
          <w:szCs w:val="32"/>
          <w:lang w:val="en-US" w:eastAsia="zh-CN" w:bidi="ar-SA"/>
        </w:rPr>
        <w:t>重点时段、重点领域、重点对象的矛盾纠纷排查。</w:t>
      </w:r>
      <w:r>
        <w:rPr>
          <w:rFonts w:hint="eastAsia" w:ascii="楷体_GB2312" w:hAnsi="楷体_GB2312" w:eastAsia="楷体_GB2312" w:cs="楷体_GB2312"/>
          <w:kern w:val="2"/>
          <w:sz w:val="32"/>
          <w:szCs w:val="32"/>
          <w:highlight w:val="none"/>
          <w:lang w:val="en-US" w:eastAsia="zh-CN" w:bidi="ar-SA"/>
        </w:rPr>
        <w:t>4.持续抓好重点人群管控。</w:t>
      </w:r>
      <w:r>
        <w:rPr>
          <w:rFonts w:hint="eastAsia" w:ascii="仿宋_GB2312" w:hAnsi="仿宋_GB2312" w:eastAsia="仿宋_GB2312" w:cs="仿宋_GB2312"/>
          <w:b w:val="0"/>
          <w:bCs w:val="0"/>
          <w:color w:val="auto"/>
          <w:spacing w:val="0"/>
          <w:sz w:val="32"/>
          <w:szCs w:val="32"/>
          <w:u w:val="none"/>
          <w:lang w:val="en-US" w:eastAsia="zh-CN"/>
        </w:rPr>
        <w:t>聚焦风险防控，</w:t>
      </w:r>
      <w:r>
        <w:rPr>
          <w:rFonts w:hint="eastAsia" w:ascii="仿宋_GB2312" w:hAnsi="仿宋_GB2312" w:eastAsia="仿宋_GB2312" w:cs="仿宋_GB2312"/>
          <w:b w:val="0"/>
          <w:bCs w:val="0"/>
          <w:i w:val="0"/>
          <w:caps w:val="0"/>
          <w:color w:val="auto"/>
          <w:spacing w:val="0"/>
          <w:kern w:val="2"/>
          <w:sz w:val="32"/>
          <w:szCs w:val="32"/>
          <w:shd w:val="clear" w:color="auto" w:fill="FFFFFF"/>
          <w:lang w:val="en-US" w:eastAsia="zh-CN" w:bidi="ar-SA"/>
        </w:rPr>
        <w:t>紧盯两类重点人群，</w:t>
      </w:r>
      <w:r>
        <w:rPr>
          <w:rFonts w:hint="eastAsia" w:ascii="仿宋_GB2312" w:hAnsi="仿宋_GB2312" w:eastAsia="仿宋_GB2312" w:cs="仿宋_GB2312"/>
          <w:b w:val="0"/>
          <w:bCs w:val="0"/>
          <w:color w:val="auto"/>
          <w:kern w:val="2"/>
          <w:sz w:val="32"/>
          <w:szCs w:val="32"/>
          <w:lang w:val="en-US" w:eastAsia="zh-CN" w:bidi="ar-SA"/>
        </w:rPr>
        <w:t>持续开展隐患排查整治工作</w:t>
      </w:r>
      <w:r>
        <w:rPr>
          <w:rFonts w:hint="eastAsia" w:ascii="仿宋_GB2312" w:hAnsi="仿宋_GB2312" w:eastAsia="仿宋_GB2312" w:cs="仿宋_GB2312"/>
          <w:b w:val="0"/>
          <w:bCs w:val="0"/>
          <w:i w:val="0"/>
          <w:caps w:val="0"/>
          <w:color w:val="auto"/>
          <w:spacing w:val="0"/>
          <w:kern w:val="2"/>
          <w:sz w:val="32"/>
          <w:szCs w:val="32"/>
          <w:shd w:val="clear" w:color="auto" w:fill="FFFFFF"/>
          <w:lang w:val="en-US" w:eastAsia="zh-CN" w:bidi="ar-SA"/>
        </w:rPr>
        <w:t>；</w:t>
      </w:r>
      <w:r>
        <w:rPr>
          <w:rFonts w:hint="eastAsia" w:ascii="仿宋_GB2312" w:hAnsi="仿宋_GB2312" w:eastAsia="仿宋_GB2312" w:cs="仿宋_GB2312"/>
          <w:b w:val="0"/>
          <w:bCs w:val="0"/>
          <w:color w:val="auto"/>
          <w:spacing w:val="0"/>
          <w:sz w:val="32"/>
          <w:szCs w:val="32"/>
          <w:u w:val="none"/>
          <w:lang w:val="en-US" w:eastAsia="zh-CN"/>
        </w:rPr>
        <w:t>优化教育帮扶，加强对社区矫正对象的监</w:t>
      </w:r>
      <w:r>
        <w:rPr>
          <w:rFonts w:hint="eastAsia" w:ascii="仿宋_GB2312" w:hAnsi="仿宋_GB2312" w:eastAsia="仿宋_GB2312" w:cs="仿宋_GB2312"/>
          <w:b w:val="0"/>
          <w:bCs w:val="0"/>
          <w:i w:val="0"/>
          <w:caps w:val="0"/>
          <w:color w:val="auto"/>
          <w:spacing w:val="0"/>
          <w:kern w:val="2"/>
          <w:sz w:val="32"/>
          <w:szCs w:val="32"/>
          <w:shd w:val="clear" w:color="auto" w:fill="FFFFFF"/>
          <w:lang w:val="en-US" w:eastAsia="zh-CN" w:bidi="ar-SA"/>
        </w:rPr>
        <w:t>管教育，做好安置帮教对象的安置帮扶，助力两类重点人群顺利融入社会</w:t>
      </w:r>
      <w:r>
        <w:rPr>
          <w:rFonts w:hint="eastAsia" w:ascii="仿宋_GB2312" w:hAnsi="仿宋_GB2312" w:eastAsia="仿宋_GB2312" w:cs="仿宋_GB2312"/>
          <w:b w:val="0"/>
          <w:bCs w:val="0"/>
          <w:color w:val="auto"/>
          <w:spacing w:val="0"/>
          <w:sz w:val="32"/>
          <w:szCs w:val="32"/>
          <w:u w:val="none"/>
          <w:lang w:val="en-US" w:eastAsia="zh-CN"/>
        </w:rPr>
        <w:t>；建强工作队伍，</w:t>
      </w:r>
      <w:r>
        <w:rPr>
          <w:rFonts w:hint="eastAsia" w:ascii="仿宋_GB2312" w:hAnsi="仿宋_GB2312" w:eastAsia="仿宋_GB2312" w:cs="仿宋_GB2312"/>
          <w:b w:val="0"/>
          <w:bCs w:val="0"/>
          <w:i w:val="0"/>
          <w:caps w:val="0"/>
          <w:color w:val="auto"/>
          <w:spacing w:val="0"/>
          <w:kern w:val="2"/>
          <w:sz w:val="32"/>
          <w:szCs w:val="32"/>
          <w:shd w:val="clear" w:color="auto" w:fill="FFFFFF"/>
          <w:lang w:val="en-US" w:eastAsia="zh-CN" w:bidi="ar-SA"/>
        </w:rPr>
        <w:t>常态化组织开展社区矫正、安置帮教业务培训。</w:t>
      </w:r>
    </w:p>
    <w:p w14:paraId="18248E93">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p>
    <w:p w14:paraId="195BDA5D">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bookmarkStart w:id="4" w:name="_Toc20578"/>
      <w:r>
        <w:rPr>
          <w:rFonts w:hint="eastAsia" w:ascii="宋体" w:hAnsi="宋体" w:eastAsia="黑体"/>
          <w:color w:val="333333"/>
        </w:rPr>
        <w:t>二、部门预算单位构成</w:t>
      </w:r>
      <w:bookmarkEnd w:id="4"/>
    </w:p>
    <w:p w14:paraId="7E2D41FF">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部门下属预算单位1个（含局机关），其中行政单位1个，参照公务员法管理的事业单位0个，其他事业单位0个。主要包括：</w:t>
      </w:r>
    </w:p>
    <w:tbl>
      <w:tblPr>
        <w:tblStyle w:val="13"/>
        <w:tblW w:w="0" w:type="auto"/>
        <w:tblInd w:w="7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07"/>
        <w:gridCol w:w="6282"/>
      </w:tblGrid>
      <w:tr w14:paraId="01DAD3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2007" w:type="dxa"/>
          </w:tcPr>
          <w:p w14:paraId="6AD45C60">
            <w:pPr>
              <w:pStyle w:val="17"/>
              <w:spacing w:before="159"/>
              <w:ind w:left="748"/>
              <w:rPr>
                <w:rFonts w:hint="eastAsia" w:ascii="宋体" w:hAnsi="宋体" w:eastAsia="仿宋_GB2312"/>
                <w:sz w:val="32"/>
              </w:rPr>
            </w:pPr>
            <w:r>
              <w:rPr>
                <w:rFonts w:hint="eastAsia" w:ascii="宋体" w:hAnsi="宋体" w:eastAsia="仿宋_GB2312"/>
                <w:color w:val="333333"/>
                <w:sz w:val="32"/>
              </w:rPr>
              <w:t>序号</w:t>
            </w:r>
          </w:p>
        </w:tc>
        <w:tc>
          <w:tcPr>
            <w:tcW w:w="6282" w:type="dxa"/>
          </w:tcPr>
          <w:p w14:paraId="4EE8155E">
            <w:pPr>
              <w:pStyle w:val="17"/>
              <w:spacing w:before="159"/>
              <w:ind w:firstLine="1920" w:firstLineChars="600"/>
              <w:rPr>
                <w:rFonts w:hint="eastAsia" w:ascii="宋体" w:hAnsi="宋体" w:eastAsia="仿宋_GB2312"/>
                <w:sz w:val="32"/>
              </w:rPr>
            </w:pPr>
            <w:r>
              <w:rPr>
                <w:rFonts w:hint="eastAsia" w:ascii="宋体" w:hAnsi="宋体" w:eastAsia="仿宋_GB2312"/>
                <w:color w:val="333333"/>
                <w:sz w:val="32"/>
              </w:rPr>
              <w:t>预算单位名称</w:t>
            </w:r>
          </w:p>
        </w:tc>
      </w:tr>
      <w:tr w14:paraId="4CCDBA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trPr>
        <w:tc>
          <w:tcPr>
            <w:tcW w:w="2007" w:type="dxa"/>
          </w:tcPr>
          <w:p w14:paraId="1D01E4FC">
            <w:pPr>
              <w:pStyle w:val="17"/>
              <w:spacing w:before="181"/>
              <w:ind w:left="748"/>
              <w:rPr>
                <w:rFonts w:ascii="宋体" w:hAnsi="宋体"/>
                <w:sz w:val="32"/>
              </w:rPr>
            </w:pPr>
            <w:r>
              <w:rPr>
                <w:rFonts w:ascii="宋体" w:hAnsi="宋体"/>
                <w:color w:val="333333"/>
                <w:w w:val="99"/>
                <w:sz w:val="32"/>
              </w:rPr>
              <w:t>1</w:t>
            </w:r>
          </w:p>
        </w:tc>
        <w:tc>
          <w:tcPr>
            <w:tcW w:w="6282" w:type="dxa"/>
          </w:tcPr>
          <w:p w14:paraId="6555F962">
            <w:pPr>
              <w:pStyle w:val="17"/>
              <w:spacing w:before="160"/>
              <w:ind w:left="746" w:firstLine="640" w:firstLineChars="200"/>
              <w:rPr>
                <w:rFonts w:hint="default" w:ascii="宋体" w:hAnsi="宋体" w:eastAsia="仿宋_GB2312"/>
                <w:sz w:val="32"/>
                <w:lang w:val="en-US" w:eastAsia="zh-CN"/>
              </w:rPr>
            </w:pPr>
            <w:r>
              <w:rPr>
                <w:rFonts w:hint="eastAsia" w:eastAsia="仿宋_GB2312"/>
                <w:sz w:val="32"/>
                <w:lang w:val="en-US" w:eastAsia="zh-CN"/>
              </w:rPr>
              <w:t>乐山市五通桥区司法局</w:t>
            </w:r>
          </w:p>
        </w:tc>
      </w:tr>
      <w:tr w14:paraId="6DE44D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14:paraId="7B22F5AA">
            <w:pPr>
              <w:pStyle w:val="17"/>
              <w:spacing w:before="183"/>
              <w:ind w:left="748"/>
              <w:rPr>
                <w:rFonts w:ascii="宋体" w:hAnsi="宋体"/>
                <w:sz w:val="32"/>
              </w:rPr>
            </w:pPr>
            <w:r>
              <w:rPr>
                <w:rFonts w:ascii="宋体" w:hAnsi="宋体"/>
                <w:color w:val="333333"/>
                <w:w w:val="99"/>
                <w:sz w:val="32"/>
              </w:rPr>
              <w:t>2</w:t>
            </w:r>
          </w:p>
        </w:tc>
        <w:tc>
          <w:tcPr>
            <w:tcW w:w="6282" w:type="dxa"/>
          </w:tcPr>
          <w:p w14:paraId="3235CCAA">
            <w:pPr>
              <w:pStyle w:val="17"/>
              <w:spacing w:before="162"/>
              <w:ind w:left="746"/>
              <w:rPr>
                <w:rFonts w:hint="eastAsia" w:ascii="宋体" w:hAnsi="宋体" w:eastAsia="仿宋_GB2312"/>
                <w:sz w:val="32"/>
              </w:rPr>
            </w:pPr>
          </w:p>
        </w:tc>
      </w:tr>
    </w:tbl>
    <w:p w14:paraId="7A8338C4">
      <w:pPr>
        <w:rPr>
          <w:rFonts w:ascii="宋体" w:hAnsi="宋体"/>
          <w:sz w:val="20"/>
        </w:rPr>
      </w:pPr>
      <w:r>
        <w:rPr>
          <w:rFonts w:ascii="宋体" w:hAnsi="宋体"/>
          <w:sz w:val="20"/>
        </w:rPr>
        <w:br w:type="page"/>
      </w:r>
    </w:p>
    <w:p w14:paraId="1731EE84">
      <w:pPr>
        <w:pStyle w:val="4"/>
        <w:rPr>
          <w:rFonts w:ascii="宋体" w:hAnsi="宋体"/>
          <w:sz w:val="20"/>
        </w:rPr>
      </w:pPr>
    </w:p>
    <w:p w14:paraId="139911E9">
      <w:pPr>
        <w:pStyle w:val="4"/>
        <w:rPr>
          <w:rFonts w:ascii="宋体" w:hAnsi="宋体"/>
          <w:sz w:val="20"/>
        </w:rPr>
      </w:pPr>
    </w:p>
    <w:p w14:paraId="3A98E5DB">
      <w:pPr>
        <w:pStyle w:val="4"/>
        <w:rPr>
          <w:rFonts w:ascii="宋体" w:hAnsi="宋体"/>
          <w:sz w:val="20"/>
        </w:rPr>
      </w:pPr>
    </w:p>
    <w:p w14:paraId="492F61ED">
      <w:pPr>
        <w:pStyle w:val="4"/>
        <w:rPr>
          <w:rFonts w:ascii="宋体" w:hAnsi="宋体"/>
          <w:sz w:val="20"/>
        </w:rPr>
      </w:pPr>
    </w:p>
    <w:p w14:paraId="62EE0A3F">
      <w:pPr>
        <w:pStyle w:val="4"/>
        <w:rPr>
          <w:rFonts w:ascii="宋体" w:hAnsi="宋体"/>
          <w:sz w:val="20"/>
        </w:rPr>
      </w:pPr>
    </w:p>
    <w:p w14:paraId="5CA0B155">
      <w:pPr>
        <w:pStyle w:val="4"/>
        <w:rPr>
          <w:rFonts w:ascii="宋体" w:hAnsi="宋体"/>
          <w:sz w:val="20"/>
        </w:rPr>
      </w:pPr>
    </w:p>
    <w:p w14:paraId="5A96C71E">
      <w:pPr>
        <w:pStyle w:val="4"/>
        <w:rPr>
          <w:rFonts w:ascii="宋体" w:hAnsi="宋体"/>
          <w:sz w:val="20"/>
        </w:rPr>
      </w:pPr>
    </w:p>
    <w:p w14:paraId="7E833319">
      <w:pPr>
        <w:pStyle w:val="4"/>
        <w:rPr>
          <w:rFonts w:ascii="宋体" w:hAnsi="宋体"/>
          <w:sz w:val="20"/>
        </w:rPr>
      </w:pPr>
    </w:p>
    <w:p w14:paraId="49CB9300">
      <w:pPr>
        <w:pStyle w:val="4"/>
        <w:rPr>
          <w:rFonts w:ascii="宋体" w:hAnsi="宋体"/>
          <w:sz w:val="20"/>
        </w:rPr>
      </w:pPr>
    </w:p>
    <w:p w14:paraId="287C241C">
      <w:pPr>
        <w:pStyle w:val="4"/>
        <w:rPr>
          <w:rFonts w:ascii="宋体" w:hAnsi="宋体"/>
          <w:sz w:val="20"/>
        </w:rPr>
      </w:pPr>
    </w:p>
    <w:p w14:paraId="70E724A3">
      <w:pPr>
        <w:pStyle w:val="4"/>
        <w:rPr>
          <w:rFonts w:ascii="宋体" w:hAnsi="宋体"/>
          <w:sz w:val="20"/>
        </w:rPr>
      </w:pPr>
    </w:p>
    <w:p w14:paraId="2103599A">
      <w:pPr>
        <w:pStyle w:val="4"/>
        <w:rPr>
          <w:rFonts w:ascii="宋体" w:hAnsi="宋体"/>
          <w:sz w:val="20"/>
        </w:rPr>
      </w:pPr>
    </w:p>
    <w:p w14:paraId="6B4AB9C8">
      <w:pPr>
        <w:pStyle w:val="4"/>
        <w:rPr>
          <w:rFonts w:ascii="宋体" w:hAnsi="宋体"/>
          <w:sz w:val="20"/>
        </w:rPr>
      </w:pPr>
    </w:p>
    <w:p w14:paraId="57223BB2">
      <w:pPr>
        <w:pStyle w:val="4"/>
        <w:rPr>
          <w:rFonts w:ascii="宋体" w:hAnsi="宋体"/>
          <w:sz w:val="20"/>
        </w:rPr>
      </w:pPr>
    </w:p>
    <w:p w14:paraId="6328FD49">
      <w:pPr>
        <w:pStyle w:val="4"/>
        <w:rPr>
          <w:rFonts w:ascii="宋体" w:hAnsi="宋体"/>
          <w:sz w:val="20"/>
        </w:rPr>
      </w:pPr>
    </w:p>
    <w:p w14:paraId="47D478D6">
      <w:pPr>
        <w:pStyle w:val="4"/>
        <w:rPr>
          <w:rFonts w:ascii="宋体" w:hAnsi="宋体"/>
          <w:sz w:val="20"/>
        </w:rPr>
      </w:pPr>
    </w:p>
    <w:p w14:paraId="293155FC">
      <w:pPr>
        <w:pStyle w:val="4"/>
        <w:rPr>
          <w:rFonts w:ascii="宋体" w:hAnsi="宋体"/>
          <w:sz w:val="20"/>
        </w:rPr>
      </w:pPr>
    </w:p>
    <w:p w14:paraId="05205C45">
      <w:pPr>
        <w:pStyle w:val="4"/>
        <w:rPr>
          <w:rFonts w:ascii="宋体" w:hAnsi="宋体"/>
          <w:sz w:val="20"/>
        </w:rPr>
      </w:pPr>
    </w:p>
    <w:p w14:paraId="0531003A">
      <w:pPr>
        <w:pStyle w:val="4"/>
        <w:rPr>
          <w:rFonts w:ascii="宋体" w:hAnsi="宋体"/>
          <w:sz w:val="20"/>
        </w:rPr>
      </w:pPr>
    </w:p>
    <w:p w14:paraId="17F877E9">
      <w:pPr>
        <w:pStyle w:val="4"/>
        <w:rPr>
          <w:rFonts w:ascii="宋体" w:hAnsi="宋体"/>
          <w:sz w:val="20"/>
        </w:rPr>
      </w:pPr>
    </w:p>
    <w:p w14:paraId="12B36EB8">
      <w:pPr>
        <w:pStyle w:val="4"/>
        <w:numPr>
          <w:ilvl w:val="0"/>
          <w:numId w:val="2"/>
        </w:numPr>
        <w:jc w:val="center"/>
        <w:outlineLvl w:val="0"/>
        <w:rPr>
          <w:rFonts w:hint="default" w:ascii="宋体" w:hAnsi="宋体" w:eastAsia="方正小标宋简体" w:cs="方正小标宋简体"/>
          <w:b/>
          <w:bCs/>
          <w:sz w:val="52"/>
          <w:szCs w:val="52"/>
          <w:lang w:val="en-US" w:eastAsia="zh-CN"/>
        </w:rPr>
      </w:pPr>
      <w:bookmarkStart w:id="5" w:name="_Toc26270"/>
      <w:r>
        <w:rPr>
          <w:rFonts w:hint="eastAsia" w:ascii="宋体" w:hAnsi="宋体" w:eastAsia="方正小标宋简体" w:cs="方正小标宋简体"/>
          <w:b/>
          <w:bCs/>
          <w:sz w:val="52"/>
          <w:szCs w:val="52"/>
          <w:lang w:val="en-US" w:eastAsia="zh-CN"/>
        </w:rPr>
        <w:t>司法局2026年部门预算表</w:t>
      </w:r>
      <w:bookmarkEnd w:id="5"/>
    </w:p>
    <w:p w14:paraId="3F0921B1">
      <w:pPr>
        <w:rPr>
          <w:rFonts w:hint="eastAsia" w:ascii="宋体" w:hAnsi="宋体"/>
          <w:sz w:val="32"/>
          <w:lang w:val="en-US" w:eastAsia="zh-CN"/>
        </w:rPr>
      </w:pPr>
      <w:r>
        <w:rPr>
          <w:rFonts w:ascii="宋体" w:hAnsi="宋体"/>
          <w:color w:val="333333"/>
        </w:rPr>
        <w:br w:type="page"/>
      </w:r>
    </w:p>
    <w:p w14:paraId="69886CE7">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6" w:name="_Toc19525"/>
      <w:r>
        <w:rPr>
          <w:rFonts w:hint="eastAsia" w:ascii="宋体" w:hAnsi="宋体"/>
          <w:sz w:val="32"/>
          <w:lang w:val="en-US" w:eastAsia="zh-CN"/>
        </w:rPr>
        <w:t>一、收支预算总表（收支总表1）</w:t>
      </w:r>
      <w:bookmarkEnd w:id="6"/>
    </w:p>
    <w:p w14:paraId="4A8537B4">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7" w:name="_Toc27375"/>
      <w:r>
        <w:rPr>
          <w:rFonts w:hint="eastAsia" w:ascii="宋体" w:hAnsi="宋体"/>
          <w:sz w:val="32"/>
          <w:lang w:val="en-US" w:eastAsia="zh-CN"/>
        </w:rPr>
        <w:t>二、收入预算总表（收入总表2）</w:t>
      </w:r>
      <w:bookmarkEnd w:id="7"/>
    </w:p>
    <w:p w14:paraId="00A79EC7">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8" w:name="_Toc1535"/>
      <w:r>
        <w:rPr>
          <w:rFonts w:hint="eastAsia" w:ascii="宋体" w:hAnsi="宋体"/>
          <w:sz w:val="32"/>
          <w:lang w:val="en-US" w:eastAsia="zh-CN"/>
        </w:rPr>
        <w:t>三、征收预期表（征收预期3）</w:t>
      </w:r>
      <w:bookmarkEnd w:id="8"/>
    </w:p>
    <w:p w14:paraId="43C889AF">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9" w:name="_Toc24022"/>
      <w:r>
        <w:rPr>
          <w:rFonts w:hint="eastAsia" w:ascii="宋体" w:hAnsi="宋体"/>
          <w:sz w:val="32"/>
          <w:lang w:val="en-US" w:eastAsia="zh-CN"/>
        </w:rPr>
        <w:t>四、支出预算总表（支出总表4）</w:t>
      </w:r>
      <w:bookmarkEnd w:id="9"/>
    </w:p>
    <w:p w14:paraId="1F0C6A4E">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0" w:name="_Toc28846"/>
      <w:r>
        <w:rPr>
          <w:rFonts w:hint="eastAsia" w:ascii="宋体" w:hAnsi="宋体"/>
          <w:sz w:val="32"/>
          <w:lang w:val="en-US" w:eastAsia="zh-CN"/>
        </w:rPr>
        <w:t>五、财政拨款预算总表（财拨总表5）</w:t>
      </w:r>
      <w:bookmarkEnd w:id="10"/>
    </w:p>
    <w:p w14:paraId="3DAA2C9E">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1" w:name="_Toc26817"/>
      <w:r>
        <w:rPr>
          <w:rFonts w:hint="eastAsia" w:ascii="宋体" w:hAnsi="宋体"/>
          <w:sz w:val="32"/>
          <w:lang w:val="en-US" w:eastAsia="zh-CN"/>
        </w:rPr>
        <w:t>六、一般公共预算支出表（一般预算支出6）</w:t>
      </w:r>
      <w:bookmarkEnd w:id="11"/>
    </w:p>
    <w:p w14:paraId="304EEC42">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2" w:name="_Toc12197"/>
      <w:r>
        <w:rPr>
          <w:rFonts w:hint="eastAsia" w:ascii="宋体" w:hAnsi="宋体"/>
          <w:sz w:val="32"/>
          <w:lang w:val="en-US" w:eastAsia="zh-CN"/>
        </w:rPr>
        <w:t>七、一般公共预算基本支出表（基本支出7）</w:t>
      </w:r>
      <w:bookmarkEnd w:id="12"/>
      <w:r>
        <w:rPr>
          <w:rFonts w:hint="eastAsia" w:ascii="宋体" w:hAnsi="宋体"/>
          <w:sz w:val="32"/>
          <w:lang w:val="en-US" w:eastAsia="zh-CN"/>
        </w:rPr>
        <w:t xml:space="preserve"> </w:t>
      </w:r>
    </w:p>
    <w:p w14:paraId="6DEAA523">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3" w:name="_Toc19152"/>
      <w:r>
        <w:rPr>
          <w:rFonts w:hint="eastAsia" w:ascii="宋体" w:hAnsi="宋体"/>
          <w:sz w:val="32"/>
          <w:lang w:val="en-US" w:eastAsia="zh-CN"/>
        </w:rPr>
        <w:t>八、一般公共预算“三公”经费支出预算表（三公8）</w:t>
      </w:r>
      <w:bookmarkEnd w:id="13"/>
    </w:p>
    <w:p w14:paraId="275BB5A7">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4" w:name="_Toc29240"/>
      <w:r>
        <w:rPr>
          <w:rFonts w:hint="eastAsia" w:ascii="宋体" w:hAnsi="宋体"/>
          <w:sz w:val="32"/>
          <w:lang w:val="en-US" w:eastAsia="zh-CN"/>
        </w:rPr>
        <w:t>九、政府性基金预算支出表（基金9）</w:t>
      </w:r>
      <w:bookmarkEnd w:id="14"/>
      <w:r>
        <w:rPr>
          <w:rFonts w:hint="eastAsia" w:ascii="宋体" w:hAnsi="宋体"/>
          <w:sz w:val="32"/>
          <w:lang w:val="en-US" w:eastAsia="zh-CN"/>
        </w:rPr>
        <w:t xml:space="preserve"> </w:t>
      </w:r>
    </w:p>
    <w:p w14:paraId="1FD31879">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5" w:name="_Toc30708"/>
      <w:r>
        <w:rPr>
          <w:rFonts w:hint="eastAsia" w:ascii="宋体" w:hAnsi="宋体"/>
          <w:sz w:val="32"/>
          <w:lang w:val="en-US" w:eastAsia="zh-CN"/>
        </w:rPr>
        <w:t>十、国有资本经营预算支出表（国资10）</w:t>
      </w:r>
      <w:bookmarkEnd w:id="15"/>
    </w:p>
    <w:p w14:paraId="66E7FD3F">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6" w:name="_Toc32474"/>
      <w:r>
        <w:rPr>
          <w:rFonts w:hint="eastAsia" w:ascii="宋体" w:hAnsi="宋体"/>
          <w:sz w:val="32"/>
          <w:lang w:val="en-US" w:eastAsia="zh-CN"/>
        </w:rPr>
        <w:t>十一、支出功能分类预算表（支出功能11）</w:t>
      </w:r>
      <w:bookmarkEnd w:id="16"/>
    </w:p>
    <w:p w14:paraId="2A1B53F4">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7" w:name="_Toc15884"/>
      <w:r>
        <w:rPr>
          <w:rFonts w:hint="eastAsia" w:ascii="宋体" w:hAnsi="宋体"/>
          <w:sz w:val="32"/>
          <w:lang w:val="en-US" w:eastAsia="zh-CN"/>
        </w:rPr>
        <w:t>十二、支出经济分类预算表（支出经济分类12）</w:t>
      </w:r>
      <w:bookmarkEnd w:id="17"/>
    </w:p>
    <w:p w14:paraId="40F32A8E">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8" w:name="_Toc28730"/>
      <w:r>
        <w:rPr>
          <w:rFonts w:hint="eastAsia" w:ascii="宋体" w:hAnsi="宋体"/>
          <w:sz w:val="32"/>
          <w:lang w:val="en-US" w:eastAsia="zh-CN"/>
        </w:rPr>
        <w:t>十三、上级资金安排情况表（上级资金安排13）</w:t>
      </w:r>
      <w:bookmarkEnd w:id="18"/>
      <w:r>
        <w:rPr>
          <w:rFonts w:hint="eastAsia" w:ascii="宋体" w:hAnsi="宋体"/>
          <w:sz w:val="32"/>
          <w:lang w:val="en-US" w:eastAsia="zh-CN"/>
        </w:rPr>
        <w:t xml:space="preserve"> </w:t>
      </w:r>
    </w:p>
    <w:p w14:paraId="6C3A2225">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9" w:name="_Toc2069"/>
      <w:r>
        <w:rPr>
          <w:rFonts w:hint="eastAsia" w:ascii="宋体" w:hAnsi="宋体"/>
          <w:sz w:val="32"/>
          <w:lang w:val="en-US" w:eastAsia="zh-CN"/>
        </w:rPr>
        <w:t>十四、项目支出表（项目支出14）</w:t>
      </w:r>
      <w:bookmarkEnd w:id="19"/>
    </w:p>
    <w:p w14:paraId="72314A0A">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0" w:name="_Toc31813"/>
      <w:r>
        <w:rPr>
          <w:rFonts w:hint="eastAsia" w:ascii="宋体" w:hAnsi="宋体"/>
          <w:sz w:val="32"/>
          <w:lang w:val="en-US" w:eastAsia="zh-CN"/>
        </w:rPr>
        <w:t>十六、政府购买服务预算表（购买服务16）</w:t>
      </w:r>
      <w:bookmarkEnd w:id="20"/>
    </w:p>
    <w:p w14:paraId="0260C3EF">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1" w:name="_Toc22434"/>
      <w:bookmarkStart w:id="22" w:name="_Toc16458"/>
      <w:r>
        <w:rPr>
          <w:rFonts w:hint="eastAsia" w:ascii="宋体" w:hAnsi="宋体"/>
          <w:sz w:val="32"/>
          <w:lang w:val="en-US" w:eastAsia="zh-CN"/>
        </w:rPr>
        <w:t>十七、采购需求表（采购需求表17）</w:t>
      </w:r>
      <w:bookmarkEnd w:id="21"/>
    </w:p>
    <w:p w14:paraId="3C38FA9E">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3" w:name="_Toc7220"/>
      <w:r>
        <w:rPr>
          <w:rFonts w:hint="eastAsia" w:ascii="宋体" w:hAnsi="宋体"/>
          <w:sz w:val="32"/>
          <w:lang w:val="en-US" w:eastAsia="zh-CN"/>
        </w:rPr>
        <w:t>十八、国有资产配置预算表（资产18）</w:t>
      </w:r>
      <w:bookmarkEnd w:id="23"/>
    </w:p>
    <w:p w14:paraId="3D795730">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4" w:name="_Toc3888"/>
      <w:r>
        <w:rPr>
          <w:rFonts w:hint="eastAsia" w:ascii="宋体" w:hAnsi="宋体"/>
          <w:sz w:val="32"/>
          <w:lang w:val="en-US" w:eastAsia="zh-CN"/>
        </w:rPr>
        <w:t>十九、项目支出绩效表（项目绩效19）</w:t>
      </w:r>
      <w:bookmarkEnd w:id="24"/>
    </w:p>
    <w:p w14:paraId="1E45CFC5">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5" w:name="_Toc26130"/>
      <w:r>
        <w:rPr>
          <w:rFonts w:hint="eastAsia" w:ascii="宋体" w:hAnsi="宋体"/>
          <w:sz w:val="32"/>
          <w:lang w:val="en-US" w:eastAsia="zh-CN"/>
        </w:rPr>
        <w:t>二十、部门绩效表（部门绩效20）</w:t>
      </w:r>
      <w:bookmarkEnd w:id="25"/>
    </w:p>
    <w:p w14:paraId="578F68EF">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6" w:name="_Toc15389"/>
      <w:r>
        <w:rPr>
          <w:rFonts w:hint="eastAsia" w:ascii="宋体" w:hAnsi="宋体"/>
          <w:sz w:val="32"/>
          <w:lang w:val="en-US" w:eastAsia="zh-CN"/>
        </w:rPr>
        <w:t>二十一、年初政府采购项目预算表（政府采购项目预算表21）</w:t>
      </w:r>
      <w:bookmarkEnd w:id="26"/>
    </w:p>
    <w:p w14:paraId="00715519">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7" w:name="_Toc11097"/>
      <w:r>
        <w:rPr>
          <w:rFonts w:hint="eastAsia" w:ascii="宋体" w:hAnsi="宋体"/>
          <w:sz w:val="32"/>
          <w:lang w:val="en-US" w:eastAsia="zh-CN"/>
        </w:rPr>
        <w:t>二十二、2026-2028年支出计划总表（三年计划总表22）</w:t>
      </w:r>
      <w:bookmarkEnd w:id="27"/>
    </w:p>
    <w:p w14:paraId="77FCD501">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8" w:name="_Toc17731"/>
      <w:r>
        <w:rPr>
          <w:rFonts w:hint="eastAsia" w:ascii="宋体" w:hAnsi="宋体"/>
          <w:sz w:val="32"/>
          <w:lang w:val="en-US" w:eastAsia="zh-CN"/>
        </w:rPr>
        <w:t>二十三、2026-2028年支出计划明细表（三年计划明细表23）</w:t>
      </w:r>
      <w:bookmarkEnd w:id="28"/>
    </w:p>
    <w:p w14:paraId="59DEA35E">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9" w:name="_Toc19864"/>
      <w:r>
        <w:rPr>
          <w:rFonts w:hint="eastAsia" w:ascii="宋体" w:hAnsi="宋体"/>
          <w:sz w:val="32"/>
          <w:lang w:val="en-US" w:eastAsia="zh-CN"/>
        </w:rPr>
        <w:t>二十四、人员和车辆基本情况表（人员24）</w:t>
      </w:r>
      <w:bookmarkEnd w:id="29"/>
    </w:p>
    <w:p w14:paraId="00158240">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right="660" w:rightChars="300" w:firstLine="643" w:firstLineChars="200"/>
        <w:jc w:val="left"/>
        <w:textAlignment w:val="auto"/>
        <w:outlineLvl w:val="1"/>
        <w:rPr>
          <w:rFonts w:hint="default" w:ascii="宋体" w:hAnsi="宋体"/>
          <w:b/>
          <w:bCs/>
          <w:sz w:val="32"/>
          <w:lang w:val="en-US" w:eastAsia="zh-CN"/>
        </w:rPr>
      </w:pPr>
      <w:bookmarkStart w:id="30" w:name="_Toc19339"/>
      <w:r>
        <w:rPr>
          <w:rFonts w:hint="eastAsia" w:ascii="宋体" w:hAnsi="宋体"/>
          <w:b/>
          <w:bCs/>
          <w:sz w:val="32"/>
          <w:lang w:val="en-US" w:eastAsia="zh-CN"/>
        </w:rPr>
        <w:t>以上所有表格详见部门说明后附件。</w:t>
      </w:r>
      <w:bookmarkEnd w:id="22"/>
      <w:bookmarkEnd w:id="30"/>
    </w:p>
    <w:p w14:paraId="74110F85">
      <w:pPr>
        <w:rPr>
          <w:rFonts w:ascii="宋体" w:hAnsi="宋体"/>
          <w:sz w:val="20"/>
        </w:rPr>
      </w:pPr>
      <w:r>
        <w:rPr>
          <w:rFonts w:ascii="宋体" w:hAnsi="宋体"/>
          <w:sz w:val="20"/>
        </w:rPr>
        <w:br w:type="page"/>
      </w:r>
    </w:p>
    <w:p w14:paraId="3929AEB0">
      <w:pPr>
        <w:pStyle w:val="4"/>
        <w:rPr>
          <w:rFonts w:ascii="宋体" w:hAnsi="宋体"/>
          <w:sz w:val="20"/>
        </w:rPr>
      </w:pPr>
    </w:p>
    <w:p w14:paraId="107738D8">
      <w:pPr>
        <w:pStyle w:val="4"/>
        <w:rPr>
          <w:rFonts w:ascii="宋体" w:hAnsi="宋体"/>
          <w:sz w:val="20"/>
        </w:rPr>
      </w:pPr>
    </w:p>
    <w:p w14:paraId="748FF058">
      <w:pPr>
        <w:pStyle w:val="4"/>
        <w:rPr>
          <w:rFonts w:ascii="宋体" w:hAnsi="宋体"/>
          <w:sz w:val="20"/>
        </w:rPr>
      </w:pPr>
    </w:p>
    <w:p w14:paraId="0DF8E71D">
      <w:pPr>
        <w:pStyle w:val="4"/>
        <w:rPr>
          <w:rFonts w:ascii="宋体" w:hAnsi="宋体"/>
          <w:sz w:val="20"/>
        </w:rPr>
      </w:pPr>
    </w:p>
    <w:p w14:paraId="44C6F9EC">
      <w:pPr>
        <w:pStyle w:val="4"/>
        <w:rPr>
          <w:rFonts w:ascii="宋体" w:hAnsi="宋体"/>
          <w:sz w:val="20"/>
        </w:rPr>
      </w:pPr>
    </w:p>
    <w:p w14:paraId="42B35292">
      <w:pPr>
        <w:pStyle w:val="4"/>
        <w:rPr>
          <w:rFonts w:ascii="宋体" w:hAnsi="宋体"/>
          <w:sz w:val="20"/>
        </w:rPr>
      </w:pPr>
    </w:p>
    <w:p w14:paraId="186DCEDC">
      <w:pPr>
        <w:pStyle w:val="4"/>
        <w:rPr>
          <w:rFonts w:ascii="宋体" w:hAnsi="宋体"/>
          <w:sz w:val="20"/>
        </w:rPr>
      </w:pPr>
    </w:p>
    <w:p w14:paraId="363645DA">
      <w:pPr>
        <w:pStyle w:val="4"/>
        <w:rPr>
          <w:rFonts w:ascii="宋体" w:hAnsi="宋体"/>
          <w:sz w:val="20"/>
        </w:rPr>
      </w:pPr>
    </w:p>
    <w:p w14:paraId="64301BBE">
      <w:pPr>
        <w:pStyle w:val="4"/>
        <w:rPr>
          <w:rFonts w:ascii="宋体" w:hAnsi="宋体"/>
          <w:sz w:val="20"/>
        </w:rPr>
      </w:pPr>
    </w:p>
    <w:p w14:paraId="67C59654">
      <w:pPr>
        <w:pStyle w:val="4"/>
        <w:rPr>
          <w:rFonts w:ascii="宋体" w:hAnsi="宋体"/>
          <w:sz w:val="20"/>
        </w:rPr>
      </w:pPr>
    </w:p>
    <w:p w14:paraId="14F27EB7">
      <w:pPr>
        <w:pStyle w:val="4"/>
        <w:rPr>
          <w:rFonts w:ascii="宋体" w:hAnsi="宋体"/>
          <w:sz w:val="20"/>
        </w:rPr>
      </w:pPr>
    </w:p>
    <w:p w14:paraId="5D83B97C">
      <w:pPr>
        <w:pStyle w:val="4"/>
        <w:rPr>
          <w:rFonts w:ascii="宋体" w:hAnsi="宋体"/>
          <w:sz w:val="20"/>
        </w:rPr>
      </w:pPr>
    </w:p>
    <w:p w14:paraId="61FCCC32">
      <w:pPr>
        <w:pStyle w:val="4"/>
        <w:rPr>
          <w:rFonts w:ascii="宋体" w:hAnsi="宋体"/>
          <w:sz w:val="20"/>
        </w:rPr>
      </w:pPr>
    </w:p>
    <w:p w14:paraId="13D210A1">
      <w:pPr>
        <w:pStyle w:val="4"/>
        <w:rPr>
          <w:rFonts w:ascii="宋体" w:hAnsi="宋体"/>
          <w:sz w:val="20"/>
        </w:rPr>
      </w:pPr>
    </w:p>
    <w:p w14:paraId="0F71E0FF">
      <w:pPr>
        <w:pStyle w:val="4"/>
        <w:rPr>
          <w:rFonts w:ascii="宋体" w:hAnsi="宋体"/>
          <w:sz w:val="20"/>
        </w:rPr>
      </w:pPr>
    </w:p>
    <w:p w14:paraId="1E681142">
      <w:pPr>
        <w:pStyle w:val="4"/>
        <w:rPr>
          <w:rFonts w:ascii="宋体" w:hAnsi="宋体"/>
          <w:sz w:val="20"/>
        </w:rPr>
      </w:pPr>
    </w:p>
    <w:p w14:paraId="51894AD6">
      <w:pPr>
        <w:pStyle w:val="4"/>
        <w:rPr>
          <w:rFonts w:ascii="宋体" w:hAnsi="宋体"/>
          <w:sz w:val="20"/>
        </w:rPr>
      </w:pPr>
    </w:p>
    <w:p w14:paraId="3BDE23E7">
      <w:pPr>
        <w:pStyle w:val="4"/>
        <w:rPr>
          <w:rFonts w:ascii="宋体" w:hAnsi="宋体"/>
          <w:sz w:val="20"/>
        </w:rPr>
      </w:pPr>
    </w:p>
    <w:p w14:paraId="142DFA00">
      <w:pPr>
        <w:pStyle w:val="4"/>
        <w:rPr>
          <w:rFonts w:ascii="宋体" w:hAnsi="宋体"/>
          <w:sz w:val="20"/>
        </w:rPr>
      </w:pPr>
    </w:p>
    <w:p w14:paraId="56A9BA10">
      <w:pPr>
        <w:pStyle w:val="4"/>
        <w:rPr>
          <w:rFonts w:ascii="宋体" w:hAnsi="宋体"/>
          <w:sz w:val="20"/>
        </w:rPr>
      </w:pPr>
    </w:p>
    <w:p w14:paraId="1E93E204">
      <w:pPr>
        <w:pStyle w:val="4"/>
        <w:rPr>
          <w:rFonts w:ascii="宋体" w:hAnsi="宋体"/>
          <w:sz w:val="20"/>
        </w:rPr>
      </w:pPr>
    </w:p>
    <w:p w14:paraId="487DDC95">
      <w:pPr>
        <w:pStyle w:val="4"/>
        <w:rPr>
          <w:rFonts w:ascii="宋体" w:hAnsi="宋体"/>
          <w:sz w:val="20"/>
        </w:rPr>
      </w:pPr>
    </w:p>
    <w:p w14:paraId="4541A68A">
      <w:pPr>
        <w:pStyle w:val="4"/>
        <w:numPr>
          <w:ilvl w:val="0"/>
          <w:numId w:val="2"/>
        </w:numPr>
        <w:spacing w:before="6"/>
        <w:ind w:left="0" w:leftChars="0" w:firstLine="0" w:firstLineChars="0"/>
        <w:jc w:val="center"/>
        <w:outlineLvl w:val="0"/>
        <w:rPr>
          <w:rFonts w:hint="eastAsia" w:ascii="宋体" w:hAnsi="宋体" w:eastAsia="方正小标宋简体" w:cs="方正小标宋简体"/>
          <w:sz w:val="52"/>
          <w:szCs w:val="52"/>
          <w:lang w:val="en-US" w:eastAsia="zh-CN"/>
        </w:rPr>
      </w:pPr>
      <w:bookmarkStart w:id="31" w:name="_Toc330"/>
      <w:r>
        <w:rPr>
          <w:rFonts w:hint="eastAsia" w:ascii="宋体" w:hAnsi="宋体" w:eastAsia="方正小标宋简体" w:cs="方正小标宋简体"/>
          <w:sz w:val="52"/>
          <w:szCs w:val="52"/>
          <w:lang w:val="en-US" w:eastAsia="zh-CN"/>
        </w:rPr>
        <w:t>司法局2026年</w:t>
      </w:r>
      <w:bookmarkEnd w:id="31"/>
    </w:p>
    <w:p w14:paraId="1EE437CE">
      <w:pPr>
        <w:pStyle w:val="4"/>
        <w:numPr>
          <w:ilvl w:val="0"/>
          <w:numId w:val="0"/>
        </w:numPr>
        <w:spacing w:before="6"/>
        <w:ind w:leftChars="0" w:right="0" w:rightChars="0"/>
        <w:jc w:val="center"/>
        <w:outlineLvl w:val="1"/>
        <w:rPr>
          <w:rFonts w:hint="default" w:ascii="宋体" w:hAnsi="宋体"/>
          <w:sz w:val="20"/>
          <w:lang w:val="en-US"/>
        </w:rPr>
        <w:sectPr>
          <w:headerReference r:id="rId8" w:type="default"/>
          <w:pgSz w:w="11910" w:h="16840"/>
          <w:pgMar w:top="1587" w:right="964" w:bottom="1701" w:left="1134" w:header="737" w:footer="737" w:gutter="0"/>
          <w:pgNumType w:fmt="decimal"/>
          <w:cols w:space="0" w:num="1"/>
          <w:rtlGutter w:val="0"/>
          <w:docGrid w:linePitch="0" w:charSpace="0"/>
        </w:sectPr>
      </w:pPr>
      <w:bookmarkStart w:id="32" w:name="_Toc13299"/>
      <w:bookmarkStart w:id="33" w:name="_Toc1047"/>
      <w:r>
        <w:rPr>
          <w:rFonts w:hint="eastAsia" w:ascii="宋体" w:hAnsi="宋体" w:eastAsia="方正小标宋简体" w:cs="方正小标宋简体"/>
          <w:sz w:val="52"/>
          <w:szCs w:val="52"/>
          <w:lang w:val="en-US" w:eastAsia="zh-CN"/>
        </w:rPr>
        <w:t>部门预算情况说明</w:t>
      </w:r>
      <w:bookmarkEnd w:id="32"/>
      <w:bookmarkEnd w:id="33"/>
    </w:p>
    <w:p w14:paraId="750B2461">
      <w:pPr>
        <w:pStyle w:val="4"/>
        <w:keepNext w:val="0"/>
        <w:keepLines w:val="0"/>
        <w:pageBreakBefore w:val="0"/>
        <w:widowControl w:val="0"/>
        <w:kinsoku/>
        <w:wordWrap/>
        <w:overflowPunct/>
        <w:topLinePunct w:val="0"/>
        <w:autoSpaceDE w:val="0"/>
        <w:autoSpaceDN w:val="0"/>
        <w:bidi w:val="0"/>
        <w:adjustRightInd/>
        <w:snapToGrid/>
        <w:spacing w:before="40" w:after="0" w:afterLines="50"/>
        <w:textAlignment w:val="auto"/>
        <w:rPr>
          <w:rFonts w:hint="eastAsia" w:ascii="宋体" w:hAnsi="宋体" w:eastAsia="黑体"/>
          <w:color w:val="333333"/>
        </w:rPr>
      </w:pPr>
    </w:p>
    <w:p w14:paraId="0376D47D">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4" w:name="_Toc14393"/>
      <w:r>
        <w:rPr>
          <w:rFonts w:hint="eastAsia" w:ascii="宋体" w:hAnsi="宋体" w:eastAsia="黑体"/>
          <w:color w:val="333333"/>
        </w:rPr>
        <w:t>一、收支预算情况说明</w:t>
      </w:r>
      <w:bookmarkEnd w:id="34"/>
    </w:p>
    <w:p w14:paraId="46E28B32">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按照综合预算的原则，乐山市五通桥区司法局部门所有收入和支出均纳入部门预算管理。收入包括：一般公共预算拨款收入、上年结转结余；支出包括：公共安全支出、社会保障和就业支出、卫生健康支出、住房保障支出。乐山市五通桥区司法局部门2026年收支预算总数901.89万元,比2025年收支预算总数819.04万元增加82.85万元。主要原因：一是公共安全支出比上年增加65.44万元；二是社会保障和就业支出比上年增加10.38万元；三是卫生健康支出比上年增加2.26万元；四是住房保障支出比上年增加4.77万元。</w:t>
      </w:r>
    </w:p>
    <w:p w14:paraId="02818A86">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5" w:name="_Toc20181"/>
      <w:r>
        <w:rPr>
          <w:rFonts w:ascii="宋体" w:hAnsi="宋体"/>
        </w:rPr>
        <w:t>（一）收入预算情况</w:t>
      </w:r>
      <w:bookmarkEnd w:id="35"/>
    </w:p>
    <w:p w14:paraId="2C8A3AF2">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五通桥区司法局部门2026年收入预算901.89万元，其中：上年结转34.88万元，占3.87%；一般公共预算拨款收入867.01万元，占96.13%。</w:t>
      </w:r>
    </w:p>
    <w:p w14:paraId="2ABF254D">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6" w:name="_Toc30757"/>
      <w:r>
        <w:rPr>
          <w:rFonts w:ascii="宋体" w:hAnsi="宋体"/>
        </w:rPr>
        <w:t>（二）支出预算情况</w:t>
      </w:r>
      <w:bookmarkEnd w:id="36"/>
    </w:p>
    <w:p w14:paraId="76FF5667">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五通桥区司法局部门2026年支出预算901.89万元，其中：人员支出636.62万元，日常公用支出133.74万元，对个人和家庭的补助支出17.65万元，专项支出113.88万元。</w:t>
      </w:r>
    </w:p>
    <w:p w14:paraId="00ED1318">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7" w:name="_Toc28286"/>
      <w:r>
        <w:rPr>
          <w:rFonts w:hint="eastAsia" w:ascii="宋体" w:hAnsi="宋体" w:eastAsia="黑体"/>
          <w:color w:val="333333"/>
        </w:rPr>
        <w:t>二、财政拨款收支预算情况说明</w:t>
      </w:r>
      <w:bookmarkEnd w:id="37"/>
    </w:p>
    <w:p w14:paraId="29438AAD">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司法局部门2026年财政拨款收支预算总数901.89万元,比2025年财政拨款收支预算总数819.04万元增加82.85万元。主要原因：一是公共安全支出比上年增加65.44万元；二是社会保障和就业支出比上年增加10.38万元；三是卫生健康支出比上年增加2.26万元；四是住房保障支出比上年增加4.77万元。</w:t>
      </w:r>
    </w:p>
    <w:p w14:paraId="47B19F59">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其中：基本支出788.01万元，占87.37%；项目支出113.88万元，占12.63%。</w:t>
      </w:r>
    </w:p>
    <w:p w14:paraId="69BEC3B5">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基本支出，是用于保障司法局机关、下属事业单位等机构正常运转的日常支出，包括基本工资、津贴补贴等人员经费以及办公费、印刷费、水电费、办公设备购置等日常公用经费。</w:t>
      </w:r>
    </w:p>
    <w:p w14:paraId="7BED7C2B">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项目支出，是用于保障司法局机关、下属事业单位等机构为完成特定的行政工作任务或事业发展目标，用于专项业务工作的经费支出。</w:t>
      </w:r>
    </w:p>
    <w:p w14:paraId="3A00B498">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8" w:name="_Toc18314"/>
      <w:r>
        <w:rPr>
          <w:rFonts w:hint="eastAsia" w:ascii="宋体" w:hAnsi="宋体" w:eastAsia="黑体"/>
          <w:color w:val="333333"/>
        </w:rPr>
        <w:t>三、一般公共预算当年拨款情况说明</w:t>
      </w:r>
      <w:bookmarkEnd w:id="38"/>
    </w:p>
    <w:p w14:paraId="1DBB31A1">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9" w:name="_Toc3917"/>
      <w:r>
        <w:rPr>
          <w:rFonts w:ascii="宋体" w:hAnsi="宋体"/>
        </w:rPr>
        <w:t>（一）一般公共预算当年拨款规模变化情况</w:t>
      </w:r>
      <w:bookmarkEnd w:id="39"/>
    </w:p>
    <w:p w14:paraId="1725B4A6">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司法局部门2026年一般公共预算当年拨款901.89万元，比2025年财政拨款收支预算总数819.04万元增加82.85万元。主要原因：一是公共安全支出比上年增加65.44万元；二是社会保障和就业支出比上年增加10.38万元；三是卫生健康支出比上年增加2.26万元；四是住房保障支出比上年增加4.77万元。</w:t>
      </w:r>
    </w:p>
    <w:p w14:paraId="0A701D18">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0" w:name="_Toc27070"/>
      <w:r>
        <w:rPr>
          <w:rFonts w:ascii="宋体" w:hAnsi="宋体"/>
        </w:rPr>
        <w:t>（二）一般公共预算当年拨款结构情况</w:t>
      </w:r>
      <w:bookmarkEnd w:id="40"/>
    </w:p>
    <w:p w14:paraId="6E9E308A">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五通桥区司法局部门2026年一般公共预算支出901.89万元，主要包括公共安全支出693.91万元，占76.94%；社会保障和就业支出123.61万元，占13.70%；卫生健康支出26.03万元，占2.89%；住房保障支出58.34万元，占6.47%。</w:t>
      </w:r>
    </w:p>
    <w:p w14:paraId="0C9D2D4A">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highlight w:val="yellow"/>
          <w:lang w:eastAsia="zh-CN"/>
        </w:rPr>
      </w:pPr>
      <w:bookmarkStart w:id="41" w:name="_Toc1521"/>
      <w:r>
        <w:rPr>
          <w:rFonts w:ascii="宋体" w:hAnsi="宋体"/>
        </w:rPr>
        <w:t>（三）一般公共预算当年拨款具体使用情况</w:t>
      </w:r>
      <w:bookmarkEnd w:id="41"/>
    </w:p>
    <w:p w14:paraId="0048D605">
      <w:pPr>
        <w:keepNext w:val="0"/>
        <w:keepLines w:val="0"/>
        <w:pageBreakBefore w:val="0"/>
        <w:widowControl w:val="0"/>
        <w:kinsoku/>
        <w:wordWrap/>
        <w:overflowPunct/>
        <w:autoSpaceDE w:val="0"/>
        <w:autoSpaceDN w:val="0"/>
        <w:bidi w:val="0"/>
        <w:adjustRightInd w:val="0"/>
        <w:snapToGrid/>
        <w:spacing w:line="360" w:lineRule="auto"/>
        <w:ind w:left="638" w:leftChars="290" w:firstLine="640" w:firstLineChars="200"/>
        <w:jc w:val="left"/>
        <w:textAlignment w:val="auto"/>
        <w:rPr>
          <w:rFonts w:hint="eastAsia" w:ascii="宋体" w:hAnsi="宋体" w:eastAsia="仿宋_GB2312" w:cs="仿宋_GB2312"/>
          <w:sz w:val="32"/>
          <w:szCs w:val="22"/>
          <w:lang w:val="en-US" w:eastAsia="zh-CN" w:bidi="zh-CN"/>
        </w:rPr>
      </w:pPr>
      <w:r>
        <w:rPr>
          <w:rFonts w:hint="eastAsia" w:ascii="宋体" w:hAnsi="宋体" w:eastAsia="仿宋_GB2312" w:cs="仿宋_GB2312"/>
          <w:sz w:val="32"/>
          <w:szCs w:val="22"/>
          <w:lang w:val="en-US" w:eastAsia="zh-CN" w:bidi="zh-CN"/>
        </w:rPr>
        <w:t>1.公共安全（类）司法（款）行政运行（项）：202</w:t>
      </w:r>
      <w:r>
        <w:rPr>
          <w:rFonts w:hint="eastAsia" w:eastAsia="仿宋_GB2312" w:cs="仿宋_GB2312"/>
          <w:sz w:val="32"/>
          <w:szCs w:val="22"/>
          <w:lang w:val="en-US" w:eastAsia="zh-CN" w:bidi="zh-CN"/>
        </w:rPr>
        <w:t>6</w:t>
      </w:r>
      <w:r>
        <w:rPr>
          <w:rFonts w:hint="eastAsia" w:ascii="宋体" w:hAnsi="宋体" w:eastAsia="仿宋_GB2312" w:cs="仿宋_GB2312"/>
          <w:sz w:val="32"/>
          <w:szCs w:val="22"/>
          <w:lang w:val="en-US" w:eastAsia="zh-CN" w:bidi="zh-CN"/>
        </w:rPr>
        <w:t>年预算数为</w:t>
      </w:r>
      <w:r>
        <w:rPr>
          <w:rFonts w:hint="eastAsia" w:eastAsia="仿宋_GB2312" w:cs="仿宋_GB2312"/>
          <w:sz w:val="32"/>
          <w:szCs w:val="22"/>
          <w:lang w:val="en-US" w:eastAsia="zh-CN" w:bidi="zh-CN"/>
        </w:rPr>
        <w:t>580.03</w:t>
      </w:r>
      <w:r>
        <w:rPr>
          <w:rFonts w:hint="eastAsia" w:ascii="宋体" w:hAnsi="宋体" w:eastAsia="仿宋_GB2312" w:cs="仿宋_GB2312"/>
          <w:sz w:val="32"/>
          <w:szCs w:val="22"/>
          <w:lang w:val="en-US" w:eastAsia="zh-CN" w:bidi="zh-CN"/>
        </w:rPr>
        <w:t xml:space="preserve">万元，主要用于：机关及参公管理事业单位正常运转的基本支出，包括基本工资、津贴补贴等人员经费以及办公费、印刷费、水电费等日常公用经费。 </w:t>
      </w:r>
    </w:p>
    <w:p w14:paraId="23D724AA">
      <w:pPr>
        <w:keepNext w:val="0"/>
        <w:keepLines w:val="0"/>
        <w:pageBreakBefore w:val="0"/>
        <w:widowControl w:val="0"/>
        <w:kinsoku/>
        <w:wordWrap/>
        <w:overflowPunct/>
        <w:autoSpaceDE w:val="0"/>
        <w:autoSpaceDN w:val="0"/>
        <w:bidi w:val="0"/>
        <w:adjustRightInd w:val="0"/>
        <w:snapToGrid/>
        <w:spacing w:line="360" w:lineRule="auto"/>
        <w:ind w:left="638" w:leftChars="290" w:firstLine="640" w:firstLineChars="200"/>
        <w:jc w:val="left"/>
        <w:textAlignment w:val="auto"/>
        <w:rPr>
          <w:rFonts w:hint="eastAsia" w:ascii="宋体" w:hAnsi="宋体" w:eastAsia="仿宋_GB2312" w:cs="仿宋_GB2312"/>
          <w:sz w:val="32"/>
          <w:szCs w:val="22"/>
          <w:lang w:val="en-US" w:eastAsia="zh-CN" w:bidi="zh-CN"/>
        </w:rPr>
      </w:pPr>
      <w:r>
        <w:rPr>
          <w:rFonts w:hint="eastAsia" w:ascii="宋体" w:hAnsi="宋体" w:eastAsia="仿宋_GB2312" w:cs="仿宋_GB2312"/>
          <w:sz w:val="32"/>
          <w:szCs w:val="22"/>
          <w:lang w:val="en-US" w:eastAsia="zh-CN" w:bidi="zh-CN"/>
        </w:rPr>
        <w:t>2、公共安全（类）司法（款）一般行政管理事务（项）：202</w:t>
      </w:r>
      <w:r>
        <w:rPr>
          <w:rFonts w:hint="eastAsia" w:eastAsia="仿宋_GB2312" w:cs="仿宋_GB2312"/>
          <w:sz w:val="32"/>
          <w:szCs w:val="22"/>
          <w:lang w:val="en-US" w:eastAsia="zh-CN" w:bidi="zh-CN"/>
        </w:rPr>
        <w:t>6</w:t>
      </w:r>
      <w:r>
        <w:rPr>
          <w:rFonts w:hint="eastAsia" w:ascii="宋体" w:hAnsi="宋体" w:eastAsia="仿宋_GB2312" w:cs="仿宋_GB2312"/>
          <w:sz w:val="32"/>
          <w:szCs w:val="22"/>
          <w:lang w:val="en-US" w:eastAsia="zh-CN" w:bidi="zh-CN"/>
        </w:rPr>
        <w:t>年预算数为</w:t>
      </w:r>
      <w:r>
        <w:rPr>
          <w:rFonts w:hint="eastAsia" w:eastAsia="仿宋_GB2312" w:cs="仿宋_GB2312"/>
          <w:sz w:val="32"/>
          <w:szCs w:val="22"/>
          <w:lang w:val="en-US" w:eastAsia="zh-CN" w:bidi="zh-CN"/>
        </w:rPr>
        <w:t>84.02</w:t>
      </w:r>
      <w:r>
        <w:rPr>
          <w:rFonts w:hint="eastAsia" w:ascii="宋体" w:hAnsi="宋体" w:eastAsia="仿宋_GB2312" w:cs="仿宋_GB2312"/>
          <w:sz w:val="32"/>
          <w:szCs w:val="22"/>
          <w:lang w:val="en-US" w:eastAsia="zh-CN" w:bidi="zh-CN"/>
        </w:rPr>
        <w:t>万元，主要用于：区法律顾问咨询（服务）统筹管理相关法律顾问工作经费支出。</w:t>
      </w:r>
    </w:p>
    <w:p w14:paraId="62B8DA65">
      <w:pPr>
        <w:keepNext w:val="0"/>
        <w:keepLines w:val="0"/>
        <w:pageBreakBefore w:val="0"/>
        <w:widowControl w:val="0"/>
        <w:kinsoku/>
        <w:wordWrap/>
        <w:overflowPunct/>
        <w:autoSpaceDE w:val="0"/>
        <w:autoSpaceDN w:val="0"/>
        <w:bidi w:val="0"/>
        <w:adjustRightInd w:val="0"/>
        <w:snapToGrid/>
        <w:spacing w:line="360" w:lineRule="auto"/>
        <w:ind w:left="638" w:leftChars="290" w:firstLine="640" w:firstLineChars="200"/>
        <w:jc w:val="left"/>
        <w:textAlignment w:val="auto"/>
        <w:rPr>
          <w:rFonts w:hint="eastAsia" w:ascii="宋体" w:hAnsi="宋体" w:eastAsia="仿宋_GB2312" w:cs="仿宋_GB2312"/>
          <w:sz w:val="32"/>
          <w:szCs w:val="22"/>
          <w:lang w:val="en-US" w:eastAsia="zh-CN" w:bidi="zh-CN"/>
        </w:rPr>
      </w:pPr>
      <w:r>
        <w:rPr>
          <w:rFonts w:hint="eastAsia" w:ascii="宋体" w:hAnsi="宋体" w:eastAsia="仿宋_GB2312" w:cs="仿宋_GB2312"/>
          <w:sz w:val="32"/>
          <w:szCs w:val="22"/>
          <w:lang w:val="en-US" w:eastAsia="zh-CN" w:bidi="zh-CN"/>
        </w:rPr>
        <w:t>3、公共安全（类）司法（款）基层司法业务（项）：20</w:t>
      </w:r>
      <w:r>
        <w:rPr>
          <w:rFonts w:hint="eastAsia" w:eastAsia="仿宋_GB2312" w:cs="仿宋_GB2312"/>
          <w:sz w:val="32"/>
          <w:szCs w:val="22"/>
          <w:lang w:val="en-US" w:eastAsia="zh-CN" w:bidi="zh-CN"/>
        </w:rPr>
        <w:t>26</w:t>
      </w:r>
      <w:r>
        <w:rPr>
          <w:rFonts w:hint="eastAsia" w:ascii="宋体" w:hAnsi="宋体" w:eastAsia="仿宋_GB2312" w:cs="仿宋_GB2312"/>
          <w:sz w:val="32"/>
          <w:szCs w:val="22"/>
          <w:lang w:val="en-US" w:eastAsia="zh-CN" w:bidi="zh-CN"/>
        </w:rPr>
        <w:t>年预算数为20</w:t>
      </w:r>
      <w:r>
        <w:rPr>
          <w:rFonts w:hint="eastAsia" w:eastAsia="仿宋_GB2312" w:cs="仿宋_GB2312"/>
          <w:sz w:val="32"/>
          <w:szCs w:val="22"/>
          <w:lang w:val="en-US" w:eastAsia="zh-CN" w:bidi="zh-CN"/>
        </w:rPr>
        <w:t>.00</w:t>
      </w:r>
      <w:r>
        <w:rPr>
          <w:rFonts w:hint="eastAsia" w:ascii="宋体" w:hAnsi="宋体" w:eastAsia="仿宋_GB2312" w:cs="仿宋_GB2312"/>
          <w:sz w:val="32"/>
          <w:szCs w:val="22"/>
          <w:lang w:val="en-US" w:eastAsia="zh-CN" w:bidi="zh-CN"/>
        </w:rPr>
        <w:t>万元，主要用于基层业务的支出。包括普法宣传、基层人民调解、安置帮教、司法所、社区矫正和公共法律服务等工作的经费支出。</w:t>
      </w:r>
    </w:p>
    <w:p w14:paraId="225E0757">
      <w:pPr>
        <w:keepNext w:val="0"/>
        <w:keepLines w:val="0"/>
        <w:pageBreakBefore w:val="0"/>
        <w:widowControl w:val="0"/>
        <w:kinsoku/>
        <w:wordWrap/>
        <w:overflowPunct/>
        <w:autoSpaceDE w:val="0"/>
        <w:autoSpaceDN w:val="0"/>
        <w:bidi w:val="0"/>
        <w:adjustRightInd w:val="0"/>
        <w:snapToGrid/>
        <w:spacing w:line="360" w:lineRule="auto"/>
        <w:ind w:left="638" w:leftChars="290" w:firstLine="640" w:firstLineChars="200"/>
        <w:jc w:val="left"/>
        <w:textAlignment w:val="auto"/>
        <w:rPr>
          <w:rFonts w:hint="eastAsia" w:ascii="宋体" w:hAnsi="宋体" w:eastAsia="仿宋_GB2312" w:cs="仿宋_GB2312"/>
          <w:sz w:val="32"/>
          <w:szCs w:val="22"/>
          <w:lang w:val="en-US" w:eastAsia="zh-CN" w:bidi="zh-CN"/>
        </w:rPr>
      </w:pPr>
      <w:r>
        <w:rPr>
          <w:rFonts w:hint="eastAsia" w:ascii="宋体" w:hAnsi="宋体" w:eastAsia="仿宋_GB2312" w:cs="仿宋_GB2312"/>
          <w:sz w:val="32"/>
          <w:szCs w:val="22"/>
          <w:lang w:val="en-US" w:eastAsia="zh-CN" w:bidi="zh-CN"/>
        </w:rPr>
        <w:t>4.公共安全（类）司法（款）普法宣传（项）：202</w:t>
      </w:r>
      <w:r>
        <w:rPr>
          <w:rFonts w:hint="eastAsia" w:eastAsia="仿宋_GB2312" w:cs="仿宋_GB2312"/>
          <w:sz w:val="32"/>
          <w:szCs w:val="22"/>
          <w:lang w:val="en-US" w:eastAsia="zh-CN" w:bidi="zh-CN"/>
        </w:rPr>
        <w:t>6</w:t>
      </w:r>
      <w:r>
        <w:rPr>
          <w:rFonts w:hint="eastAsia" w:ascii="宋体" w:hAnsi="宋体" w:eastAsia="仿宋_GB2312" w:cs="仿宋_GB2312"/>
          <w:sz w:val="32"/>
          <w:szCs w:val="22"/>
          <w:lang w:val="en-US" w:eastAsia="zh-CN" w:bidi="zh-CN"/>
        </w:rPr>
        <w:t>年预算数为</w:t>
      </w:r>
      <w:r>
        <w:rPr>
          <w:rFonts w:hint="eastAsia" w:eastAsia="仿宋_GB2312" w:cs="仿宋_GB2312"/>
          <w:sz w:val="32"/>
          <w:szCs w:val="22"/>
          <w:lang w:val="en-US" w:eastAsia="zh-CN" w:bidi="zh-CN"/>
        </w:rPr>
        <w:t>2.00</w:t>
      </w:r>
      <w:r>
        <w:rPr>
          <w:rFonts w:hint="eastAsia" w:ascii="宋体" w:hAnsi="宋体" w:eastAsia="仿宋_GB2312" w:cs="仿宋_GB2312"/>
          <w:sz w:val="32"/>
          <w:szCs w:val="22"/>
          <w:lang w:val="en-US" w:eastAsia="zh-CN" w:bidi="zh-CN"/>
        </w:rPr>
        <w:t>万元，主要用于普法宣传的支出。包括普法宣传等工作的经费支出。</w:t>
      </w:r>
    </w:p>
    <w:p w14:paraId="35C1BC26">
      <w:pPr>
        <w:keepNext w:val="0"/>
        <w:keepLines w:val="0"/>
        <w:pageBreakBefore w:val="0"/>
        <w:widowControl w:val="0"/>
        <w:kinsoku/>
        <w:wordWrap/>
        <w:overflowPunct/>
        <w:autoSpaceDE w:val="0"/>
        <w:autoSpaceDN w:val="0"/>
        <w:bidi w:val="0"/>
        <w:adjustRightInd w:val="0"/>
        <w:snapToGrid/>
        <w:spacing w:line="360" w:lineRule="auto"/>
        <w:ind w:left="638" w:leftChars="290" w:firstLine="640" w:firstLineChars="200"/>
        <w:jc w:val="left"/>
        <w:textAlignment w:val="auto"/>
        <w:rPr>
          <w:rFonts w:hint="eastAsia" w:ascii="宋体" w:hAnsi="宋体" w:eastAsia="仿宋_GB2312" w:cs="仿宋_GB2312"/>
          <w:sz w:val="32"/>
          <w:szCs w:val="22"/>
          <w:lang w:val="en-US" w:eastAsia="zh-CN" w:bidi="zh-CN"/>
        </w:rPr>
      </w:pPr>
      <w:r>
        <w:rPr>
          <w:rFonts w:hint="eastAsia" w:ascii="宋体" w:hAnsi="宋体" w:eastAsia="仿宋_GB2312" w:cs="仿宋_GB2312"/>
          <w:sz w:val="32"/>
          <w:szCs w:val="22"/>
          <w:lang w:val="en-US" w:eastAsia="zh-CN" w:bidi="zh-CN"/>
        </w:rPr>
        <w:t>5.公共安全（类）司法（款）公共法律服务（项）：20</w:t>
      </w:r>
      <w:r>
        <w:rPr>
          <w:rFonts w:hint="eastAsia" w:eastAsia="仿宋_GB2312" w:cs="仿宋_GB2312"/>
          <w:sz w:val="32"/>
          <w:szCs w:val="22"/>
          <w:lang w:val="en-US" w:eastAsia="zh-CN" w:bidi="zh-CN"/>
        </w:rPr>
        <w:t>26</w:t>
      </w:r>
      <w:r>
        <w:rPr>
          <w:rFonts w:hint="eastAsia" w:ascii="宋体" w:hAnsi="宋体" w:eastAsia="仿宋_GB2312" w:cs="仿宋_GB2312"/>
          <w:sz w:val="32"/>
          <w:szCs w:val="22"/>
          <w:lang w:val="en-US" w:eastAsia="zh-CN" w:bidi="zh-CN"/>
        </w:rPr>
        <w:t>年预算数为</w:t>
      </w:r>
      <w:r>
        <w:rPr>
          <w:rFonts w:hint="eastAsia" w:eastAsia="仿宋_GB2312" w:cs="仿宋_GB2312"/>
          <w:sz w:val="32"/>
          <w:szCs w:val="22"/>
          <w:lang w:val="en-US" w:eastAsia="zh-CN" w:bidi="zh-CN"/>
        </w:rPr>
        <w:t>2.86</w:t>
      </w:r>
      <w:r>
        <w:rPr>
          <w:rFonts w:hint="eastAsia" w:ascii="宋体" w:hAnsi="宋体" w:eastAsia="仿宋_GB2312" w:cs="仿宋_GB2312"/>
          <w:sz w:val="32"/>
          <w:szCs w:val="22"/>
          <w:lang w:val="en-US" w:eastAsia="zh-CN" w:bidi="zh-CN"/>
        </w:rPr>
        <w:t>万元，主要用于：开展公共法律服务方面专门性工作任务的项目支出。</w:t>
      </w:r>
    </w:p>
    <w:p w14:paraId="3F805FAB">
      <w:pPr>
        <w:keepNext w:val="0"/>
        <w:keepLines w:val="0"/>
        <w:pageBreakBefore w:val="0"/>
        <w:widowControl w:val="0"/>
        <w:kinsoku/>
        <w:wordWrap/>
        <w:overflowPunct/>
        <w:autoSpaceDE w:val="0"/>
        <w:autoSpaceDN w:val="0"/>
        <w:bidi w:val="0"/>
        <w:adjustRightInd w:val="0"/>
        <w:snapToGrid/>
        <w:spacing w:line="360" w:lineRule="auto"/>
        <w:ind w:left="638" w:leftChars="290" w:firstLine="640" w:firstLineChars="200"/>
        <w:jc w:val="left"/>
        <w:textAlignment w:val="auto"/>
        <w:rPr>
          <w:rFonts w:hint="eastAsia" w:ascii="宋体" w:hAnsi="宋体" w:eastAsia="仿宋_GB2312" w:cs="仿宋_GB2312"/>
          <w:sz w:val="32"/>
          <w:szCs w:val="22"/>
          <w:lang w:val="en-US" w:eastAsia="zh-CN" w:bidi="zh-CN"/>
        </w:rPr>
      </w:pPr>
      <w:r>
        <w:rPr>
          <w:rFonts w:hint="eastAsia" w:ascii="宋体" w:hAnsi="宋体" w:eastAsia="仿宋_GB2312" w:cs="仿宋_GB2312"/>
          <w:sz w:val="32"/>
          <w:szCs w:val="22"/>
          <w:lang w:val="en-US" w:eastAsia="zh-CN" w:bidi="zh-CN"/>
        </w:rPr>
        <w:t>6.公共安全（类）司法（款）法治建设（项）：20</w:t>
      </w:r>
      <w:r>
        <w:rPr>
          <w:rFonts w:hint="eastAsia" w:eastAsia="仿宋_GB2312" w:cs="仿宋_GB2312"/>
          <w:sz w:val="32"/>
          <w:szCs w:val="22"/>
          <w:lang w:val="en-US" w:eastAsia="zh-CN" w:bidi="zh-CN"/>
        </w:rPr>
        <w:t>26</w:t>
      </w:r>
      <w:r>
        <w:rPr>
          <w:rFonts w:hint="eastAsia" w:ascii="宋体" w:hAnsi="宋体" w:eastAsia="仿宋_GB2312" w:cs="仿宋_GB2312"/>
          <w:sz w:val="32"/>
          <w:szCs w:val="22"/>
          <w:lang w:val="en-US" w:eastAsia="zh-CN" w:bidi="zh-CN"/>
        </w:rPr>
        <w:t>预算数为5.00万元，主要用于：开展法治建设方面专门性工作任务的项目支出。</w:t>
      </w:r>
    </w:p>
    <w:p w14:paraId="0C10FA2C">
      <w:pPr>
        <w:keepNext w:val="0"/>
        <w:keepLines w:val="0"/>
        <w:pageBreakBefore w:val="0"/>
        <w:widowControl w:val="0"/>
        <w:kinsoku/>
        <w:wordWrap/>
        <w:overflowPunct/>
        <w:autoSpaceDE w:val="0"/>
        <w:autoSpaceDN w:val="0"/>
        <w:bidi w:val="0"/>
        <w:adjustRightInd w:val="0"/>
        <w:snapToGrid/>
        <w:spacing w:line="360" w:lineRule="auto"/>
        <w:ind w:left="638" w:leftChars="290" w:firstLine="640" w:firstLineChars="200"/>
        <w:jc w:val="left"/>
        <w:textAlignment w:val="auto"/>
        <w:rPr>
          <w:rFonts w:hint="eastAsia" w:ascii="宋体" w:hAnsi="宋体" w:eastAsia="仿宋_GB2312" w:cs="仿宋_GB2312"/>
          <w:sz w:val="32"/>
          <w:szCs w:val="22"/>
          <w:lang w:val="en-US" w:eastAsia="zh-CN" w:bidi="zh-CN"/>
        </w:rPr>
      </w:pPr>
      <w:r>
        <w:rPr>
          <w:rFonts w:hint="eastAsia" w:ascii="宋体" w:hAnsi="宋体" w:eastAsia="仿宋_GB2312" w:cs="仿宋_GB2312"/>
          <w:sz w:val="32"/>
          <w:szCs w:val="22"/>
          <w:lang w:val="en-US" w:eastAsia="zh-CN" w:bidi="zh-CN"/>
        </w:rPr>
        <w:t>7.社会保障和就业（类）行政事业单位离退休（款）机关事业单位基本养老保险缴费支出（项）：20</w:t>
      </w:r>
      <w:r>
        <w:rPr>
          <w:rFonts w:hint="eastAsia" w:eastAsia="仿宋_GB2312" w:cs="仿宋_GB2312"/>
          <w:sz w:val="32"/>
          <w:szCs w:val="22"/>
          <w:lang w:val="en-US" w:eastAsia="zh-CN" w:bidi="zh-CN"/>
        </w:rPr>
        <w:t>26</w:t>
      </w:r>
      <w:r>
        <w:rPr>
          <w:rFonts w:hint="eastAsia" w:ascii="宋体" w:hAnsi="宋体" w:eastAsia="仿宋_GB2312" w:cs="仿宋_GB2312"/>
          <w:sz w:val="32"/>
          <w:szCs w:val="22"/>
          <w:lang w:val="en-US" w:eastAsia="zh-CN" w:bidi="zh-CN"/>
        </w:rPr>
        <w:t>年预算数为</w:t>
      </w:r>
      <w:r>
        <w:rPr>
          <w:rFonts w:hint="eastAsia" w:ascii="宋体" w:hAnsi="宋体"/>
          <w:sz w:val="32"/>
          <w:lang w:val="en-US" w:eastAsia="zh-CN"/>
        </w:rPr>
        <w:t>70.75</w:t>
      </w:r>
      <w:r>
        <w:rPr>
          <w:rFonts w:hint="eastAsia" w:ascii="宋体" w:hAnsi="宋体" w:eastAsia="仿宋_GB2312" w:cs="仿宋_GB2312"/>
          <w:sz w:val="32"/>
          <w:szCs w:val="22"/>
          <w:lang w:val="en-US" w:eastAsia="zh-CN" w:bidi="zh-CN"/>
        </w:rPr>
        <w:t>万元，主要用于：实施养老保险制度后，部门按规定由单位缴纳的基本养老保险费支出。</w:t>
      </w:r>
    </w:p>
    <w:p w14:paraId="07339AC0">
      <w:pPr>
        <w:keepNext w:val="0"/>
        <w:keepLines w:val="0"/>
        <w:pageBreakBefore w:val="0"/>
        <w:widowControl w:val="0"/>
        <w:kinsoku/>
        <w:wordWrap/>
        <w:overflowPunct/>
        <w:autoSpaceDE w:val="0"/>
        <w:autoSpaceDN w:val="0"/>
        <w:bidi w:val="0"/>
        <w:adjustRightInd w:val="0"/>
        <w:snapToGrid/>
        <w:spacing w:line="360" w:lineRule="auto"/>
        <w:ind w:left="638" w:leftChars="290" w:firstLine="640" w:firstLineChars="200"/>
        <w:jc w:val="left"/>
        <w:textAlignment w:val="auto"/>
        <w:rPr>
          <w:rFonts w:hint="eastAsia" w:ascii="宋体" w:hAnsi="宋体" w:eastAsia="仿宋_GB2312" w:cs="仿宋_GB2312"/>
          <w:sz w:val="32"/>
          <w:szCs w:val="22"/>
          <w:lang w:val="en-US" w:eastAsia="zh-CN" w:bidi="zh-CN"/>
        </w:rPr>
      </w:pPr>
      <w:r>
        <w:rPr>
          <w:rFonts w:hint="eastAsia" w:ascii="宋体" w:hAnsi="宋体" w:eastAsia="仿宋_GB2312" w:cs="仿宋_GB2312"/>
          <w:sz w:val="32"/>
          <w:szCs w:val="22"/>
          <w:lang w:val="en-US" w:eastAsia="zh-CN" w:bidi="zh-CN"/>
        </w:rPr>
        <w:t>8.社会保障和就业（类）行政事业单位离退休（款）机关事业单位职业年金缴费支出（项）:20</w:t>
      </w:r>
      <w:r>
        <w:rPr>
          <w:rFonts w:hint="eastAsia" w:eastAsia="仿宋_GB2312" w:cs="仿宋_GB2312"/>
          <w:sz w:val="32"/>
          <w:szCs w:val="22"/>
          <w:lang w:val="en-US" w:eastAsia="zh-CN" w:bidi="zh-CN"/>
        </w:rPr>
        <w:t>26</w:t>
      </w:r>
      <w:r>
        <w:rPr>
          <w:rFonts w:hint="eastAsia" w:ascii="宋体" w:hAnsi="宋体" w:eastAsia="仿宋_GB2312" w:cs="仿宋_GB2312"/>
          <w:sz w:val="32"/>
          <w:szCs w:val="22"/>
          <w:lang w:val="en-US" w:eastAsia="zh-CN" w:bidi="zh-CN"/>
        </w:rPr>
        <w:t>年预算数为</w:t>
      </w:r>
      <w:r>
        <w:rPr>
          <w:rFonts w:hint="eastAsia" w:ascii="宋体" w:hAnsi="宋体"/>
          <w:sz w:val="32"/>
          <w:lang w:val="en-US" w:eastAsia="zh-CN"/>
        </w:rPr>
        <w:t>35.37</w:t>
      </w:r>
      <w:r>
        <w:rPr>
          <w:rFonts w:hint="eastAsia" w:ascii="宋体" w:hAnsi="宋体" w:eastAsia="仿宋_GB2312" w:cs="仿宋_GB2312"/>
          <w:sz w:val="32"/>
          <w:szCs w:val="22"/>
          <w:lang w:val="en-US" w:eastAsia="zh-CN" w:bidi="zh-CN"/>
        </w:rPr>
        <w:t>万元，主要用于：实施养老保险制度后，部门按规定由单位缴纳的职业年金支出。</w:t>
      </w:r>
    </w:p>
    <w:p w14:paraId="0B48B254">
      <w:pPr>
        <w:pStyle w:val="21"/>
        <w:keepNext w:val="0"/>
        <w:keepLines w:val="0"/>
        <w:pageBreakBefore w:val="0"/>
        <w:widowControl w:val="0"/>
        <w:kinsoku/>
        <w:wordWrap/>
        <w:overflowPunct/>
        <w:autoSpaceDE w:val="0"/>
        <w:autoSpaceDN w:val="0"/>
        <w:bidi w:val="0"/>
        <w:snapToGrid/>
        <w:spacing w:line="360" w:lineRule="auto"/>
        <w:ind w:left="638" w:leftChars="290" w:firstLine="640" w:firstLineChars="200"/>
        <w:textAlignment w:val="auto"/>
        <w:rPr>
          <w:rFonts w:hint="eastAsia" w:ascii="宋体" w:hAnsi="宋体" w:eastAsia="仿宋_GB2312" w:cs="仿宋_GB2312"/>
          <w:sz w:val="32"/>
          <w:szCs w:val="22"/>
          <w:lang w:val="en-US" w:eastAsia="zh-CN" w:bidi="zh-CN"/>
        </w:rPr>
      </w:pPr>
      <w:r>
        <w:rPr>
          <w:rFonts w:hint="eastAsia" w:ascii="宋体" w:hAnsi="宋体" w:eastAsia="仿宋_GB2312" w:cs="仿宋_GB2312"/>
          <w:sz w:val="32"/>
          <w:szCs w:val="22"/>
          <w:lang w:val="en-US" w:eastAsia="zh-CN" w:bidi="zh-CN"/>
        </w:rPr>
        <w:t>9.社会保障和就业（类）行政事业单位离退休（款）其他行政事业单位养老支出（项）:2026年预算数为</w:t>
      </w:r>
      <w:r>
        <w:rPr>
          <w:rFonts w:hint="eastAsia" w:ascii="宋体" w:hAnsi="宋体" w:cs="仿宋_GB2312"/>
          <w:sz w:val="32"/>
          <w:szCs w:val="22"/>
          <w:lang w:val="en-US" w:eastAsia="zh-CN" w:bidi="zh-CN"/>
        </w:rPr>
        <w:t>16.6</w:t>
      </w:r>
      <w:r>
        <w:rPr>
          <w:rFonts w:hint="eastAsia" w:ascii="宋体" w:hAnsi="宋体" w:eastAsia="仿宋_GB2312" w:cs="仿宋_GB2312"/>
          <w:sz w:val="32"/>
          <w:szCs w:val="22"/>
          <w:lang w:val="en-US" w:eastAsia="zh-CN" w:bidi="zh-CN"/>
        </w:rPr>
        <w:t>万元，主要用于：保障离退休人员养老相关经费的支出。</w:t>
      </w:r>
    </w:p>
    <w:p w14:paraId="6E148893">
      <w:pPr>
        <w:pStyle w:val="21"/>
        <w:keepNext w:val="0"/>
        <w:keepLines w:val="0"/>
        <w:pageBreakBefore w:val="0"/>
        <w:widowControl w:val="0"/>
        <w:kinsoku/>
        <w:wordWrap/>
        <w:overflowPunct/>
        <w:autoSpaceDE w:val="0"/>
        <w:autoSpaceDN w:val="0"/>
        <w:bidi w:val="0"/>
        <w:snapToGrid/>
        <w:spacing w:line="360" w:lineRule="auto"/>
        <w:ind w:left="638" w:leftChars="290" w:firstLine="640" w:firstLineChars="200"/>
        <w:textAlignment w:val="auto"/>
        <w:rPr>
          <w:rFonts w:hint="eastAsia" w:ascii="宋体" w:hAnsi="宋体" w:eastAsia="仿宋_GB2312" w:cs="仿宋_GB2312"/>
          <w:sz w:val="32"/>
          <w:szCs w:val="22"/>
          <w:lang w:val="en-US" w:eastAsia="zh-CN" w:bidi="zh-CN"/>
        </w:rPr>
      </w:pPr>
      <w:r>
        <w:rPr>
          <w:rFonts w:hint="eastAsia" w:ascii="宋体" w:hAnsi="宋体" w:eastAsia="仿宋_GB2312" w:cs="仿宋_GB2312"/>
          <w:sz w:val="32"/>
          <w:szCs w:val="22"/>
          <w:lang w:val="en-US" w:eastAsia="zh-CN" w:bidi="zh-CN"/>
        </w:rPr>
        <w:t>10.社会保障和就业（类）其他社会保障和就业支出（款）其他社会保障和就业支出（项）2026年预算数为0.8</w:t>
      </w:r>
      <w:r>
        <w:rPr>
          <w:rFonts w:hint="eastAsia" w:ascii="宋体" w:hAnsi="宋体" w:cs="仿宋_GB2312"/>
          <w:sz w:val="32"/>
          <w:szCs w:val="22"/>
          <w:lang w:val="en-US" w:eastAsia="zh-CN" w:bidi="zh-CN"/>
        </w:rPr>
        <w:t>8</w:t>
      </w:r>
      <w:r>
        <w:rPr>
          <w:rFonts w:hint="eastAsia" w:ascii="宋体" w:hAnsi="宋体" w:eastAsia="仿宋_GB2312" w:cs="仿宋_GB2312"/>
          <w:sz w:val="32"/>
          <w:szCs w:val="22"/>
          <w:lang w:val="en-US" w:eastAsia="zh-CN" w:bidi="zh-CN"/>
        </w:rPr>
        <w:t>万元，主要用于其他社会保障和就业方面的支出。</w:t>
      </w:r>
    </w:p>
    <w:p w14:paraId="1FE769A5">
      <w:pPr>
        <w:pStyle w:val="21"/>
        <w:keepNext w:val="0"/>
        <w:keepLines w:val="0"/>
        <w:pageBreakBefore w:val="0"/>
        <w:widowControl w:val="0"/>
        <w:kinsoku/>
        <w:wordWrap/>
        <w:overflowPunct/>
        <w:autoSpaceDE w:val="0"/>
        <w:autoSpaceDN w:val="0"/>
        <w:bidi w:val="0"/>
        <w:snapToGrid/>
        <w:spacing w:line="360" w:lineRule="auto"/>
        <w:ind w:left="638" w:leftChars="290" w:firstLine="640" w:firstLineChars="200"/>
        <w:textAlignment w:val="auto"/>
        <w:rPr>
          <w:rFonts w:hint="eastAsia" w:ascii="宋体" w:hAnsi="宋体" w:eastAsia="仿宋_GB2312" w:cs="仿宋_GB2312"/>
          <w:sz w:val="32"/>
          <w:szCs w:val="22"/>
          <w:lang w:val="en-US" w:eastAsia="zh-CN" w:bidi="zh-CN"/>
        </w:rPr>
      </w:pPr>
      <w:r>
        <w:rPr>
          <w:rFonts w:hint="eastAsia" w:ascii="宋体" w:hAnsi="宋体" w:eastAsia="仿宋_GB2312" w:cs="仿宋_GB2312"/>
          <w:sz w:val="32"/>
          <w:szCs w:val="22"/>
          <w:lang w:val="en-US" w:eastAsia="zh-CN" w:bidi="zh-CN"/>
        </w:rPr>
        <w:t>11.卫生健康支出（类）行政事业单位医疗（款）行政单位医疗（项）:202</w:t>
      </w:r>
      <w:r>
        <w:rPr>
          <w:rFonts w:hint="eastAsia" w:ascii="宋体" w:hAnsi="宋体" w:cs="仿宋_GB2312"/>
          <w:sz w:val="32"/>
          <w:szCs w:val="22"/>
          <w:lang w:val="en-US" w:eastAsia="zh-CN" w:bidi="zh-CN"/>
        </w:rPr>
        <w:t>6</w:t>
      </w:r>
      <w:r>
        <w:rPr>
          <w:rFonts w:hint="eastAsia" w:ascii="宋体" w:hAnsi="宋体" w:eastAsia="仿宋_GB2312" w:cs="仿宋_GB2312"/>
          <w:sz w:val="32"/>
          <w:szCs w:val="22"/>
          <w:lang w:val="en-US" w:eastAsia="zh-CN" w:bidi="zh-CN"/>
        </w:rPr>
        <w:t>年预算数为</w:t>
      </w:r>
      <w:r>
        <w:rPr>
          <w:rFonts w:hint="eastAsia" w:ascii="宋体" w:hAnsi="宋体"/>
          <w:sz w:val="32"/>
          <w:lang w:val="en-US" w:eastAsia="zh-CN"/>
        </w:rPr>
        <w:t>20.43</w:t>
      </w:r>
      <w:r>
        <w:rPr>
          <w:rFonts w:hint="eastAsia" w:ascii="宋体" w:hAnsi="宋体" w:eastAsia="仿宋_GB2312" w:cs="仿宋_GB2312"/>
          <w:sz w:val="32"/>
          <w:szCs w:val="22"/>
          <w:lang w:val="en-US" w:eastAsia="zh-CN" w:bidi="zh-CN"/>
        </w:rPr>
        <w:t>万元，主要用于：机关及参公管理事业单位基本医疗保险缴费支出。</w:t>
      </w:r>
    </w:p>
    <w:p w14:paraId="53D9CA11">
      <w:pPr>
        <w:pStyle w:val="21"/>
        <w:keepNext w:val="0"/>
        <w:keepLines w:val="0"/>
        <w:pageBreakBefore w:val="0"/>
        <w:widowControl w:val="0"/>
        <w:kinsoku/>
        <w:wordWrap/>
        <w:overflowPunct/>
        <w:autoSpaceDE w:val="0"/>
        <w:autoSpaceDN w:val="0"/>
        <w:bidi w:val="0"/>
        <w:snapToGrid/>
        <w:spacing w:line="360" w:lineRule="auto"/>
        <w:ind w:left="638" w:leftChars="290" w:firstLine="640" w:firstLineChars="200"/>
        <w:textAlignment w:val="auto"/>
        <w:rPr>
          <w:rFonts w:hint="eastAsia" w:ascii="宋体" w:hAnsi="宋体" w:eastAsia="仿宋_GB2312" w:cs="仿宋_GB2312"/>
          <w:sz w:val="32"/>
          <w:szCs w:val="22"/>
          <w:lang w:val="en-US" w:eastAsia="zh-CN" w:bidi="zh-CN"/>
        </w:rPr>
      </w:pPr>
      <w:r>
        <w:rPr>
          <w:rFonts w:hint="eastAsia" w:ascii="宋体" w:hAnsi="宋体" w:eastAsia="仿宋_GB2312" w:cs="仿宋_GB2312"/>
          <w:sz w:val="32"/>
          <w:szCs w:val="22"/>
          <w:lang w:val="en-US" w:eastAsia="zh-CN" w:bidi="zh-CN"/>
        </w:rPr>
        <w:t>12.卫生健康支出（类）行政事业单位医疗（款） 公务员医疗补助（项）:2026年预算数为5.</w:t>
      </w:r>
      <w:r>
        <w:rPr>
          <w:rFonts w:hint="eastAsia" w:ascii="宋体" w:hAnsi="宋体" w:cs="仿宋_GB2312"/>
          <w:sz w:val="32"/>
          <w:szCs w:val="22"/>
          <w:lang w:val="en-US" w:eastAsia="zh-CN" w:bidi="zh-CN"/>
        </w:rPr>
        <w:t>60</w:t>
      </w:r>
      <w:r>
        <w:rPr>
          <w:rFonts w:hint="eastAsia" w:ascii="宋体" w:hAnsi="宋体" w:eastAsia="仿宋_GB2312" w:cs="仿宋_GB2312"/>
          <w:sz w:val="32"/>
          <w:szCs w:val="22"/>
          <w:lang w:val="en-US" w:eastAsia="zh-CN" w:bidi="zh-CN"/>
        </w:rPr>
        <w:t>万元，主要用于：机关及参公管理事业单位公务员医疗补助医疗保险缴费支出。</w:t>
      </w:r>
    </w:p>
    <w:p w14:paraId="2D7F2345">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eastAsia="仿宋_GB2312" w:cs="仿宋_GB2312"/>
          <w:sz w:val="32"/>
          <w:szCs w:val="22"/>
          <w:lang w:val="en-US" w:eastAsia="zh-CN" w:bidi="zh-CN"/>
        </w:rPr>
        <w:t>13.住房保障（类）住房改革支出（款）住房公积金（项）:20</w:t>
      </w:r>
      <w:r>
        <w:rPr>
          <w:rFonts w:hint="eastAsia" w:ascii="宋体" w:hAnsi="宋体" w:cs="仿宋_GB2312"/>
          <w:sz w:val="32"/>
          <w:szCs w:val="22"/>
          <w:lang w:val="en-US" w:eastAsia="zh-CN" w:bidi="zh-CN"/>
        </w:rPr>
        <w:t>26</w:t>
      </w:r>
      <w:r>
        <w:rPr>
          <w:rFonts w:hint="eastAsia" w:ascii="宋体" w:hAnsi="宋体" w:eastAsia="仿宋_GB2312" w:cs="仿宋_GB2312"/>
          <w:sz w:val="32"/>
          <w:szCs w:val="22"/>
          <w:lang w:val="en-US" w:eastAsia="zh-CN" w:bidi="zh-CN"/>
        </w:rPr>
        <w:t>年预算数为</w:t>
      </w:r>
      <w:r>
        <w:rPr>
          <w:rFonts w:hint="eastAsia" w:ascii="宋体" w:hAnsi="宋体"/>
          <w:sz w:val="32"/>
          <w:lang w:val="en-US" w:eastAsia="zh-CN"/>
        </w:rPr>
        <w:t>58.34</w:t>
      </w:r>
      <w:r>
        <w:rPr>
          <w:rFonts w:hint="eastAsia" w:ascii="宋体" w:hAnsi="宋体" w:eastAsia="仿宋_GB2312" w:cs="仿宋_GB2312"/>
          <w:sz w:val="32"/>
          <w:szCs w:val="22"/>
          <w:lang w:val="en-US" w:eastAsia="zh-CN" w:bidi="zh-CN"/>
        </w:rPr>
        <w:t>万元，主要用于：</w:t>
      </w:r>
      <w:r>
        <w:rPr>
          <w:rFonts w:hint="eastAsia" w:ascii="宋体" w:hAnsi="宋体"/>
          <w:sz w:val="32"/>
          <w:lang w:val="en-US" w:eastAsia="zh-CN"/>
        </w:rPr>
        <w:t>部门按人力资源和社会保障部、财政部规定的基本工资和津贴补贴以及规定比例为职工缴纳的住房公积金支出。</w:t>
      </w:r>
    </w:p>
    <w:p w14:paraId="54531674">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2" w:name="_Toc11444"/>
      <w:r>
        <w:rPr>
          <w:rFonts w:hint="eastAsia" w:ascii="宋体" w:hAnsi="宋体" w:eastAsia="黑体"/>
          <w:color w:val="333333"/>
        </w:rPr>
        <w:t>四、一般公共预算基本支出情况说明</w:t>
      </w:r>
      <w:bookmarkEnd w:id="42"/>
    </w:p>
    <w:p w14:paraId="56487D5B">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五通桥区司法局部门2026年一般公共预算基本支出788.01万元，其中：</w:t>
      </w:r>
    </w:p>
    <w:p w14:paraId="28C0E335">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人员经费654.27万元，主要包括：基本工资、津贴补贴、奖金、伙食补助费、绩效工资、机关事业单位基本养老保险缴费、职业年金缴费、职工基本医疗保险缴费、其他社会保障缴费、住房公积金、其他工资福利支出、离休费、抚恤金、生活补助、其他对个人和家庭的补助支出。</w:t>
      </w:r>
    </w:p>
    <w:p w14:paraId="01180856">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公用经费133.74万元，主要包括：主要包括：办公费、印刷费、水费、电费、邮电费、差旅费、维修（护）费、会议费、培训费、公务接待费、劳务费、工会经费、福利费、公务用车运行维护费、其他交通费、其他商品和服务支出。</w:t>
      </w:r>
    </w:p>
    <w:p w14:paraId="4C59572A">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3" w:name="_Toc3206"/>
      <w:r>
        <w:rPr>
          <w:rFonts w:hint="eastAsia" w:ascii="宋体" w:hAnsi="宋体" w:eastAsia="黑体"/>
          <w:color w:val="333333"/>
        </w:rPr>
        <w:t>五、“三公”经费财政拨款预算安排情况说明</w:t>
      </w:r>
      <w:bookmarkEnd w:id="43"/>
    </w:p>
    <w:p w14:paraId="4BE5A409">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五通桥区司法局部门2026年“三公”经费财政拨款预算数9万元，其中：公务接待费4万元，公务用车购置0万元，公车运行维护费5万元。</w:t>
      </w:r>
    </w:p>
    <w:p w14:paraId="18A247F5">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2026年公务接待费计划用于日常工作等必要的接待事项等。</w:t>
      </w:r>
    </w:p>
    <w:p w14:paraId="4F7F134B">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4" w:name="_Toc24108"/>
      <w:r>
        <w:rPr>
          <w:rFonts w:ascii="宋体" w:hAnsi="宋体"/>
        </w:rPr>
        <w:t>（一）</w:t>
      </w:r>
      <w:r>
        <w:rPr>
          <w:rFonts w:hint="eastAsia" w:ascii="宋体" w:hAnsi="宋体"/>
          <w:lang w:val="en-US" w:eastAsia="zh-CN"/>
        </w:rPr>
        <w:t>公务接待费变化情况</w:t>
      </w:r>
      <w:bookmarkEnd w:id="44"/>
    </w:p>
    <w:p w14:paraId="28FCA215">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公务接待费较</w:t>
      </w:r>
      <w:r>
        <w:rPr>
          <w:rFonts w:hint="eastAsia" w:ascii="宋体" w:hAnsi="宋体"/>
          <w:sz w:val="32"/>
          <w:lang w:val="en-US" w:eastAsia="zh-CN"/>
        </w:rPr>
        <w:t>2025</w:t>
      </w:r>
      <w:r>
        <w:rPr>
          <w:rFonts w:hint="default" w:ascii="宋体" w:hAnsi="宋体"/>
          <w:sz w:val="32"/>
          <w:lang w:val="en-US" w:eastAsia="zh-CN"/>
        </w:rPr>
        <w:t>年预算</w:t>
      </w:r>
      <w:r>
        <w:rPr>
          <w:rFonts w:hint="eastAsia" w:ascii="宋体" w:hAnsi="宋体"/>
          <w:sz w:val="32"/>
          <w:lang w:val="en-US" w:eastAsia="zh-CN"/>
        </w:rPr>
        <w:t>4</w:t>
      </w:r>
      <w:r>
        <w:rPr>
          <w:rFonts w:hint="default" w:ascii="宋体" w:hAnsi="宋体"/>
          <w:sz w:val="32"/>
          <w:lang w:val="en-US" w:eastAsia="zh-CN"/>
        </w:rPr>
        <w:t>万元</w:t>
      </w:r>
      <w:r>
        <w:rPr>
          <w:rFonts w:hint="eastAsia" w:ascii="宋体" w:hAnsi="宋体"/>
          <w:sz w:val="32"/>
          <w:lang w:val="en-US" w:eastAsia="zh-CN"/>
        </w:rPr>
        <w:t>持平</w:t>
      </w:r>
      <w:r>
        <w:rPr>
          <w:rFonts w:hint="default" w:ascii="宋体" w:hAnsi="宋体"/>
          <w:sz w:val="32"/>
          <w:lang w:val="en-US" w:eastAsia="zh-CN"/>
        </w:rPr>
        <w:t>。主要原因是厉行节约，压缩接待规模和接待费用。</w:t>
      </w:r>
    </w:p>
    <w:p w14:paraId="16FFFE75">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5" w:name="_Toc3483"/>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bookmarkEnd w:id="45"/>
    </w:p>
    <w:p w14:paraId="6B33A46C">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公务用车购置及运行维护费较</w:t>
      </w:r>
      <w:r>
        <w:rPr>
          <w:rFonts w:hint="eastAsia" w:ascii="宋体" w:hAnsi="宋体"/>
          <w:sz w:val="32"/>
          <w:lang w:val="en-US" w:eastAsia="zh-CN"/>
        </w:rPr>
        <w:t>2025</w:t>
      </w:r>
      <w:r>
        <w:rPr>
          <w:rFonts w:hint="default" w:ascii="宋体" w:hAnsi="宋体"/>
          <w:sz w:val="32"/>
          <w:lang w:val="en-US" w:eastAsia="zh-CN"/>
        </w:rPr>
        <w:t>预算</w:t>
      </w:r>
      <w:r>
        <w:rPr>
          <w:rFonts w:hint="eastAsia" w:ascii="宋体" w:hAnsi="宋体"/>
          <w:sz w:val="32"/>
          <w:lang w:val="en-US" w:eastAsia="zh-CN"/>
        </w:rPr>
        <w:t>5</w:t>
      </w:r>
      <w:r>
        <w:rPr>
          <w:rFonts w:hint="default" w:ascii="宋体" w:hAnsi="宋体"/>
          <w:sz w:val="32"/>
          <w:lang w:val="en-US" w:eastAsia="zh-CN"/>
        </w:rPr>
        <w:t>万元预算持平。主要原因是厉行节约，规范公务出行，尽量乘坐公共交通工具。</w:t>
      </w:r>
    </w:p>
    <w:p w14:paraId="6DE4B195">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highlight w:val="none"/>
          <w:lang w:val="en-US" w:eastAsia="zh-CN"/>
        </w:rPr>
      </w:pPr>
      <w:r>
        <w:rPr>
          <w:rFonts w:hint="default" w:ascii="宋体" w:hAnsi="宋体"/>
          <w:sz w:val="32"/>
          <w:lang w:val="en-US" w:eastAsia="zh-CN"/>
        </w:rPr>
        <w:t>单位实有公务用车</w:t>
      </w:r>
      <w:r>
        <w:rPr>
          <w:rFonts w:hint="eastAsia" w:ascii="宋体" w:hAnsi="宋体"/>
          <w:sz w:val="32"/>
          <w:lang w:val="en-US" w:eastAsia="zh-CN"/>
        </w:rPr>
        <w:t>2</w:t>
      </w:r>
      <w:r>
        <w:rPr>
          <w:rFonts w:hint="default" w:ascii="宋体" w:hAnsi="宋体"/>
          <w:sz w:val="32"/>
          <w:lang w:val="en-US" w:eastAsia="zh-CN"/>
        </w:rPr>
        <w:t>辆，其中：</w:t>
      </w:r>
      <w:r>
        <w:rPr>
          <w:rFonts w:hint="eastAsia" w:ascii="宋体" w:hAnsi="宋体"/>
          <w:color w:val="auto"/>
          <w:sz w:val="32"/>
          <w:highlight w:val="none"/>
          <w:lang w:val="en-US" w:eastAsia="zh-CN"/>
        </w:rPr>
        <w:t>越野车1</w:t>
      </w:r>
      <w:r>
        <w:rPr>
          <w:rFonts w:hint="default" w:ascii="宋体" w:hAnsi="宋体"/>
          <w:color w:val="auto"/>
          <w:sz w:val="32"/>
          <w:highlight w:val="none"/>
          <w:lang w:val="en-US" w:eastAsia="zh-CN"/>
        </w:rPr>
        <w:t>辆</w:t>
      </w:r>
      <w:r>
        <w:rPr>
          <w:rFonts w:hint="eastAsia" w:ascii="宋体" w:hAnsi="宋体"/>
          <w:color w:val="auto"/>
          <w:sz w:val="32"/>
          <w:highlight w:val="none"/>
          <w:lang w:val="en-US" w:eastAsia="zh-CN"/>
        </w:rPr>
        <w:t>，新能源越野车1辆</w:t>
      </w:r>
      <w:r>
        <w:rPr>
          <w:rFonts w:hint="default" w:ascii="宋体" w:hAnsi="宋体"/>
          <w:color w:val="auto"/>
          <w:sz w:val="32"/>
          <w:highlight w:val="none"/>
          <w:lang w:val="en-US" w:eastAsia="zh-CN"/>
        </w:rPr>
        <w:t>。</w:t>
      </w:r>
    </w:p>
    <w:p w14:paraId="5BAB5904">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w:t>
      </w:r>
      <w:r>
        <w:rPr>
          <w:rFonts w:hint="default" w:ascii="宋体" w:hAnsi="宋体"/>
          <w:sz w:val="32"/>
          <w:lang w:val="en-US" w:eastAsia="zh-CN"/>
        </w:rPr>
        <w:t>年安排公务用车购置费</w:t>
      </w:r>
      <w:r>
        <w:rPr>
          <w:rFonts w:hint="eastAsia" w:ascii="宋体" w:hAnsi="宋体"/>
          <w:sz w:val="32"/>
          <w:lang w:val="en-US" w:eastAsia="zh-CN"/>
        </w:rPr>
        <w:t>0</w:t>
      </w:r>
      <w:r>
        <w:rPr>
          <w:rFonts w:hint="default" w:ascii="宋体" w:hAnsi="宋体"/>
          <w:sz w:val="32"/>
          <w:lang w:val="en-US" w:eastAsia="zh-CN"/>
        </w:rPr>
        <w:t>万元，拟购置公务用车</w:t>
      </w:r>
      <w:r>
        <w:rPr>
          <w:rFonts w:hint="eastAsia" w:ascii="宋体" w:hAnsi="宋体"/>
          <w:sz w:val="32"/>
          <w:lang w:val="en-US" w:eastAsia="zh-CN"/>
        </w:rPr>
        <w:t>0</w:t>
      </w:r>
      <w:r>
        <w:rPr>
          <w:rFonts w:hint="default" w:ascii="宋体" w:hAnsi="宋体"/>
          <w:sz w:val="32"/>
          <w:lang w:val="en-US" w:eastAsia="zh-CN"/>
        </w:rPr>
        <w:t>辆，其中：轿车</w:t>
      </w:r>
      <w:r>
        <w:rPr>
          <w:rFonts w:hint="eastAsia" w:ascii="宋体" w:hAnsi="宋体"/>
          <w:sz w:val="32"/>
          <w:lang w:val="en-US" w:eastAsia="zh-CN"/>
        </w:rPr>
        <w:t>0</w:t>
      </w:r>
      <w:r>
        <w:rPr>
          <w:rFonts w:hint="default" w:ascii="宋体" w:hAnsi="宋体"/>
          <w:sz w:val="32"/>
          <w:lang w:val="en-US" w:eastAsia="zh-CN"/>
        </w:rPr>
        <w:t>辆，旅行车（含商务车）</w:t>
      </w:r>
      <w:r>
        <w:rPr>
          <w:rFonts w:hint="eastAsia" w:ascii="宋体" w:hAnsi="宋体"/>
          <w:sz w:val="32"/>
          <w:lang w:val="en-US" w:eastAsia="zh-CN"/>
        </w:rPr>
        <w:t>0</w:t>
      </w:r>
      <w:r>
        <w:rPr>
          <w:rFonts w:hint="default" w:ascii="宋体" w:hAnsi="宋体"/>
          <w:sz w:val="32"/>
          <w:lang w:val="en-US" w:eastAsia="zh-CN"/>
        </w:rPr>
        <w:t>辆，越野车</w:t>
      </w:r>
      <w:r>
        <w:rPr>
          <w:rFonts w:hint="eastAsia" w:ascii="宋体" w:hAnsi="宋体"/>
          <w:sz w:val="32"/>
          <w:lang w:val="en-US" w:eastAsia="zh-CN"/>
        </w:rPr>
        <w:t>0</w:t>
      </w:r>
      <w:r>
        <w:rPr>
          <w:rFonts w:hint="default" w:ascii="宋体" w:hAnsi="宋体"/>
          <w:sz w:val="32"/>
          <w:lang w:val="en-US" w:eastAsia="zh-CN"/>
        </w:rPr>
        <w:t>辆，大型客、货车</w:t>
      </w:r>
      <w:r>
        <w:rPr>
          <w:rFonts w:hint="eastAsia" w:ascii="宋体" w:hAnsi="宋体"/>
          <w:sz w:val="32"/>
          <w:lang w:val="en-US" w:eastAsia="zh-CN"/>
        </w:rPr>
        <w:t>0</w:t>
      </w:r>
      <w:r>
        <w:rPr>
          <w:rFonts w:hint="default" w:ascii="宋体" w:hAnsi="宋体"/>
          <w:sz w:val="32"/>
          <w:lang w:val="en-US" w:eastAsia="zh-CN"/>
        </w:rPr>
        <w:t>辆。</w:t>
      </w:r>
    </w:p>
    <w:p w14:paraId="0BE4D309">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w:t>
      </w:r>
      <w:r>
        <w:rPr>
          <w:rFonts w:hint="default" w:ascii="宋体" w:hAnsi="宋体"/>
          <w:sz w:val="32"/>
          <w:lang w:val="en-US" w:eastAsia="zh-CN"/>
        </w:rPr>
        <w:t>年安排公务用车运行维护费</w:t>
      </w:r>
      <w:r>
        <w:rPr>
          <w:rFonts w:hint="eastAsia" w:ascii="宋体" w:hAnsi="宋体"/>
          <w:sz w:val="32"/>
          <w:lang w:val="en-US" w:eastAsia="zh-CN"/>
        </w:rPr>
        <w:t>5</w:t>
      </w:r>
      <w:r>
        <w:rPr>
          <w:rFonts w:hint="default" w:ascii="宋体" w:hAnsi="宋体"/>
          <w:sz w:val="32"/>
          <w:lang w:val="en-US" w:eastAsia="zh-CN"/>
        </w:rPr>
        <w:t>万元，</w:t>
      </w:r>
      <w:r>
        <w:rPr>
          <w:rFonts w:hint="eastAsia" w:ascii="宋体" w:hAnsi="宋体"/>
          <w:sz w:val="32"/>
          <w:lang w:val="en-US" w:eastAsia="zh-CN"/>
        </w:rPr>
        <w:t>用于2</w:t>
      </w:r>
      <w:r>
        <w:rPr>
          <w:rFonts w:hint="default" w:ascii="宋体" w:hAnsi="宋体"/>
          <w:sz w:val="32"/>
          <w:lang w:val="en-US" w:eastAsia="zh-CN"/>
        </w:rPr>
        <w:t>辆公务用车</w:t>
      </w:r>
      <w:r>
        <w:rPr>
          <w:rFonts w:hint="eastAsia" w:ascii="宋体" w:hAnsi="宋体"/>
          <w:sz w:val="32"/>
          <w:lang w:val="en-US" w:eastAsia="zh-CN"/>
        </w:rPr>
        <w:t>开展日常工作及特定业务工作</w:t>
      </w:r>
      <w:r>
        <w:rPr>
          <w:rFonts w:hint="default" w:ascii="宋体" w:hAnsi="宋体"/>
          <w:sz w:val="32"/>
          <w:lang w:val="en-US" w:eastAsia="zh-CN"/>
        </w:rPr>
        <w:t>所需的公务用车汽油费、维修费、过路过桥费、保险费、停车费等支出。</w:t>
      </w:r>
    </w:p>
    <w:p w14:paraId="4885ABD5">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6" w:name="_Toc27419"/>
      <w:r>
        <w:rPr>
          <w:rFonts w:hint="eastAsia" w:ascii="宋体" w:hAnsi="宋体" w:eastAsia="黑体"/>
          <w:color w:val="333333"/>
        </w:rPr>
        <w:t>六、政府性基金预算支出情况说明</w:t>
      </w:r>
      <w:bookmarkEnd w:id="46"/>
    </w:p>
    <w:p w14:paraId="44E67E66">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五通桥区司法局</w:t>
      </w:r>
      <w:r>
        <w:rPr>
          <w:rFonts w:hint="default" w:ascii="宋体" w:hAnsi="宋体"/>
          <w:sz w:val="32"/>
          <w:lang w:val="en-US" w:eastAsia="zh-CN"/>
        </w:rPr>
        <w:t>部门</w:t>
      </w:r>
      <w:r>
        <w:rPr>
          <w:rFonts w:hint="eastAsia" w:ascii="宋体" w:hAnsi="宋体"/>
          <w:sz w:val="32"/>
          <w:lang w:val="en-US" w:eastAsia="zh-CN"/>
        </w:rPr>
        <w:t>2026</w:t>
      </w:r>
      <w:r>
        <w:rPr>
          <w:rFonts w:hint="default" w:ascii="宋体" w:hAnsi="宋体"/>
          <w:sz w:val="32"/>
          <w:lang w:val="en-US" w:eastAsia="zh-CN"/>
        </w:rPr>
        <w:t>年政府性基金预算拨款安排支出</w:t>
      </w:r>
      <w:r>
        <w:rPr>
          <w:rFonts w:hint="eastAsia" w:ascii="宋体" w:hAnsi="宋体"/>
          <w:sz w:val="32"/>
          <w:lang w:val="en-US" w:eastAsia="zh-CN"/>
        </w:rPr>
        <w:t>0万元，较上年预算数持平。</w:t>
      </w:r>
    </w:p>
    <w:p w14:paraId="100624E5">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7" w:name="_Toc17512"/>
      <w:r>
        <w:rPr>
          <w:rFonts w:hint="eastAsia" w:ascii="宋体" w:hAnsi="宋体" w:eastAsia="黑体"/>
          <w:color w:val="333333"/>
          <w:lang w:val="en-US" w:eastAsia="zh-CN"/>
        </w:rPr>
        <w:t>七、</w:t>
      </w:r>
      <w:r>
        <w:rPr>
          <w:rFonts w:hint="eastAsia" w:ascii="宋体" w:hAnsi="宋体" w:eastAsia="黑体"/>
          <w:color w:val="333333"/>
        </w:rPr>
        <w:t>国有资本经营预算情况说明</w:t>
      </w:r>
      <w:bookmarkEnd w:id="47"/>
    </w:p>
    <w:p w14:paraId="2D67D56F">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五通桥区司法局部门2026年国有资本经营预算拨款安排支出0万元,较上年预算数持平。</w:t>
      </w:r>
    </w:p>
    <w:p w14:paraId="5BD0B55F">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lang w:val="en-US" w:eastAsia="zh-CN"/>
        </w:rPr>
      </w:pPr>
      <w:bookmarkStart w:id="48" w:name="_Toc904"/>
      <w:r>
        <w:rPr>
          <w:rFonts w:hint="eastAsia" w:ascii="宋体" w:hAnsi="宋体" w:eastAsia="黑体"/>
          <w:color w:val="333333"/>
          <w:lang w:val="en-US" w:eastAsia="zh-CN"/>
        </w:rPr>
        <w:t>八、其他重要事项的情况说明</w:t>
      </w:r>
      <w:bookmarkEnd w:id="48"/>
    </w:p>
    <w:p w14:paraId="76425360">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default" w:ascii="宋体" w:hAnsi="宋体"/>
          <w:lang w:val="en-US" w:eastAsia="zh-CN"/>
        </w:rPr>
      </w:pPr>
      <w:bookmarkStart w:id="49" w:name="_Toc17345"/>
      <w:r>
        <w:rPr>
          <w:rFonts w:ascii="宋体" w:hAnsi="宋体"/>
        </w:rPr>
        <w:t>（一）机关运行经费情况</w:t>
      </w:r>
      <w:bookmarkEnd w:id="49"/>
    </w:p>
    <w:p w14:paraId="56FC3D8F">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五通桥区司法局部门下属司法局（局机关）1家行政单位的机关运行经费财政拨款预算为133.74万元，比2025年预算125.48万元增加8.26万元，增长6.58%。主要原因是伙食补助费、邮电费、委托业务费、福利费减少，办公费、印刷费、电费、差旅费、租赁费、工会经费、其他交通费用、其他商品和服务支出等增加。</w:t>
      </w:r>
    </w:p>
    <w:p w14:paraId="09F9593B">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0" w:name="_Toc11837"/>
      <w:r>
        <w:rPr>
          <w:rFonts w:ascii="宋体" w:hAnsi="宋体"/>
        </w:rPr>
        <w:t>（二）政府采购情况</w:t>
      </w:r>
      <w:bookmarkEnd w:id="50"/>
    </w:p>
    <w:p w14:paraId="0A564506">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2026年，五通桥区司法局部门政府采购项目0万元。其中，政府采购货物预算0万元；政府采购工程预算0万元；政府采购服务预算0万元。</w:t>
      </w:r>
    </w:p>
    <w:p w14:paraId="122D2D14">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1" w:name="_Toc16771"/>
      <w:r>
        <w:rPr>
          <w:rFonts w:ascii="宋体" w:hAnsi="宋体"/>
        </w:rPr>
        <w:t>（三）国有资产占有使用情况</w:t>
      </w:r>
      <w:bookmarkEnd w:id="51"/>
    </w:p>
    <w:p w14:paraId="58CAC570">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截至2026年底，五通桥区司法局</w:t>
      </w:r>
      <w:bookmarkStart w:id="54" w:name="_GoBack"/>
      <w:bookmarkEnd w:id="54"/>
      <w:r>
        <w:rPr>
          <w:rFonts w:hint="eastAsia" w:ascii="宋体" w:hAnsi="宋体"/>
          <w:sz w:val="32"/>
          <w:lang w:val="en-US" w:eastAsia="zh-CN"/>
        </w:rPr>
        <w:t>部门所属各预算单位共有车辆2辆。单位价值100万元以上大型设备0套。</w:t>
      </w:r>
    </w:p>
    <w:p w14:paraId="005C3ACD">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2026年部门预算未安排购置车辆及单位价值100万元以上大型设备。</w:t>
      </w:r>
    </w:p>
    <w:p w14:paraId="0395549F">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2" w:name="_Toc21233"/>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bookmarkEnd w:id="52"/>
    </w:p>
    <w:p w14:paraId="73043CB3">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ascii="宋体" w:hAnsi="宋体"/>
          <w:spacing w:val="6"/>
        </w:rPr>
      </w:pPr>
      <w:r>
        <w:rPr>
          <w:rFonts w:hint="eastAsia" w:ascii="宋体" w:hAnsi="宋体"/>
          <w:sz w:val="32"/>
          <w:lang w:val="en-US" w:eastAsia="zh-CN"/>
        </w:rPr>
        <w:t>2026年五通桥区司法局开展绩效目标管理的项目22个，涉及预算901.89万元。其中：人员类项目10个，涉及预算654.27万元；运转类项目4个，涉及预算133.74万元；特定目标类项目8个，涉及预算113.88万元。</w:t>
      </w:r>
    </w:p>
    <w:p w14:paraId="59B6E348">
      <w:pPr>
        <w:pStyle w:val="4"/>
        <w:spacing w:before="0"/>
        <w:ind w:right="0"/>
        <w:jc w:val="both"/>
        <w:rPr>
          <w:rFonts w:ascii="宋体" w:hAnsi="宋体"/>
          <w:spacing w:val="6"/>
        </w:rPr>
        <w:sectPr>
          <w:headerReference r:id="rId9" w:type="default"/>
          <w:footerReference r:id="rId10" w:type="default"/>
          <w:pgSz w:w="11910" w:h="16840"/>
          <w:pgMar w:top="1587" w:right="964" w:bottom="1701" w:left="1134" w:header="737" w:footer="737" w:gutter="0"/>
          <w:pgNumType w:fmt="decimal"/>
          <w:cols w:space="0" w:num="1"/>
          <w:rtlGutter w:val="0"/>
          <w:docGrid w:linePitch="0" w:charSpace="0"/>
        </w:sectPr>
      </w:pPr>
    </w:p>
    <w:p w14:paraId="590E40F9">
      <w:pPr>
        <w:rPr>
          <w:rFonts w:ascii="宋体" w:hAnsi="宋体"/>
        </w:rPr>
      </w:pPr>
    </w:p>
    <w:p w14:paraId="202295B5">
      <w:pPr>
        <w:pStyle w:val="4"/>
        <w:rPr>
          <w:rFonts w:ascii="宋体" w:hAnsi="宋体"/>
          <w:sz w:val="20"/>
        </w:rPr>
      </w:pPr>
    </w:p>
    <w:p w14:paraId="212DF9FF">
      <w:pPr>
        <w:pStyle w:val="4"/>
        <w:rPr>
          <w:rFonts w:ascii="宋体" w:hAnsi="宋体"/>
          <w:sz w:val="20"/>
        </w:rPr>
      </w:pPr>
    </w:p>
    <w:p w14:paraId="24ACB5D3">
      <w:pPr>
        <w:pStyle w:val="4"/>
        <w:rPr>
          <w:rFonts w:ascii="宋体" w:hAnsi="宋体"/>
          <w:sz w:val="20"/>
        </w:rPr>
      </w:pPr>
    </w:p>
    <w:p w14:paraId="17CC1146">
      <w:pPr>
        <w:pStyle w:val="4"/>
        <w:rPr>
          <w:rFonts w:ascii="宋体" w:hAnsi="宋体"/>
          <w:sz w:val="20"/>
        </w:rPr>
      </w:pPr>
    </w:p>
    <w:p w14:paraId="3FD714E6">
      <w:pPr>
        <w:pStyle w:val="4"/>
        <w:rPr>
          <w:rFonts w:ascii="宋体" w:hAnsi="宋体"/>
          <w:sz w:val="20"/>
        </w:rPr>
      </w:pPr>
    </w:p>
    <w:p w14:paraId="08F17C76">
      <w:pPr>
        <w:pStyle w:val="4"/>
        <w:rPr>
          <w:rFonts w:ascii="宋体" w:hAnsi="宋体"/>
          <w:sz w:val="20"/>
        </w:rPr>
      </w:pPr>
    </w:p>
    <w:p w14:paraId="25CDDD7A">
      <w:pPr>
        <w:pStyle w:val="4"/>
        <w:rPr>
          <w:rFonts w:ascii="宋体" w:hAnsi="宋体"/>
          <w:sz w:val="20"/>
        </w:rPr>
      </w:pPr>
    </w:p>
    <w:p w14:paraId="471A3E85">
      <w:pPr>
        <w:pStyle w:val="4"/>
        <w:rPr>
          <w:rFonts w:ascii="宋体" w:hAnsi="宋体"/>
          <w:sz w:val="20"/>
        </w:rPr>
      </w:pPr>
    </w:p>
    <w:p w14:paraId="7EF4C425">
      <w:pPr>
        <w:pStyle w:val="4"/>
        <w:rPr>
          <w:rFonts w:ascii="宋体" w:hAnsi="宋体"/>
          <w:sz w:val="20"/>
        </w:rPr>
      </w:pPr>
    </w:p>
    <w:p w14:paraId="5CBDEF3C">
      <w:pPr>
        <w:pStyle w:val="4"/>
        <w:rPr>
          <w:rFonts w:ascii="宋体" w:hAnsi="宋体"/>
          <w:sz w:val="20"/>
        </w:rPr>
      </w:pPr>
    </w:p>
    <w:p w14:paraId="493CF0E5">
      <w:pPr>
        <w:pStyle w:val="4"/>
        <w:rPr>
          <w:rFonts w:ascii="宋体" w:hAnsi="宋体"/>
          <w:sz w:val="20"/>
        </w:rPr>
      </w:pPr>
    </w:p>
    <w:p w14:paraId="1582AE30">
      <w:pPr>
        <w:pStyle w:val="4"/>
        <w:rPr>
          <w:rFonts w:ascii="宋体" w:hAnsi="宋体"/>
          <w:sz w:val="20"/>
        </w:rPr>
      </w:pPr>
    </w:p>
    <w:p w14:paraId="5B4F5CF7">
      <w:pPr>
        <w:pStyle w:val="4"/>
        <w:rPr>
          <w:rFonts w:ascii="宋体" w:hAnsi="宋体"/>
          <w:sz w:val="20"/>
        </w:rPr>
      </w:pPr>
    </w:p>
    <w:p w14:paraId="469F1D6E">
      <w:pPr>
        <w:pStyle w:val="4"/>
        <w:rPr>
          <w:rFonts w:ascii="宋体" w:hAnsi="宋体"/>
          <w:sz w:val="20"/>
        </w:rPr>
      </w:pPr>
    </w:p>
    <w:p w14:paraId="0BAF2D45">
      <w:pPr>
        <w:pStyle w:val="4"/>
        <w:rPr>
          <w:rFonts w:ascii="宋体" w:hAnsi="宋体"/>
          <w:sz w:val="20"/>
        </w:rPr>
      </w:pPr>
    </w:p>
    <w:p w14:paraId="726E9AB8">
      <w:pPr>
        <w:pStyle w:val="4"/>
        <w:rPr>
          <w:rFonts w:ascii="宋体" w:hAnsi="宋体"/>
          <w:sz w:val="20"/>
        </w:rPr>
      </w:pPr>
    </w:p>
    <w:p w14:paraId="3F08E131">
      <w:pPr>
        <w:pStyle w:val="4"/>
        <w:rPr>
          <w:rFonts w:ascii="宋体" w:hAnsi="宋体"/>
          <w:sz w:val="20"/>
        </w:rPr>
      </w:pPr>
    </w:p>
    <w:p w14:paraId="23BEF9DF">
      <w:pPr>
        <w:pStyle w:val="4"/>
        <w:rPr>
          <w:rFonts w:ascii="宋体" w:hAnsi="宋体"/>
          <w:sz w:val="20"/>
        </w:rPr>
      </w:pPr>
    </w:p>
    <w:p w14:paraId="591E2135">
      <w:pPr>
        <w:pStyle w:val="4"/>
        <w:rPr>
          <w:rFonts w:ascii="宋体" w:hAnsi="宋体"/>
          <w:sz w:val="20"/>
        </w:rPr>
      </w:pPr>
    </w:p>
    <w:p w14:paraId="5941AF8F">
      <w:pPr>
        <w:pStyle w:val="4"/>
        <w:rPr>
          <w:rFonts w:ascii="宋体" w:hAnsi="宋体"/>
          <w:sz w:val="20"/>
        </w:rPr>
      </w:pPr>
    </w:p>
    <w:p w14:paraId="0C0E1E3F">
      <w:pPr>
        <w:pStyle w:val="4"/>
        <w:rPr>
          <w:rFonts w:ascii="宋体" w:hAnsi="宋体"/>
          <w:sz w:val="20"/>
        </w:rPr>
      </w:pPr>
    </w:p>
    <w:p w14:paraId="066CF097">
      <w:pPr>
        <w:pStyle w:val="4"/>
        <w:jc w:val="center"/>
        <w:outlineLvl w:val="0"/>
        <w:rPr>
          <w:rFonts w:hint="eastAsia" w:ascii="宋体" w:hAnsi="宋体" w:eastAsia="方正小标宋简体" w:cs="方正小标宋简体"/>
          <w:sz w:val="52"/>
          <w:szCs w:val="52"/>
          <w:lang w:val="en-US" w:eastAsia="zh-CN"/>
        </w:rPr>
      </w:pPr>
      <w:bookmarkStart w:id="53" w:name="_Toc12947"/>
      <w:r>
        <w:rPr>
          <w:rFonts w:hint="eastAsia" w:ascii="宋体" w:hAnsi="宋体" w:eastAsia="方正小标宋简体" w:cs="方正小标宋简体"/>
          <w:sz w:val="52"/>
          <w:szCs w:val="52"/>
          <w:lang w:val="en-US" w:eastAsia="zh-CN"/>
        </w:rPr>
        <w:t>第四部分  名词解释</w:t>
      </w:r>
      <w:bookmarkEnd w:id="53"/>
    </w:p>
    <w:p w14:paraId="1ACB7460">
      <w:pPr>
        <w:spacing w:after="0"/>
        <w:rPr>
          <w:rFonts w:ascii="宋体" w:hAnsi="宋体"/>
          <w:sz w:val="20"/>
        </w:rPr>
        <w:sectPr>
          <w:headerReference r:id="rId11" w:type="default"/>
          <w:footerReference r:id="rId12" w:type="default"/>
          <w:pgSz w:w="11910" w:h="16840"/>
          <w:pgMar w:top="1587" w:right="964" w:bottom="1701" w:left="1134" w:header="737" w:footer="737" w:gutter="0"/>
          <w:pgNumType w:fmt="decimal"/>
          <w:cols w:space="0" w:num="1"/>
          <w:rtlGutter w:val="0"/>
          <w:docGrid w:linePitch="0" w:charSpace="0"/>
        </w:sectPr>
      </w:pPr>
    </w:p>
    <w:p w14:paraId="061520F2">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1.财政拨款收支情况：是指一般公共预算、政府性基金预算、国有资本经营预算拨款收支情况。</w:t>
      </w:r>
    </w:p>
    <w:p w14:paraId="16FF5229">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2.一般公共预算拨款收入：指区级财政当年拨付的资金。</w:t>
      </w:r>
    </w:p>
    <w:p w14:paraId="75AB083A">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3.事业收入：指事业单位开展专业业务活动及辅助活动所取得的收入。</w:t>
      </w:r>
    </w:p>
    <w:p w14:paraId="1CCCFEF0">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4.事业单位经营收入：指事业单位在专业业务活动及其辅助活动之外开展非独立核算经营活动取得的收入。</w:t>
      </w:r>
    </w:p>
    <w:p w14:paraId="76405FC7">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5.其他收入：指除上述“一般公共预算拨款收入”、“事业收入”、“事业单位经营收入”等以外的收入。主要是利息收入、国有资产出租收入等。</w:t>
      </w:r>
    </w:p>
    <w:p w14:paraId="757D9ABB">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6.用事业基金弥补收支差额：指事业单位在当年的收入不足以安排当年支出的情况下，使用以前年度积累的事业基金（事业单位当年收支相抵后按国家规定提取、用于弥补以后年度收支差额的基金）弥补本年度收支缺口的资金。</w:t>
      </w:r>
    </w:p>
    <w:p w14:paraId="1F0F4662">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7.上年结转：指以前年度尚未完成，结转到本年仍按原规定用途继续使用的资金。</w:t>
      </w:r>
    </w:p>
    <w:p w14:paraId="334AADA0">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8.社会保障和就业（类）行政事业单位离退休（款）事业单位离退休（项）：指离退休人员的支出。</w:t>
      </w:r>
    </w:p>
    <w:p w14:paraId="41361E40">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9.社会保障和就业（类）行政事业单位离退休（款）未归口管理的行政单位离退休（项）：指离退休人员的支出。</w:t>
      </w:r>
    </w:p>
    <w:p w14:paraId="73CDAA2D">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10.社会保障和就业（类）行政事业单位离退休（款）机关事业单位基本养老保险缴费支出（项）：指部门实施养老保险制度由单位缴纳的养老保险费的支出。</w:t>
      </w:r>
    </w:p>
    <w:p w14:paraId="3213AA45">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11.社会保障和就业（类）行政事业单位离退休（款）机关事业单位职业年金缴费支出（项）：指部门实施养老保险制度由单位缴纳的职业年金的支出。</w:t>
      </w:r>
    </w:p>
    <w:p w14:paraId="191F10E9">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12.社会保障和就业（类）其他社会保障和就业（款）其他社会保障和就业支出（项）：指除上述项目外，其他用于行政事业单位离退休方面的支出。</w:t>
      </w:r>
    </w:p>
    <w:p w14:paraId="200DFEEC">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13.卫生健康（类）行政事业单位医疗（款）行政单位医疗（项）：指行政单位及参公管理事业单位用于缴纳单位基本医疗保险支出。</w:t>
      </w:r>
    </w:p>
    <w:p w14:paraId="6FF871A6">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14.卫生健康（类）行政事业单位医疗（款）事业单位医疗（项）：指事业单位用于缴纳单位基本医疗保险支出。</w:t>
      </w:r>
    </w:p>
    <w:p w14:paraId="5448DAF5">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15.卫生健康（类）行政事业单位医疗（款）公务员医疗补助（项）：指行政单位及参公管理事业单位用于集中缴纳公务员医疗补助支出。</w:t>
      </w:r>
    </w:p>
    <w:p w14:paraId="1A1A5591">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16.住房保障（类）住房改革支出（款）住房公积金（项）：指由单位及其在职职工按规定缴存的住房公积金支出。</w:t>
      </w:r>
    </w:p>
    <w:p w14:paraId="7D167881">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17.基本支出：指为保证机构正常运转，完成日常工作任务而发生的人员支出和公用支出。</w:t>
      </w:r>
    </w:p>
    <w:p w14:paraId="68B117D2">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18.项目支出：指在基本支出之外为完成特定行政任务和事业发展目标所发生的支出。</w:t>
      </w:r>
    </w:p>
    <w:p w14:paraId="783FAA85">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19.纳入预决算管理的“三公”经费，是指部门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sectPr>
      <w:headerReference r:id="rId13" w:type="default"/>
      <w:footerReference r:id="rId14" w:type="default"/>
      <w:pgSz w:w="11910" w:h="16840"/>
      <w:pgMar w:top="1587" w:right="964" w:bottom="1701" w:left="1134" w:header="737" w:footer="737"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EB4CFA67-63EE-4170-82B1-872D649453B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embedRegular r:id="rId2" w:fontKey="{9C42200E-286E-4850-9892-BB63B4866012}"/>
  </w:font>
  <w:font w:name="仿宋_GB2312">
    <w:panose1 w:val="02010609030101010101"/>
    <w:charset w:val="86"/>
    <w:family w:val="modern"/>
    <w:pitch w:val="default"/>
    <w:sig w:usb0="00000001" w:usb1="080E0000" w:usb2="00000000" w:usb3="00000000" w:csb0="00040000" w:csb1="00000000"/>
    <w:embedRegular r:id="rId3" w:fontKey="{8055E1B6-18AE-41D2-B22F-1EA3AC243E69}"/>
  </w:font>
  <w:font w:name="方正小标宋简体">
    <w:panose1 w:val="03000509000000000000"/>
    <w:charset w:val="86"/>
    <w:family w:val="script"/>
    <w:pitch w:val="default"/>
    <w:sig w:usb0="00000001" w:usb1="080E0000" w:usb2="00000000" w:usb3="00000000" w:csb0="00040000" w:csb1="00000000"/>
    <w:embedRegular r:id="rId4" w:fontKey="{A4FA94C2-A8A9-43A8-8648-2A298B27C7B9}"/>
  </w:font>
  <w:font w:name="仿宋">
    <w:panose1 w:val="02010609060101010101"/>
    <w:charset w:val="86"/>
    <w:family w:val="auto"/>
    <w:pitch w:val="default"/>
    <w:sig w:usb0="800002BF" w:usb1="38CF7CFA" w:usb2="00000016" w:usb3="00000000" w:csb0="00040001" w:csb1="00000000"/>
    <w:embedRegular r:id="rId5" w:fontKey="{745DA45C-A38F-41A5-9E2B-D592925CA852}"/>
  </w:font>
  <w:font w:name="楷体_GB2312">
    <w:panose1 w:val="02010609030101010101"/>
    <w:charset w:val="86"/>
    <w:family w:val="modern"/>
    <w:pitch w:val="default"/>
    <w:sig w:usb0="00000001" w:usb1="080E0000" w:usb2="00000000" w:usb3="00000000" w:csb0="00040000" w:csb1="00000000"/>
    <w:embedRegular r:id="rId6" w:fontKey="{BCBE6579-27CA-418C-86B3-B09AFAD15981}"/>
  </w:font>
  <w:font w:name="Calibri">
    <w:panose1 w:val="020F0502020204030204"/>
    <w:charset w:val="86"/>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C3FEAA">
    <w:pPr>
      <w:pStyle w:val="4"/>
      <w:spacing w:line="240"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A720AC">
                          <w:pPr>
                            <w:pStyle w:val="8"/>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2A720AC">
                    <w:pPr>
                      <w:pStyle w:val="8"/>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9EEB22">
    <w:pPr>
      <w:pStyle w:val="4"/>
      <w:spacing w:line="240" w:lineRule="auto"/>
      <w:rPr>
        <w:sz w:val="2"/>
      </w:rPr>
    </w:pPr>
    <w:r>
      <w:rPr>
        <w:sz w:val="2"/>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425AE4">
                          <w:pPr>
                            <w:pStyle w:val="8"/>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59425AE4">
                    <w:pPr>
                      <w:pStyle w:val="8"/>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16A65D">
    <w:pPr>
      <w:pStyle w:val="4"/>
      <w:spacing w:line="14" w:lineRule="auto"/>
      <w:rPr>
        <w:sz w:val="20"/>
      </w:rPr>
    </w:pPr>
    <w:r>
      <w:rPr>
        <w:sz w:val="3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79D571">
                          <w:pPr>
                            <w:pStyle w:val="8"/>
                          </w:pPr>
                          <w:r>
                            <w:t xml:space="preserve">— </w:t>
                          </w:r>
                          <w:r>
                            <w:fldChar w:fldCharType="begin"/>
                          </w:r>
                          <w:r>
                            <w:instrText xml:space="preserve"> PAGE  \* MERGEFORMAT </w:instrText>
                          </w:r>
                          <w:r>
                            <w:fldChar w:fldCharType="separate"/>
                          </w:r>
                          <w:r>
                            <w:t>- 7 -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B79D571">
                    <w:pPr>
                      <w:pStyle w:val="8"/>
                    </w:pPr>
                    <w:r>
                      <w:t xml:space="preserve">— </w:t>
                    </w:r>
                    <w:r>
                      <w:fldChar w:fldCharType="begin"/>
                    </w:r>
                    <w:r>
                      <w:instrText xml:space="preserve"> PAGE  \* MERGEFORMAT </w:instrText>
                    </w:r>
                    <w:r>
                      <w:fldChar w:fldCharType="separate"/>
                    </w:r>
                    <w:r>
                      <w:t>- 7 -</w:t>
                    </w:r>
                    <w:r>
                      <w:fldChar w:fldCharType="end"/>
                    </w:r>
                    <w:r>
                      <w:t xml:space="preserve"> —</w:t>
                    </w:r>
                  </w:p>
                </w:txbxContent>
              </v:textbox>
            </v:shape>
          </w:pict>
        </mc:Fallback>
      </mc:AlternateContent>
    </w:r>
    <w: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3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7E69F3">
    <w:pPr>
      <w:pStyle w:val="4"/>
      <w:spacing w:line="14" w:lineRule="auto"/>
      <w:rPr>
        <w:sz w:val="2"/>
      </w:rPr>
    </w:pPr>
    <w:r>
      <w:rPr>
        <w:sz w:val="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B88CE2">
                          <w:pPr>
                            <w:pStyle w:val="8"/>
                          </w:pPr>
                          <w:r>
                            <w:t xml:space="preserve">— </w:t>
                          </w:r>
                          <w:r>
                            <w:fldChar w:fldCharType="begin"/>
                          </w:r>
                          <w:r>
                            <w:instrText xml:space="preserve"> PAGE  \* MERGEFORMAT </w:instrText>
                          </w:r>
                          <w:r>
                            <w:fldChar w:fldCharType="separate"/>
                          </w:r>
                          <w:r>
                            <w:t>- 12 -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77B88CE2">
                    <w:pPr>
                      <w:pStyle w:val="8"/>
                    </w:pPr>
                    <w:r>
                      <w:t xml:space="preserve">— </w:t>
                    </w:r>
                    <w:r>
                      <w:fldChar w:fldCharType="begin"/>
                    </w:r>
                    <w:r>
                      <w:instrText xml:space="preserve"> PAGE  \* MERGEFORMAT </w:instrText>
                    </w:r>
                    <w:r>
                      <w:fldChar w:fldCharType="separate"/>
                    </w:r>
                    <w:r>
                      <w:t>- 12 -</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15376">
    <w:pPr>
      <w:pStyle w:val="4"/>
      <w:spacing w:line="14" w:lineRule="auto"/>
      <w:rPr>
        <w:sz w:val="20"/>
      </w:rPr>
    </w:pPr>
    <w:r>
      <w:rPr>
        <w:sz w:val="32"/>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FA94FA">
                          <w:pPr>
                            <w:pStyle w:val="8"/>
                          </w:pPr>
                          <w:r>
                            <w:t xml:space="preserve">— </w:t>
                          </w:r>
                          <w:r>
                            <w:fldChar w:fldCharType="begin"/>
                          </w:r>
                          <w:r>
                            <w:instrText xml:space="preserve"> PAGE  \* MERGEFORMAT </w:instrText>
                          </w:r>
                          <w:r>
                            <w:fldChar w:fldCharType="separate"/>
                          </w:r>
                          <w:r>
                            <w:t>- 13 -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8FA94FA">
                    <w:pPr>
                      <w:pStyle w:val="8"/>
                    </w:pPr>
                    <w:r>
                      <w:t xml:space="preserve">— </w:t>
                    </w:r>
                    <w:r>
                      <w:fldChar w:fldCharType="begin"/>
                    </w:r>
                    <w:r>
                      <w:instrText xml:space="preserve"> PAGE  \* MERGEFORMAT </w:instrText>
                    </w:r>
                    <w:r>
                      <w:fldChar w:fldCharType="separate"/>
                    </w:r>
                    <w:r>
                      <w:t>- 13 -</w:t>
                    </w:r>
                    <w:r>
                      <w:fldChar w:fldCharType="end"/>
                    </w:r>
                    <w:r>
                      <w:t xml:space="preserve"> —</w:t>
                    </w:r>
                  </w:p>
                </w:txbxContent>
              </v:textbox>
            </v:shape>
          </w:pict>
        </mc:Fallback>
      </mc:AlternateContent>
    </w:r>
    <w:r>
      <w:drawing>
        <wp:anchor distT="0" distB="0" distL="0" distR="0" simplePos="0" relativeHeight="251660288"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4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B1631">
    <w:pPr>
      <w:pStyle w:val="9"/>
      <w:tabs>
        <w:tab w:val="clear" w:pos="4153"/>
      </w:tabs>
      <w:spacing w:after="0" w:afterLines="201" w:afterAutospacing="0"/>
      <w:ind w:firstLine="404"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54F4D">
    <w:pPr>
      <w:pStyle w:val="4"/>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1E30B">
    <w:pPr>
      <w:pStyle w:val="4"/>
      <w:spacing w:line="240"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30F74F">
    <w:pPr>
      <w:pStyle w:val="4"/>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5C66D">
    <w:pPr>
      <w:pStyle w:val="4"/>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57E4DA"/>
    <w:multiLevelType w:val="singleLevel"/>
    <w:tmpl w:val="3C57E4DA"/>
    <w:lvl w:ilvl="0" w:tentative="0">
      <w:start w:val="1"/>
      <w:numFmt w:val="chineseCounting"/>
      <w:suff w:val="space"/>
      <w:lvlText w:val="第%1部分"/>
      <w:lvlJc w:val="left"/>
      <w:rPr>
        <w:rFonts w:hint="eastAsia"/>
      </w:rPr>
    </w:lvl>
  </w:abstractNum>
  <w:abstractNum w:abstractNumId="1">
    <w:nsid w:val="501035D5"/>
    <w:multiLevelType w:val="singleLevel"/>
    <w:tmpl w:val="501035D5"/>
    <w:lvl w:ilvl="0" w:tentative="0">
      <w:start w:val="2"/>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hNTQyMDM4Y2Q1Y2Y4YzIyNmU3ZDg0NmQwNWI5NDAifQ=="/>
    <w:docVar w:name="KSO_WPS_MARK_KEY" w:val="48d2c7c5-5ca7-4a62-94c0-78ba1c7e0ebc"/>
  </w:docVars>
  <w:rsids>
    <w:rsidRoot w:val="00000000"/>
    <w:rsid w:val="02ED1707"/>
    <w:rsid w:val="02F925FF"/>
    <w:rsid w:val="04995E62"/>
    <w:rsid w:val="08F93370"/>
    <w:rsid w:val="0946032A"/>
    <w:rsid w:val="13CB5FFB"/>
    <w:rsid w:val="18D94D16"/>
    <w:rsid w:val="19D435F1"/>
    <w:rsid w:val="1C4565B4"/>
    <w:rsid w:val="1CF73845"/>
    <w:rsid w:val="1E9115A9"/>
    <w:rsid w:val="20346CD6"/>
    <w:rsid w:val="20523682"/>
    <w:rsid w:val="20D9567F"/>
    <w:rsid w:val="21211D8E"/>
    <w:rsid w:val="240622C9"/>
    <w:rsid w:val="247F2477"/>
    <w:rsid w:val="2BD66371"/>
    <w:rsid w:val="2CBF542B"/>
    <w:rsid w:val="3170631D"/>
    <w:rsid w:val="345179FF"/>
    <w:rsid w:val="4D3C563B"/>
    <w:rsid w:val="4FC13833"/>
    <w:rsid w:val="54BB49E6"/>
    <w:rsid w:val="54C30EEA"/>
    <w:rsid w:val="5543046B"/>
    <w:rsid w:val="58EE6347"/>
    <w:rsid w:val="595E3E2E"/>
    <w:rsid w:val="5AE90F4A"/>
    <w:rsid w:val="5B65451D"/>
    <w:rsid w:val="71461A34"/>
    <w:rsid w:val="7209340F"/>
    <w:rsid w:val="76A30804"/>
    <w:rsid w:val="7C6130B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spacing w:before="79"/>
      <w:ind w:left="2747"/>
      <w:outlineLvl w:val="1"/>
    </w:pPr>
    <w:rPr>
      <w:rFonts w:ascii="Times New Roman" w:hAnsi="Times New Roman" w:eastAsia="Times New Roman" w:cs="Times New Roman"/>
      <w:sz w:val="52"/>
      <w:szCs w:val="52"/>
      <w:lang w:val="zh-CN" w:eastAsia="zh-CN" w:bidi="zh-CN"/>
    </w:rPr>
  </w:style>
  <w:style w:type="paragraph" w:styleId="3">
    <w:name w:val="heading 2"/>
    <w:basedOn w:val="1"/>
    <w:next w:val="1"/>
    <w:qFormat/>
    <w:uiPriority w:val="1"/>
    <w:pPr>
      <w:ind w:left="923"/>
      <w:outlineLvl w:val="2"/>
    </w:pPr>
    <w:rPr>
      <w:rFonts w:ascii="楷体" w:hAnsi="楷体" w:eastAsia="楷体" w:cs="楷体"/>
      <w:b/>
      <w:bCs/>
      <w:sz w:val="32"/>
      <w:szCs w:val="32"/>
      <w:lang w:val="zh-CN" w:eastAsia="zh-CN" w:bidi="zh-CN"/>
    </w:rPr>
  </w:style>
  <w:style w:type="character" w:default="1" w:styleId="14">
    <w:name w:val="Default Paragraph Font"/>
    <w:semiHidden/>
    <w:unhideWhenUsed/>
    <w:qFormat/>
    <w:uiPriority w:val="1"/>
  </w:style>
  <w:style w:type="table" w:default="1" w:styleId="13">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rPr>
      <w:rFonts w:ascii="仿宋_GB2312" w:hAnsi="仿宋_GB2312" w:eastAsia="仿宋_GB2312" w:cs="仿宋_GB2312"/>
      <w:sz w:val="32"/>
      <w:szCs w:val="32"/>
      <w:lang w:val="zh-CN" w:eastAsia="zh-CN" w:bidi="zh-CN"/>
    </w:rPr>
  </w:style>
  <w:style w:type="paragraph" w:styleId="5">
    <w:name w:val="Body Text Indent"/>
    <w:basedOn w:val="1"/>
    <w:next w:val="6"/>
    <w:qFormat/>
    <w:uiPriority w:val="0"/>
    <w:pPr>
      <w:spacing w:after="120"/>
      <w:ind w:left="200" w:leftChars="200"/>
    </w:pPr>
    <w:rPr>
      <w:rFonts w:ascii="仿宋_GB2312"/>
      <w:szCs w:val="32"/>
    </w:rPr>
  </w:style>
  <w:style w:type="paragraph" w:styleId="6">
    <w:name w:val="Body Text First Indent 2"/>
    <w:basedOn w:val="5"/>
    <w:next w:val="1"/>
    <w:unhideWhenUsed/>
    <w:qFormat/>
    <w:uiPriority w:val="99"/>
    <w:pPr>
      <w:ind w:firstLine="420" w:firstLineChars="200"/>
    </w:p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Title"/>
    <w:basedOn w:val="1"/>
    <w:next w:val="1"/>
    <w:qFormat/>
    <w:uiPriority w:val="99"/>
    <w:pPr>
      <w:spacing w:before="240" w:after="60"/>
      <w:jc w:val="center"/>
      <w:outlineLvl w:val="0"/>
    </w:pPr>
    <w:rPr>
      <w:rFonts w:ascii="Arial" w:hAnsi="Arial" w:cs="Arial"/>
      <w:b/>
      <w:bCs/>
      <w:sz w:val="32"/>
      <w:szCs w:val="32"/>
    </w:rPr>
  </w:style>
  <w:style w:type="table" w:customStyle="1" w:styleId="15">
    <w:name w:val="Table Normal"/>
    <w:semiHidden/>
    <w:unhideWhenUsed/>
    <w:qFormat/>
    <w:uiPriority w:val="2"/>
    <w:tblPr>
      <w:tblCellMar>
        <w:top w:w="0" w:type="dxa"/>
        <w:left w:w="0" w:type="dxa"/>
        <w:bottom w:w="0" w:type="dxa"/>
        <w:right w:w="0" w:type="dxa"/>
      </w:tblCellMar>
    </w:tblPr>
  </w:style>
  <w:style w:type="paragraph" w:styleId="16">
    <w:name w:val="List Paragraph"/>
    <w:basedOn w:val="1"/>
    <w:qFormat/>
    <w:uiPriority w:val="1"/>
    <w:pPr>
      <w:ind w:left="280" w:firstLine="640"/>
      <w:jc w:val="both"/>
    </w:pPr>
    <w:rPr>
      <w:rFonts w:ascii="仿宋_GB2312" w:hAnsi="仿宋_GB2312" w:eastAsia="仿宋_GB2312" w:cs="仿宋_GB2312"/>
      <w:lang w:val="zh-CN" w:eastAsia="zh-CN" w:bidi="zh-CN"/>
    </w:rPr>
  </w:style>
  <w:style w:type="paragraph" w:customStyle="1" w:styleId="17">
    <w:name w:val="Table Paragraph"/>
    <w:basedOn w:val="1"/>
    <w:qFormat/>
    <w:uiPriority w:val="1"/>
    <w:rPr>
      <w:rFonts w:ascii="宋体" w:hAnsi="宋体" w:eastAsia="宋体" w:cs="宋体"/>
      <w:lang w:val="zh-CN" w:eastAsia="zh-CN" w:bidi="zh-CN"/>
    </w:rPr>
  </w:style>
  <w:style w:type="paragraph" w:customStyle="1" w:styleId="18">
    <w:name w:val="WPSOffice手动目录 1"/>
    <w:qFormat/>
    <w:uiPriority w:val="0"/>
    <w:pPr>
      <w:ind w:leftChars="0"/>
    </w:pPr>
    <w:rPr>
      <w:rFonts w:asciiTheme="minorHAnsi" w:hAnsiTheme="minorHAnsi" w:eastAsiaTheme="minorHAnsi" w:cstheme="minorBidi"/>
      <w:sz w:val="20"/>
      <w:szCs w:val="20"/>
    </w:rPr>
  </w:style>
  <w:style w:type="paragraph" w:customStyle="1" w:styleId="19">
    <w:name w:val="WPSOffice手动目录 2"/>
    <w:qFormat/>
    <w:uiPriority w:val="0"/>
    <w:pPr>
      <w:ind w:leftChars="200"/>
    </w:pPr>
    <w:rPr>
      <w:rFonts w:asciiTheme="minorHAnsi" w:hAnsiTheme="minorHAnsi" w:eastAsiaTheme="minorHAnsi" w:cstheme="minorBidi"/>
      <w:sz w:val="20"/>
      <w:szCs w:val="20"/>
    </w:rPr>
  </w:style>
  <w:style w:type="paragraph" w:customStyle="1" w:styleId="20">
    <w:name w:val="WPSOffice手动目录 3"/>
    <w:qFormat/>
    <w:uiPriority w:val="0"/>
    <w:pPr>
      <w:ind w:leftChars="400"/>
    </w:pPr>
    <w:rPr>
      <w:rFonts w:asciiTheme="minorHAnsi" w:hAnsiTheme="minorHAnsi" w:eastAsiaTheme="minorHAnsi" w:cstheme="minorBidi"/>
      <w:sz w:val="20"/>
      <w:szCs w:val="20"/>
    </w:rPr>
  </w:style>
  <w:style w:type="paragraph" w:customStyle="1" w:styleId="21">
    <w:name w:val="〖C01〗正文"/>
    <w:basedOn w:val="1"/>
    <w:qFormat/>
    <w:uiPriority w:val="0"/>
    <w:pPr>
      <w:topLinePunct/>
      <w:spacing w:line="600" w:lineRule="exact"/>
      <w:ind w:firstLine="640" w:firstLineChars="200"/>
    </w:pPr>
    <w:rPr>
      <w:rFonts w:ascii="仿宋_GB2312" w:hAnsi="Calibri" w:eastAsia="仿宋_GB2312"/>
      <w:sz w:val="32"/>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6295</Words>
  <Characters>6827</Characters>
  <TotalTime>0</TotalTime>
  <ScaleCrop>false</ScaleCrop>
  <LinksUpToDate>false</LinksUpToDate>
  <CharactersWithSpaces>6998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2022-05-05T02:14:00Z</dcterms:created>
  <dc:creator>user</dc:creator>
  <cp:lastModifiedBy>彭诗颖</cp:lastModifiedBy>
  <dcterms:modified xsi:type="dcterms:W3CDTF">2026-02-27T07:32:27Z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2010</vt:lpwstr>
  </property>
  <property fmtid="{D5CDD505-2E9C-101B-9397-08002B2CF9AE}" pid="4" name="LastSaved">
    <vt:filetime>2022-05-05T00:00:00Z</vt:filetime>
  </property>
  <property fmtid="{D5CDD505-2E9C-101B-9397-08002B2CF9AE}" pid="5" name="KSOProductBuildVer">
    <vt:lpwstr>2052-12.1.0.24657</vt:lpwstr>
  </property>
  <property fmtid="{D5CDD505-2E9C-101B-9397-08002B2CF9AE}" pid="6" name="ICV">
    <vt:lpwstr>CCDC4371B4814728ADE2736B74F8C0CC_13</vt:lpwstr>
  </property>
  <property fmtid="{D5CDD505-2E9C-101B-9397-08002B2CF9AE}" pid="7" name="KSOTemplateDocerSaveRecord">
    <vt:lpwstr>eyJoZGlkIjoiZDU5NjcwYTRhZGE1OGZmMTU4MzZmMDUzY2U4M2E0ZTMiLCJ1c2VySWQiOiIxNzA4OTMxNzAyIn0=</vt:lpwstr>
  </property>
</Properties>
</file>