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4EE15">
      <w:pPr>
        <w:pStyle w:val="6"/>
        <w:jc w:val="center"/>
        <w:rPr>
          <w:rFonts w:hint="eastAsia" w:ascii="宋体" w:hAnsi="宋体" w:eastAsia="宋体" w:cs="宋体"/>
          <w:b/>
          <w:bCs/>
          <w:sz w:val="52"/>
          <w:szCs w:val="52"/>
          <w:shd w:val="clear" w:color="auto" w:fill="auto"/>
          <w:lang w:val="en-US" w:eastAsia="zh-CN"/>
        </w:rPr>
      </w:pPr>
    </w:p>
    <w:p w14:paraId="404B0986">
      <w:pPr>
        <w:pStyle w:val="6"/>
        <w:jc w:val="center"/>
        <w:rPr>
          <w:rFonts w:hint="eastAsia" w:ascii="宋体" w:hAnsi="宋体" w:eastAsia="宋体" w:cs="宋体"/>
          <w:b/>
          <w:bCs/>
          <w:sz w:val="52"/>
          <w:szCs w:val="52"/>
          <w:shd w:val="clear" w:color="auto" w:fill="auto"/>
          <w:lang w:val="en-US" w:eastAsia="zh-CN"/>
        </w:rPr>
      </w:pPr>
    </w:p>
    <w:p w14:paraId="6BB99580">
      <w:pPr>
        <w:pStyle w:val="6"/>
        <w:jc w:val="center"/>
        <w:rPr>
          <w:rFonts w:hint="eastAsia" w:ascii="宋体" w:hAnsi="宋体" w:eastAsia="宋体" w:cs="宋体"/>
          <w:b/>
          <w:bCs/>
          <w:sz w:val="52"/>
          <w:szCs w:val="52"/>
          <w:shd w:val="clear" w:color="auto" w:fill="auto"/>
          <w:lang w:val="en-US" w:eastAsia="zh-CN"/>
        </w:rPr>
      </w:pPr>
    </w:p>
    <w:p w14:paraId="27F10004">
      <w:pPr>
        <w:pStyle w:val="6"/>
        <w:jc w:val="center"/>
        <w:rPr>
          <w:rFonts w:hint="eastAsia" w:ascii="宋体" w:hAnsi="宋体" w:eastAsia="宋体" w:cs="宋体"/>
          <w:b/>
          <w:bCs/>
          <w:sz w:val="52"/>
          <w:szCs w:val="52"/>
          <w:shd w:val="clear" w:color="auto" w:fill="auto"/>
          <w:lang w:val="en-US" w:eastAsia="zh-CN"/>
        </w:rPr>
      </w:pPr>
    </w:p>
    <w:p w14:paraId="2E766428">
      <w:pPr>
        <w:pStyle w:val="6"/>
        <w:jc w:val="center"/>
        <w:rPr>
          <w:rFonts w:hint="eastAsia" w:ascii="宋体" w:hAnsi="宋体" w:eastAsia="宋体" w:cs="宋体"/>
          <w:b/>
          <w:bCs/>
          <w:sz w:val="52"/>
          <w:szCs w:val="52"/>
          <w:shd w:val="clear" w:color="auto" w:fill="auto"/>
          <w:lang w:val="en-US" w:eastAsia="zh-CN"/>
        </w:rPr>
      </w:pPr>
    </w:p>
    <w:p w14:paraId="135256E4">
      <w:pPr>
        <w:pStyle w:val="6"/>
        <w:jc w:val="center"/>
        <w:rPr>
          <w:rFonts w:hint="eastAsia" w:ascii="宋体" w:hAnsi="宋体" w:eastAsia="宋体" w:cs="宋体"/>
          <w:b/>
          <w:bCs/>
          <w:sz w:val="52"/>
          <w:szCs w:val="52"/>
          <w:shd w:val="clear" w:color="auto" w:fill="auto"/>
          <w:lang w:val="en-US" w:eastAsia="zh-CN"/>
        </w:rPr>
      </w:pPr>
    </w:p>
    <w:p w14:paraId="5C624928">
      <w:pPr>
        <w:pStyle w:val="6"/>
        <w:jc w:val="center"/>
        <w:rPr>
          <w:rFonts w:hint="eastAsia" w:ascii="宋体" w:hAnsi="宋体" w:eastAsia="宋体" w:cs="宋体"/>
          <w:b/>
          <w:bCs/>
          <w:sz w:val="52"/>
          <w:szCs w:val="52"/>
          <w:shd w:val="clear" w:color="auto" w:fill="auto"/>
          <w:lang w:val="en-US" w:eastAsia="zh-CN"/>
        </w:rPr>
      </w:pPr>
    </w:p>
    <w:p w14:paraId="77C1170D">
      <w:pPr>
        <w:pStyle w:val="6"/>
        <w:jc w:val="center"/>
        <w:rPr>
          <w:rFonts w:hint="eastAsia" w:ascii="宋体" w:hAnsi="宋体" w:eastAsia="宋体" w:cs="宋体"/>
          <w:b/>
          <w:bCs/>
          <w:sz w:val="52"/>
          <w:szCs w:val="52"/>
          <w:shd w:val="clear" w:color="auto" w:fill="auto"/>
          <w:lang w:val="en-US" w:eastAsia="zh-CN"/>
        </w:rPr>
      </w:pPr>
    </w:p>
    <w:p w14:paraId="1EB40346">
      <w:pPr>
        <w:pStyle w:val="6"/>
        <w:spacing w:line="800" w:lineRule="exact"/>
        <w:jc w:val="center"/>
        <w:rPr>
          <w:rFonts w:ascii="宋体" w:hAnsi="宋体" w:eastAsia="方正小标宋简体" w:cs="方正小标宋简体"/>
          <w:color w:val="auto"/>
          <w:sz w:val="52"/>
          <w:szCs w:val="52"/>
          <w:lang w:val="en-US"/>
        </w:rPr>
      </w:pPr>
      <w:r>
        <w:rPr>
          <w:rFonts w:hint="eastAsia" w:ascii="宋体" w:hAnsi="宋体" w:eastAsia="方正小标宋简体" w:cs="方正小标宋简体"/>
          <w:color w:val="auto"/>
          <w:sz w:val="52"/>
          <w:szCs w:val="52"/>
          <w:lang w:val="en-US"/>
        </w:rPr>
        <w:t>乐山市五通桥区文化</w:t>
      </w:r>
      <w:r>
        <w:rPr>
          <w:rFonts w:hint="eastAsia" w:ascii="宋体" w:hAnsi="宋体" w:eastAsia="方正小标宋简体" w:cs="方正小标宋简体"/>
          <w:color w:val="auto"/>
          <w:sz w:val="52"/>
          <w:szCs w:val="52"/>
          <w:lang w:val="en-US" w:eastAsia="zh-CN"/>
        </w:rPr>
        <w:t>广播电视</w:t>
      </w:r>
      <w:bookmarkStart w:id="56" w:name="_GoBack"/>
      <w:bookmarkEnd w:id="56"/>
      <w:r>
        <w:rPr>
          <w:rFonts w:hint="eastAsia" w:ascii="宋体" w:hAnsi="宋体" w:eastAsia="方正小标宋简体" w:cs="方正小标宋简体"/>
          <w:color w:val="auto"/>
          <w:sz w:val="52"/>
          <w:szCs w:val="52"/>
          <w:lang w:val="en-US"/>
        </w:rPr>
        <w:t>体育和旅游局</w:t>
      </w:r>
    </w:p>
    <w:p w14:paraId="738C6073">
      <w:pPr>
        <w:pStyle w:val="6"/>
        <w:spacing w:line="800" w:lineRule="exact"/>
        <w:jc w:val="center"/>
        <w:rPr>
          <w:rFonts w:ascii="宋体" w:hAnsi="宋体" w:eastAsia="方正小标宋简体" w:cs="方正小标宋简体"/>
          <w:color w:val="auto"/>
          <w:sz w:val="52"/>
          <w:szCs w:val="52"/>
          <w:lang w:val="en-US"/>
        </w:rPr>
      </w:pPr>
      <w:r>
        <w:rPr>
          <w:rFonts w:hint="eastAsia" w:ascii="宋体" w:hAnsi="宋体" w:eastAsia="方正小标宋简体" w:cs="方正小标宋简体"/>
          <w:color w:val="auto"/>
          <w:sz w:val="52"/>
          <w:szCs w:val="52"/>
          <w:lang w:val="en-US" w:eastAsia="zh-CN"/>
        </w:rPr>
        <w:t>2026</w:t>
      </w:r>
      <w:r>
        <w:rPr>
          <w:rFonts w:hint="eastAsia" w:ascii="宋体" w:hAnsi="宋体" w:eastAsia="方正小标宋简体" w:cs="方正小标宋简体"/>
          <w:color w:val="auto"/>
          <w:sz w:val="52"/>
          <w:szCs w:val="52"/>
          <w:lang w:val="en-US"/>
        </w:rPr>
        <w:t>部门预算编制说明</w:t>
      </w:r>
    </w:p>
    <w:p w14:paraId="393822AF">
      <w:pPr>
        <w:pStyle w:val="6"/>
        <w:spacing w:line="800" w:lineRule="exact"/>
        <w:jc w:val="center"/>
        <w:rPr>
          <w:rFonts w:ascii="宋体" w:hAnsi="宋体" w:eastAsia="方正小标宋简体" w:cs="方正小标宋简体"/>
          <w:color w:val="auto"/>
          <w:sz w:val="52"/>
          <w:szCs w:val="52"/>
          <w:lang w:val="en-US"/>
        </w:rPr>
      </w:pPr>
      <w:r>
        <w:rPr>
          <w:rFonts w:hint="eastAsia" w:ascii="宋体" w:hAnsi="宋体" w:eastAsia="方正小标宋简体" w:cs="方正小标宋简体"/>
          <w:color w:val="auto"/>
          <w:sz w:val="52"/>
          <w:szCs w:val="52"/>
          <w:lang w:val="en-US"/>
        </w:rPr>
        <w:t>（</w:t>
      </w:r>
      <w:r>
        <w:rPr>
          <w:rFonts w:hint="eastAsia" w:ascii="宋体" w:hAnsi="宋体" w:eastAsia="方正小标宋简体" w:cs="方正小标宋简体"/>
          <w:color w:val="auto"/>
          <w:sz w:val="52"/>
          <w:szCs w:val="52"/>
          <w:lang w:val="en-US" w:eastAsia="zh-CN"/>
        </w:rPr>
        <w:t>文化馆</w:t>
      </w:r>
      <w:r>
        <w:rPr>
          <w:rFonts w:hint="eastAsia" w:ascii="宋体" w:hAnsi="宋体" w:eastAsia="方正小标宋简体" w:cs="方正小标宋简体"/>
          <w:color w:val="auto"/>
          <w:sz w:val="52"/>
          <w:szCs w:val="52"/>
          <w:lang w:val="en-US"/>
        </w:rPr>
        <w:t>）</w:t>
      </w:r>
    </w:p>
    <w:p w14:paraId="1679F4D9">
      <w:pPr>
        <w:pStyle w:val="6"/>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highlight w:val="yellow"/>
          <w:shd w:val="clear" w:color="auto" w:fill="auto"/>
          <w:lang w:val="en-US" w:eastAsia="zh-CN"/>
        </w:rPr>
      </w:pPr>
    </w:p>
    <w:p w14:paraId="706EC900">
      <w:pPr>
        <w:spacing w:after="0"/>
        <w:rPr>
          <w:rFonts w:ascii="宋体" w:hAnsi="宋体"/>
        </w:rPr>
      </w:pPr>
    </w:p>
    <w:p w14:paraId="10B333DF">
      <w:pPr>
        <w:rPr>
          <w:rFonts w:ascii="宋体" w:hAnsi="宋体"/>
          <w:sz w:val="4"/>
        </w:rPr>
      </w:pPr>
      <w:r>
        <w:rPr>
          <w:rFonts w:ascii="宋体" w:hAnsi="宋体"/>
          <w:sz w:val="4"/>
        </w:rPr>
        <w:br w:type="page"/>
      </w:r>
    </w:p>
    <w:p w14:paraId="0590B934">
      <w:pPr>
        <w:rPr>
          <w:rFonts w:ascii="宋体" w:hAnsi="宋体"/>
          <w:sz w:val="4"/>
        </w:rPr>
      </w:pPr>
    </w:p>
    <w:p w14:paraId="5CE3C782">
      <w:pPr>
        <w:pStyle w:val="6"/>
        <w:spacing w:before="2"/>
        <w:rPr>
          <w:rFonts w:ascii="宋体" w:hAnsi="宋体"/>
          <w:sz w:val="4"/>
        </w:rPr>
      </w:pPr>
    </w:p>
    <w:p w14:paraId="7716301F">
      <w:pPr>
        <w:pStyle w:val="6"/>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p w14:paraId="71FDA471">
      <w:pPr>
        <w:spacing w:before="0" w:beforeLines="0" w:after="0" w:afterLines="0" w:line="240" w:lineRule="auto"/>
        <w:ind w:left="0" w:leftChars="0" w:right="0" w:rightChars="0" w:firstLine="0" w:firstLineChars="0"/>
        <w:jc w:val="center"/>
        <w:rPr>
          <w:rFonts w:ascii="宋体" w:hAnsi="宋体"/>
        </w:rPr>
      </w:pPr>
    </w:p>
    <w:p w14:paraId="4EFE558F">
      <w:pPr>
        <w:pStyle w:val="10"/>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rFonts w:hint="eastAsia"/>
          <w:sz w:val="30"/>
          <w:szCs w:val="30"/>
          <w:lang w:val="en-US" w:eastAsia="zh-CN"/>
        </w:rPr>
        <w:t>1</w:t>
      </w:r>
      <w:r>
        <w:rPr>
          <w:rFonts w:hint="eastAsia" w:ascii="宋体" w:hAnsi="宋体" w:eastAsia="方正小标宋简体" w:cs="方正小标宋简体"/>
          <w:bCs/>
          <w:sz w:val="30"/>
          <w:szCs w:val="30"/>
          <w:lang w:val="en-US" w:eastAsia="zh-CN"/>
        </w:rPr>
        <w:fldChar w:fldCharType="end"/>
      </w:r>
    </w:p>
    <w:p w14:paraId="670A895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44CB540">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sz w:val="30"/>
          <w:szCs w:val="30"/>
          <w:lang w:eastAsia="zh-CN"/>
        </w:rPr>
        <w:t>部门</w:t>
      </w:r>
      <w:r>
        <w:rPr>
          <w:rFonts w:ascii="宋体" w:hAnsi="宋体"/>
          <w:sz w:val="30"/>
          <w:szCs w:val="30"/>
        </w:rPr>
        <w:t>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34EF4A9">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w:t>
      </w:r>
      <w:r>
        <w:rPr>
          <w:rFonts w:hint="eastAsia"/>
          <w:sz w:val="30"/>
          <w:szCs w:val="30"/>
          <w:lang w:eastAsia="zh-CN"/>
        </w:rPr>
        <w:t>部门</w:t>
      </w:r>
      <w:r>
        <w:rPr>
          <w:rFonts w:hint="eastAsia"/>
          <w:sz w:val="30"/>
          <w:szCs w:val="30"/>
          <w:lang w:val="en-US" w:eastAsia="zh-CN"/>
        </w:rPr>
        <w:t>2026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BB5E45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BD6F023">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第二部分</w:t>
      </w:r>
      <w:r>
        <w:rPr>
          <w:rFonts w:hint="eastAsia" w:eastAsia="方正小标宋简体" w:cs="方正小标宋简体"/>
          <w:bCs/>
          <w:sz w:val="30"/>
          <w:szCs w:val="30"/>
          <w:lang w:val="en-US" w:eastAsia="zh-CN"/>
        </w:rPr>
        <w:t xml:space="preserve"> </w:t>
      </w:r>
      <w:r>
        <w:rPr>
          <w:rFonts w:hint="eastAsia" w:ascii="宋体" w:hAnsi="宋体" w:eastAsia="方正小标宋简体" w:cs="方正小标宋简体"/>
          <w:bCs/>
          <w:sz w:val="30"/>
          <w:szCs w:val="30"/>
          <w:lang w:val="en-US" w:eastAsia="zh-CN"/>
        </w:rPr>
        <w:t>五通桥区文化馆</w:t>
      </w:r>
      <w:r>
        <w:rPr>
          <w:rFonts w:hint="eastAsia" w:eastAsia="方正小标宋简体" w:cs="方正小标宋简体"/>
          <w:bCs/>
          <w:sz w:val="30"/>
          <w:szCs w:val="30"/>
          <w:lang w:val="en-US" w:eastAsia="zh-CN"/>
        </w:rPr>
        <w:t>2026</w:t>
      </w:r>
      <w:r>
        <w:rPr>
          <w:rFonts w:hint="eastAsia" w:ascii="宋体" w:hAnsi="宋体" w:eastAsia="方正小标宋简体" w:cs="方正小标宋简体"/>
          <w:bCs/>
          <w:sz w:val="30"/>
          <w:szCs w:val="30"/>
          <w:lang w:val="en-US" w:eastAsia="zh-CN"/>
        </w:rPr>
        <w:t>年预算表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7C61422">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_Toc9660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一、部门收支总表（公开表 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_Toc9660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123BD250">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_Toc28401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二、部门收入总表（公开表 1-1）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_Toc28401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6D2DFD22">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_Toc30121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三、部门支出总表（公开表 1-2）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_Toc30121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695B65F5">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_Toc5420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四、财政拨款收支预算总表（公开表 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_Toc5420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0D017592">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_Toc19345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五、财政拨款支出预算表（部门经济分类科目）</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_Toc19345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7D08DE80">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_Toc6598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六、一般公共预算支出预算表（公开表 3）</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_Toc6598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30C10B19">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_Toc2665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七、一般公共预算基本支出预算表（公开表 3-1）</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_Toc2665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10A92301">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_Toc22638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八、一般公共预算项目支出预算表（公开表 3-2）</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_Toc22638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5AF397A8">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_Toc14724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九、一般公共预算“三公”经费支出预算表</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_Toc14724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60E5BB29">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_Toc29698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十、政府性基金预算支出表（公开表 4）</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_Toc29698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1815C42A">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_Toc11710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十一、政府性基金预算“三公”经费支出预算表</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_Toc11710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324A136F">
      <w:pPr>
        <w:pStyle w:val="11"/>
        <w:tabs>
          <w:tab w:val="right" w:leader="dot" w:pos="9812"/>
        </w:tabs>
        <w:rPr>
          <w:rFonts w:ascii="宋体" w:hAnsi="宋体" w:eastAsia="宋体" w:cs="宋体"/>
          <w:sz w:val="30"/>
          <w:szCs w:val="30"/>
          <w:lang w:val="zh-CN" w:eastAsia="zh-CN" w:bidi="zh-CN"/>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_Toc32150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十二、国有资本经营预算支出表（公开表 5）</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_Toc32150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02885C82">
      <w:pPr>
        <w:pStyle w:val="11"/>
        <w:tabs>
          <w:tab w:val="right" w:leader="dot" w:pos="9812"/>
        </w:tabs>
        <w:rPr>
          <w:sz w:val="30"/>
          <w:szCs w:val="30"/>
        </w:rPr>
      </w:pPr>
      <w:r>
        <w:rPr>
          <w:rFonts w:hint="eastAsia" w:ascii="宋体" w:hAnsi="宋体" w:eastAsia="宋体" w:cs="宋体"/>
          <w:sz w:val="30"/>
          <w:szCs w:val="30"/>
          <w:lang w:val="en-US" w:eastAsia="zh-CN" w:bidi="zh-CN"/>
        </w:rPr>
        <w:fldChar w:fldCharType="begin"/>
      </w:r>
      <w:r>
        <w:rPr>
          <w:rFonts w:hint="eastAsia" w:ascii="宋体" w:hAnsi="宋体" w:eastAsia="宋体" w:cs="宋体"/>
          <w:sz w:val="30"/>
          <w:szCs w:val="30"/>
          <w:lang w:val="en-US" w:eastAsia="zh-CN" w:bidi="zh-CN"/>
        </w:rPr>
        <w:instrText xml:space="preserve"> HYPERLINK \l _Toc11478 </w:instrText>
      </w:r>
      <w:r>
        <w:rPr>
          <w:rFonts w:hint="eastAsia" w:ascii="宋体" w:hAnsi="宋体" w:eastAsia="宋体" w:cs="宋体"/>
          <w:sz w:val="30"/>
          <w:szCs w:val="30"/>
          <w:lang w:val="en-US" w:eastAsia="zh-CN" w:bidi="zh-CN"/>
        </w:rPr>
        <w:fldChar w:fldCharType="separate"/>
      </w:r>
      <w:r>
        <w:rPr>
          <w:rFonts w:hint="eastAsia" w:ascii="宋体" w:hAnsi="宋体" w:eastAsia="宋体" w:cs="宋体"/>
          <w:sz w:val="30"/>
          <w:szCs w:val="30"/>
          <w:lang w:val="en-US" w:eastAsia="zh-CN" w:bidi="zh-CN"/>
        </w:rPr>
        <w:t>以上所有表格详见部门说明后附件。</w:t>
      </w:r>
      <w:r>
        <w:rPr>
          <w:rFonts w:ascii="宋体" w:hAnsi="宋体" w:eastAsia="宋体" w:cs="宋体"/>
          <w:sz w:val="30"/>
          <w:szCs w:val="30"/>
          <w:lang w:val="zh-CN" w:eastAsia="zh-CN" w:bidi="zh-CN"/>
        </w:rPr>
        <w:tab/>
      </w:r>
      <w:r>
        <w:rPr>
          <w:rFonts w:ascii="宋体" w:hAnsi="宋体" w:eastAsia="宋体" w:cs="宋体"/>
          <w:sz w:val="30"/>
          <w:szCs w:val="30"/>
          <w:lang w:val="zh-CN" w:eastAsia="zh-CN" w:bidi="zh-CN"/>
        </w:rPr>
        <w:fldChar w:fldCharType="begin"/>
      </w:r>
      <w:r>
        <w:rPr>
          <w:rFonts w:ascii="宋体" w:hAnsi="宋体" w:eastAsia="宋体" w:cs="宋体"/>
          <w:sz w:val="30"/>
          <w:szCs w:val="30"/>
          <w:lang w:val="zh-CN" w:eastAsia="zh-CN" w:bidi="zh-CN"/>
        </w:rPr>
        <w:instrText xml:space="preserve"> PAGEREF _Toc11478 \h </w:instrText>
      </w:r>
      <w:r>
        <w:rPr>
          <w:rFonts w:ascii="宋体" w:hAnsi="宋体" w:eastAsia="宋体" w:cs="宋体"/>
          <w:sz w:val="30"/>
          <w:szCs w:val="30"/>
          <w:lang w:val="zh-CN" w:eastAsia="zh-CN" w:bidi="zh-CN"/>
        </w:rPr>
        <w:fldChar w:fldCharType="separate"/>
      </w:r>
      <w:r>
        <w:rPr>
          <w:rFonts w:ascii="宋体" w:hAnsi="宋体" w:eastAsia="宋体" w:cs="宋体"/>
          <w:sz w:val="30"/>
          <w:szCs w:val="30"/>
          <w:lang w:val="zh-CN" w:eastAsia="zh-CN" w:bidi="zh-CN"/>
        </w:rPr>
        <w:t>6</w:t>
      </w:r>
      <w:r>
        <w:rPr>
          <w:rFonts w:ascii="宋体" w:hAnsi="宋体" w:eastAsia="宋体" w:cs="宋体"/>
          <w:sz w:val="30"/>
          <w:szCs w:val="30"/>
          <w:lang w:val="zh-CN" w:eastAsia="zh-CN" w:bidi="zh-CN"/>
        </w:rPr>
        <w:fldChar w:fldCharType="end"/>
      </w:r>
      <w:r>
        <w:rPr>
          <w:rFonts w:hint="eastAsia" w:ascii="宋体" w:hAnsi="宋体" w:eastAsia="宋体" w:cs="宋体"/>
          <w:sz w:val="30"/>
          <w:szCs w:val="30"/>
          <w:lang w:val="en-US" w:eastAsia="zh-CN" w:bidi="zh-CN"/>
        </w:rPr>
        <w:fldChar w:fldCharType="end"/>
      </w:r>
    </w:p>
    <w:p w14:paraId="0094267C">
      <w:pPr>
        <w:pStyle w:val="10"/>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ascii="宋体" w:hAnsi="宋体" w:eastAsia="方正小标宋简体" w:cs="方正小标宋简体"/>
          <w:bCs/>
          <w:sz w:val="30"/>
          <w:szCs w:val="30"/>
          <w:lang w:val="en-US" w:eastAsia="zh-CN"/>
        </w:rPr>
        <w:t>五通桥区文化馆</w:t>
      </w:r>
      <w:r>
        <w:rPr>
          <w:rFonts w:hint="eastAsia" w:eastAsia="方正小标宋简体" w:cs="方正小标宋简体"/>
          <w:bCs/>
          <w:sz w:val="30"/>
          <w:szCs w:val="30"/>
          <w:lang w:val="en-US" w:eastAsia="zh-CN"/>
        </w:rPr>
        <w:t>2026</w:t>
      </w:r>
      <w:r>
        <w:rPr>
          <w:rFonts w:hint="eastAsia" w:ascii="宋体" w:hAnsi="宋体" w:eastAsia="方正小标宋简体" w:cs="方正小标宋简体"/>
          <w:bCs/>
          <w:sz w:val="30"/>
          <w:szCs w:val="30"/>
          <w:lang w:val="en-US" w:eastAsia="zh-CN"/>
        </w:rPr>
        <w:t>年</w:t>
      </w:r>
      <w:r>
        <w:rPr>
          <w:rFonts w:hint="eastAsia" w:ascii="宋体" w:hAnsi="宋体" w:eastAsia="方正小标宋简体" w:cs="方正小标宋简体"/>
          <w:sz w:val="30"/>
          <w:szCs w:val="30"/>
          <w:lang w:val="en-US" w:eastAsia="zh-CN"/>
        </w:rPr>
        <w:t>预算情况说明</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67CCBC">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D852BD5">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9042298">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CC68ED9">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50E4B2A">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74C64AD">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3FCAF6A">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335C0BC3">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79501F">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3237045">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8F004BE">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7E39C694">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C05F530">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A4C6C03">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196E486">
      <w:pPr>
        <w:pStyle w:val="11"/>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02FFF79A">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4C200921">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1BA49AC6">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64C11C67">
      <w:pPr>
        <w:pStyle w:val="7"/>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541297D9">
      <w:pPr>
        <w:pStyle w:val="10"/>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14:paraId="23BB579B">
      <w:pPr>
        <w:pStyle w:val="6"/>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p w14:paraId="4BB01F1B">
      <w:pPr>
        <w:pStyle w:val="6"/>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007A4A60">
      <w:pPr>
        <w:pStyle w:val="6"/>
        <w:rPr>
          <w:rFonts w:ascii="宋体" w:hAnsi="宋体"/>
          <w:sz w:val="20"/>
        </w:rPr>
      </w:pPr>
    </w:p>
    <w:p w14:paraId="1ACF8815">
      <w:pPr>
        <w:pStyle w:val="6"/>
        <w:rPr>
          <w:rFonts w:ascii="宋体" w:hAnsi="宋体"/>
          <w:sz w:val="20"/>
        </w:rPr>
      </w:pPr>
    </w:p>
    <w:p w14:paraId="34F00BF8">
      <w:pPr>
        <w:pStyle w:val="6"/>
        <w:rPr>
          <w:rFonts w:ascii="宋体" w:hAnsi="宋体"/>
          <w:sz w:val="20"/>
        </w:rPr>
      </w:pPr>
    </w:p>
    <w:p w14:paraId="49448CE9">
      <w:pPr>
        <w:pStyle w:val="6"/>
        <w:rPr>
          <w:rFonts w:ascii="宋体" w:hAnsi="宋体"/>
          <w:sz w:val="20"/>
        </w:rPr>
      </w:pPr>
    </w:p>
    <w:p w14:paraId="6A6FE56B">
      <w:pPr>
        <w:pStyle w:val="6"/>
        <w:rPr>
          <w:rFonts w:ascii="宋体" w:hAnsi="宋体"/>
          <w:sz w:val="20"/>
        </w:rPr>
      </w:pPr>
    </w:p>
    <w:p w14:paraId="646166EA">
      <w:pPr>
        <w:pStyle w:val="6"/>
        <w:rPr>
          <w:rFonts w:ascii="宋体" w:hAnsi="宋体"/>
          <w:sz w:val="20"/>
        </w:rPr>
      </w:pPr>
    </w:p>
    <w:p w14:paraId="7C1E28F6">
      <w:pPr>
        <w:pStyle w:val="6"/>
        <w:rPr>
          <w:rFonts w:ascii="宋体" w:hAnsi="宋体"/>
          <w:sz w:val="20"/>
        </w:rPr>
      </w:pPr>
    </w:p>
    <w:p w14:paraId="6D7456D8">
      <w:pPr>
        <w:pStyle w:val="6"/>
        <w:rPr>
          <w:rFonts w:ascii="宋体" w:hAnsi="宋体"/>
          <w:sz w:val="20"/>
        </w:rPr>
      </w:pPr>
    </w:p>
    <w:p w14:paraId="79C0D94A">
      <w:pPr>
        <w:pStyle w:val="6"/>
        <w:rPr>
          <w:rFonts w:ascii="宋体" w:hAnsi="宋体"/>
          <w:sz w:val="20"/>
        </w:rPr>
      </w:pPr>
    </w:p>
    <w:p w14:paraId="210327D1">
      <w:pPr>
        <w:pStyle w:val="6"/>
        <w:rPr>
          <w:rFonts w:ascii="宋体" w:hAnsi="宋体"/>
          <w:sz w:val="20"/>
        </w:rPr>
      </w:pPr>
    </w:p>
    <w:p w14:paraId="207A70EF">
      <w:pPr>
        <w:pStyle w:val="6"/>
        <w:rPr>
          <w:rFonts w:ascii="宋体" w:hAnsi="宋体"/>
          <w:sz w:val="20"/>
        </w:rPr>
      </w:pPr>
    </w:p>
    <w:p w14:paraId="31A0760A">
      <w:pPr>
        <w:pStyle w:val="6"/>
        <w:rPr>
          <w:rFonts w:ascii="宋体" w:hAnsi="宋体"/>
          <w:sz w:val="20"/>
        </w:rPr>
      </w:pPr>
    </w:p>
    <w:p w14:paraId="7E0E9FC4">
      <w:pPr>
        <w:pStyle w:val="6"/>
        <w:rPr>
          <w:rFonts w:ascii="宋体" w:hAnsi="宋体"/>
          <w:sz w:val="20"/>
        </w:rPr>
      </w:pPr>
    </w:p>
    <w:p w14:paraId="3677CACF">
      <w:pPr>
        <w:pStyle w:val="6"/>
        <w:rPr>
          <w:rFonts w:ascii="宋体" w:hAnsi="宋体"/>
          <w:sz w:val="20"/>
        </w:rPr>
      </w:pPr>
    </w:p>
    <w:p w14:paraId="1AF5F503">
      <w:pPr>
        <w:pStyle w:val="6"/>
        <w:rPr>
          <w:rFonts w:ascii="宋体" w:hAnsi="宋体"/>
          <w:sz w:val="20"/>
        </w:rPr>
      </w:pPr>
    </w:p>
    <w:p w14:paraId="3F8C50F0">
      <w:pPr>
        <w:pStyle w:val="6"/>
        <w:rPr>
          <w:rFonts w:ascii="宋体" w:hAnsi="宋体"/>
          <w:sz w:val="20"/>
        </w:rPr>
      </w:pPr>
    </w:p>
    <w:p w14:paraId="71A82752">
      <w:pPr>
        <w:pStyle w:val="6"/>
        <w:rPr>
          <w:rFonts w:ascii="宋体" w:hAnsi="宋体"/>
          <w:sz w:val="20"/>
        </w:rPr>
      </w:pPr>
    </w:p>
    <w:p w14:paraId="334B7535">
      <w:pPr>
        <w:pStyle w:val="6"/>
        <w:rPr>
          <w:rFonts w:ascii="宋体" w:hAnsi="宋体"/>
          <w:sz w:val="20"/>
        </w:rPr>
      </w:pPr>
    </w:p>
    <w:p w14:paraId="72017E4F">
      <w:pPr>
        <w:pStyle w:val="6"/>
        <w:rPr>
          <w:rFonts w:ascii="宋体" w:hAnsi="宋体"/>
          <w:sz w:val="20"/>
        </w:rPr>
      </w:pPr>
    </w:p>
    <w:p w14:paraId="4534D2A9">
      <w:pPr>
        <w:pStyle w:val="6"/>
        <w:rPr>
          <w:rFonts w:ascii="宋体" w:hAnsi="宋体"/>
          <w:sz w:val="20"/>
        </w:rPr>
      </w:pPr>
    </w:p>
    <w:p w14:paraId="369E47A0">
      <w:pPr>
        <w:pStyle w:val="6"/>
        <w:spacing w:before="3"/>
        <w:rPr>
          <w:rFonts w:ascii="宋体" w:hAnsi="宋体"/>
          <w:sz w:val="28"/>
        </w:rPr>
      </w:pPr>
    </w:p>
    <w:p w14:paraId="5B17F561">
      <w:pPr>
        <w:pStyle w:val="6"/>
        <w:numPr>
          <w:ilvl w:val="0"/>
          <w:numId w:val="1"/>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14:paraId="2B86E036">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25BC583F">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14:paraId="7268C26C">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5A46A9CB">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14:paraId="76089CC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w:t>
      </w:r>
      <w:r>
        <w:rPr>
          <w:rFonts w:hint="eastAsia" w:ascii="宋体" w:hAnsi="宋体"/>
          <w:lang w:eastAsia="zh-CN"/>
        </w:rPr>
        <w:t>单位</w:t>
      </w:r>
      <w:r>
        <w:rPr>
          <w:rFonts w:ascii="宋体" w:hAnsi="宋体"/>
        </w:rPr>
        <w:t>职能简介</w:t>
      </w:r>
      <w:bookmarkEnd w:id="2"/>
    </w:p>
    <w:p w14:paraId="79D72BB7">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bookmarkStart w:id="3" w:name="_Toc6714"/>
      <w:r>
        <w:rPr>
          <w:rFonts w:hint="eastAsia" w:ascii="仿宋_GB2312" w:hAnsi="仿宋_GB2312" w:eastAsia="仿宋_GB2312" w:cs="仿宋_GB2312"/>
          <w:color w:val="auto"/>
          <w:sz w:val="32"/>
          <w:szCs w:val="22"/>
          <w:lang w:val="en-US" w:eastAsia="zh-CN" w:bidi="zh-CN"/>
        </w:rPr>
        <w:t>1.</w:t>
      </w:r>
      <w:r>
        <w:rPr>
          <w:rFonts w:hint="default" w:ascii="仿宋_GB2312" w:hAnsi="仿宋_GB2312" w:eastAsia="仿宋_GB2312" w:cs="仿宋_GB2312"/>
          <w:color w:val="auto"/>
          <w:sz w:val="32"/>
          <w:szCs w:val="22"/>
          <w:lang w:val="zh-CN" w:eastAsia="zh-CN" w:bidi="zh-CN"/>
        </w:rPr>
        <w:t>策划组织各类群众文化活动，举办美术、书法、摄影、非遗等艺术展览</w:t>
      </w:r>
      <w:r>
        <w:rPr>
          <w:rFonts w:hint="eastAsia" w:ascii="仿宋_GB2312" w:hAnsi="仿宋_GB2312" w:eastAsia="仿宋_GB2312" w:cs="仿宋_GB2312"/>
          <w:color w:val="auto"/>
          <w:sz w:val="32"/>
          <w:szCs w:val="22"/>
          <w:lang w:val="zh-CN" w:eastAsia="zh-CN" w:bidi="zh-CN"/>
        </w:rPr>
        <w:t>。</w:t>
      </w:r>
    </w:p>
    <w:p w14:paraId="3596C6A3">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r>
        <w:rPr>
          <w:rFonts w:hint="eastAsia" w:ascii="仿宋_GB2312" w:hAnsi="仿宋_GB2312" w:eastAsia="仿宋_GB2312" w:cs="仿宋_GB2312"/>
          <w:color w:val="auto"/>
          <w:sz w:val="32"/>
          <w:szCs w:val="22"/>
          <w:lang w:val="en-US" w:eastAsia="zh-CN" w:bidi="zh-CN"/>
        </w:rPr>
        <w:t>2.</w:t>
      </w:r>
      <w:r>
        <w:rPr>
          <w:rFonts w:hint="default" w:ascii="仿宋_GB2312" w:hAnsi="仿宋_GB2312" w:eastAsia="仿宋_GB2312" w:cs="仿宋_GB2312"/>
          <w:color w:val="auto"/>
          <w:sz w:val="32"/>
          <w:szCs w:val="22"/>
          <w:lang w:val="zh-CN" w:eastAsia="zh-CN" w:bidi="zh-CN"/>
        </w:rPr>
        <w:t>收集、整理、研究非物质文化遗产，收藏美术作品</w:t>
      </w:r>
      <w:r>
        <w:rPr>
          <w:rFonts w:hint="eastAsia" w:ascii="仿宋_GB2312" w:hAnsi="仿宋_GB2312" w:eastAsia="仿宋_GB2312" w:cs="仿宋_GB2312"/>
          <w:color w:val="auto"/>
          <w:sz w:val="32"/>
          <w:szCs w:val="22"/>
          <w:lang w:val="zh-CN" w:eastAsia="zh-CN" w:bidi="zh-CN"/>
        </w:rPr>
        <w:t>。</w:t>
      </w:r>
    </w:p>
    <w:p w14:paraId="509E1E17">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r>
        <w:rPr>
          <w:rFonts w:hint="eastAsia" w:ascii="仿宋_GB2312" w:hAnsi="仿宋_GB2312" w:eastAsia="仿宋_GB2312" w:cs="仿宋_GB2312"/>
          <w:color w:val="auto"/>
          <w:sz w:val="32"/>
          <w:szCs w:val="22"/>
          <w:lang w:val="en-US" w:eastAsia="zh-CN" w:bidi="zh-CN"/>
        </w:rPr>
        <w:t>3.</w:t>
      </w:r>
      <w:r>
        <w:rPr>
          <w:rFonts w:hint="default" w:ascii="仿宋_GB2312" w:hAnsi="仿宋_GB2312" w:eastAsia="仿宋_GB2312" w:cs="仿宋_GB2312"/>
          <w:color w:val="auto"/>
          <w:sz w:val="32"/>
          <w:szCs w:val="22"/>
          <w:lang w:val="zh-CN" w:eastAsia="zh-CN" w:bidi="zh-CN"/>
        </w:rPr>
        <w:t>收集、研究有关文化、历史、艺术等方面的信息</w:t>
      </w:r>
      <w:r>
        <w:rPr>
          <w:rFonts w:hint="eastAsia" w:ascii="仿宋_GB2312" w:hAnsi="仿宋_GB2312" w:eastAsia="仿宋_GB2312" w:cs="仿宋_GB2312"/>
          <w:color w:val="auto"/>
          <w:sz w:val="32"/>
          <w:szCs w:val="22"/>
          <w:lang w:val="zh-CN" w:eastAsia="zh-CN" w:bidi="zh-CN"/>
        </w:rPr>
        <w:t>。</w:t>
      </w:r>
    </w:p>
    <w:p w14:paraId="0F1E607E">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r>
        <w:rPr>
          <w:rFonts w:hint="eastAsia" w:ascii="仿宋_GB2312" w:hAnsi="仿宋_GB2312" w:eastAsia="仿宋_GB2312" w:cs="仿宋_GB2312"/>
          <w:color w:val="auto"/>
          <w:sz w:val="32"/>
          <w:szCs w:val="22"/>
          <w:lang w:val="en-US" w:eastAsia="zh-CN" w:bidi="zh-CN"/>
        </w:rPr>
        <w:t>4.</w:t>
      </w:r>
      <w:r>
        <w:rPr>
          <w:rFonts w:hint="default" w:ascii="仿宋_GB2312" w:hAnsi="仿宋_GB2312" w:eastAsia="仿宋_GB2312" w:cs="仿宋_GB2312"/>
          <w:color w:val="auto"/>
          <w:sz w:val="32"/>
          <w:szCs w:val="22"/>
          <w:lang w:val="zh-CN" w:eastAsia="zh-CN" w:bidi="zh-CN"/>
        </w:rPr>
        <w:t>培养全区文艺骨干人才，指导文艺创作，繁荣群众文化事业</w:t>
      </w:r>
      <w:r>
        <w:rPr>
          <w:rFonts w:hint="eastAsia" w:ascii="仿宋_GB2312" w:hAnsi="仿宋_GB2312" w:eastAsia="仿宋_GB2312" w:cs="仿宋_GB2312"/>
          <w:color w:val="auto"/>
          <w:sz w:val="32"/>
          <w:szCs w:val="22"/>
          <w:lang w:val="zh-CN" w:eastAsia="zh-CN" w:bidi="zh-CN"/>
        </w:rPr>
        <w:t>。</w:t>
      </w:r>
    </w:p>
    <w:p w14:paraId="3D9C52FB">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r>
        <w:rPr>
          <w:rFonts w:hint="eastAsia" w:ascii="仿宋_GB2312" w:hAnsi="仿宋_GB2312" w:eastAsia="仿宋_GB2312" w:cs="仿宋_GB2312"/>
          <w:color w:val="auto"/>
          <w:sz w:val="32"/>
          <w:szCs w:val="22"/>
          <w:lang w:val="en-US" w:eastAsia="zh-CN" w:bidi="zh-CN"/>
        </w:rPr>
        <w:t>5.</w:t>
      </w:r>
      <w:r>
        <w:rPr>
          <w:rFonts w:hint="default" w:ascii="仿宋_GB2312" w:hAnsi="仿宋_GB2312" w:eastAsia="仿宋_GB2312" w:cs="仿宋_GB2312"/>
          <w:color w:val="auto"/>
          <w:sz w:val="32"/>
          <w:szCs w:val="22"/>
          <w:lang w:val="zh-CN" w:eastAsia="zh-CN" w:bidi="zh-CN"/>
        </w:rPr>
        <w:t>传播、弘扬五通桥书画历史、文化和艺术知识</w:t>
      </w:r>
      <w:r>
        <w:rPr>
          <w:rFonts w:hint="eastAsia" w:ascii="仿宋_GB2312" w:hAnsi="仿宋_GB2312" w:eastAsia="仿宋_GB2312" w:cs="仿宋_GB2312"/>
          <w:color w:val="auto"/>
          <w:sz w:val="32"/>
          <w:szCs w:val="22"/>
          <w:lang w:val="zh-CN" w:eastAsia="zh-CN" w:bidi="zh-CN"/>
        </w:rPr>
        <w:t>。</w:t>
      </w:r>
    </w:p>
    <w:p w14:paraId="44FE42B3">
      <w:pPr>
        <w:pStyle w:val="6"/>
        <w:adjustRightInd w:val="0"/>
        <w:snapToGrid w:val="0"/>
        <w:spacing w:before="72" w:line="600" w:lineRule="exact"/>
        <w:ind w:left="319" w:leftChars="145" w:firstLine="640" w:firstLineChars="200"/>
        <w:outlineLvl w:val="2"/>
        <w:rPr>
          <w:rFonts w:hint="default" w:ascii="仿宋_GB2312" w:hAnsi="仿宋_GB2312" w:eastAsia="仿宋_GB2312" w:cs="仿宋_GB2312"/>
          <w:color w:val="auto"/>
          <w:sz w:val="32"/>
          <w:szCs w:val="22"/>
          <w:lang w:val="zh-CN" w:eastAsia="zh-CN" w:bidi="zh-CN"/>
        </w:rPr>
      </w:pPr>
      <w:r>
        <w:rPr>
          <w:rFonts w:hint="eastAsia" w:ascii="仿宋_GB2312" w:hAnsi="仿宋_GB2312" w:eastAsia="仿宋_GB2312" w:cs="仿宋_GB2312"/>
          <w:color w:val="auto"/>
          <w:sz w:val="32"/>
          <w:szCs w:val="22"/>
          <w:lang w:val="en-US" w:eastAsia="zh-CN" w:bidi="zh-CN"/>
        </w:rPr>
        <w:t>6.</w:t>
      </w:r>
      <w:r>
        <w:rPr>
          <w:rFonts w:hint="default" w:ascii="仿宋_GB2312" w:hAnsi="仿宋_GB2312" w:eastAsia="仿宋_GB2312" w:cs="仿宋_GB2312"/>
          <w:color w:val="auto"/>
          <w:sz w:val="32"/>
          <w:szCs w:val="22"/>
          <w:lang w:val="zh-CN" w:eastAsia="zh-CN" w:bidi="zh-CN"/>
        </w:rPr>
        <w:t>指导乡镇文化站活动开展</w:t>
      </w:r>
      <w:r>
        <w:rPr>
          <w:rFonts w:hint="eastAsia" w:ascii="仿宋_GB2312" w:hAnsi="仿宋_GB2312" w:eastAsia="仿宋_GB2312" w:cs="仿宋_GB2312"/>
          <w:color w:val="auto"/>
          <w:sz w:val="32"/>
          <w:szCs w:val="22"/>
          <w:lang w:val="zh-CN" w:eastAsia="zh-CN" w:bidi="zh-CN"/>
        </w:rPr>
        <w:t>。</w:t>
      </w:r>
    </w:p>
    <w:p w14:paraId="73EE7F34">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lang w:val="en-US" w:eastAsia="zh-CN" w:bidi="zh-CN"/>
        </w:rPr>
      </w:pPr>
      <w:r>
        <w:rPr>
          <w:rFonts w:hint="eastAsia" w:ascii="仿宋_GB2312" w:hAnsi="仿宋_GB2312" w:eastAsia="仿宋_GB2312" w:cs="仿宋_GB2312"/>
          <w:color w:val="auto"/>
          <w:sz w:val="32"/>
          <w:szCs w:val="22"/>
          <w:lang w:val="en-US" w:eastAsia="zh-CN" w:bidi="zh-CN"/>
        </w:rPr>
        <w:t>7.</w:t>
      </w:r>
      <w:r>
        <w:rPr>
          <w:rFonts w:hint="default" w:ascii="仿宋_GB2312" w:hAnsi="仿宋_GB2312" w:eastAsia="仿宋_GB2312" w:cs="仿宋_GB2312"/>
          <w:color w:val="auto"/>
          <w:sz w:val="32"/>
          <w:szCs w:val="22"/>
          <w:lang w:val="zh-CN" w:eastAsia="zh-CN" w:bidi="zh-CN"/>
        </w:rPr>
        <w:t>完成局机关交办的其他工作。</w:t>
      </w:r>
    </w:p>
    <w:p w14:paraId="58C76C9C">
      <w:pPr>
        <w:pStyle w:val="2"/>
        <w:rPr>
          <w:rFonts w:hint="eastAsia"/>
        </w:rPr>
      </w:pPr>
    </w:p>
    <w:p w14:paraId="2B5D6B28">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w:t>
      </w:r>
      <w:r>
        <w:rPr>
          <w:rFonts w:hint="eastAsia" w:ascii="宋体" w:hAnsi="宋体"/>
          <w:lang w:eastAsia="zh-CN"/>
        </w:rPr>
        <w:t>单位</w:t>
      </w:r>
      <w:r>
        <w:rPr>
          <w:rFonts w:hint="eastAsia" w:ascii="宋体" w:hAnsi="宋体"/>
          <w:lang w:val="en-US" w:eastAsia="zh-CN"/>
        </w:rPr>
        <w:t>2026</w:t>
      </w:r>
      <w:r>
        <w:rPr>
          <w:rFonts w:ascii="宋体" w:hAnsi="宋体"/>
        </w:rPr>
        <w:t>年重点工</w:t>
      </w:r>
      <w:r>
        <w:rPr>
          <w:rFonts w:hint="eastAsia" w:ascii="宋体" w:hAnsi="宋体"/>
        </w:rPr>
        <w:t>作</w:t>
      </w:r>
      <w:bookmarkEnd w:id="3"/>
    </w:p>
    <w:p w14:paraId="539C5628">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bookmarkStart w:id="4" w:name="_Toc20578"/>
      <w:r>
        <w:rPr>
          <w:rFonts w:hint="eastAsia" w:ascii="仿宋_GB2312" w:hAnsi="仿宋_GB2312" w:eastAsia="仿宋_GB2312" w:cs="仿宋_GB2312"/>
          <w:color w:val="auto"/>
          <w:sz w:val="32"/>
          <w:szCs w:val="22"/>
          <w:highlight w:val="none"/>
          <w:lang w:val="en-US" w:eastAsia="zh-CN" w:bidi="zh-CN"/>
        </w:rPr>
        <w:t>1、继续开展馆内常规工作，开展错时、延时文化服务，保障文化馆场地全年免费开放，为到馆人员提供免费场地，并提供相应的文艺指导和帮助。提升我馆数字文化服务建设，结合线上、线下开展丰富的文化活动。</w:t>
      </w:r>
    </w:p>
    <w:p w14:paraId="1BDC7CCC">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2、开展文化大赶场系列活动、春节期间各乡镇、社团文艺演出活动等。</w:t>
      </w:r>
    </w:p>
    <w:p w14:paraId="32D0107E">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3、开展“五桥逸韵”免费培训班，计划公益性文化艺术类培训项目200余课时。课程包含：声乐、舞蹈、书法、国画、素描、工笔画、普通话等。</w:t>
      </w:r>
    </w:p>
    <w:p w14:paraId="3B76BE66">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4、开展“通材讲堂”系列公益讲座。内容涉及:传统文化、历史、革命传统、地方文化、民俗文化、文学艺术等活动。</w:t>
      </w:r>
    </w:p>
    <w:p w14:paraId="64C3B299">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5、开展公益性文化活动20余场。内容涉及：送文化下乡下基层、艺术辅导进校园进社区、基层文化骨干业务辅导、民间文化传承活动、开展流动文化服务、开展文化汇演排练活动等。</w:t>
      </w:r>
    </w:p>
    <w:p w14:paraId="5ECC7C55">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6、积极加强馆际交流，与各地文化馆开展深度合作。继续创作并推广具有我区地方特色的优秀的文艺作品，利用新媒体等方式进行推广。</w:t>
      </w:r>
    </w:p>
    <w:p w14:paraId="64D44D3E">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ascii="仿宋_GB2312" w:hAnsi="仿宋_GB2312" w:eastAsia="仿宋_GB2312" w:cs="仿宋_GB2312"/>
          <w:color w:val="auto"/>
          <w:sz w:val="32"/>
          <w:szCs w:val="22"/>
          <w:highlight w:val="none"/>
          <w:lang w:val="en-US" w:eastAsia="zh-CN" w:bidi="zh-CN"/>
        </w:rPr>
        <w:t>7、持续开展五通桥区非物质文化遗产代表性项目传承人申报工作，深入挖掘五通桥区第五批区级非物质文化遗产代表性项目。</w:t>
      </w:r>
    </w:p>
    <w:p w14:paraId="11041B3F">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cs="仿宋_GB2312"/>
          <w:color w:val="auto"/>
          <w:sz w:val="32"/>
          <w:szCs w:val="22"/>
          <w:highlight w:val="none"/>
          <w:lang w:val="en-US" w:eastAsia="zh-CN" w:bidi="zh-CN"/>
        </w:rPr>
        <w:t>8</w:t>
      </w:r>
      <w:r>
        <w:rPr>
          <w:rFonts w:hint="eastAsia" w:ascii="仿宋_GB2312" w:hAnsi="仿宋_GB2312" w:eastAsia="仿宋_GB2312" w:cs="仿宋_GB2312"/>
          <w:color w:val="auto"/>
          <w:sz w:val="32"/>
          <w:szCs w:val="22"/>
          <w:highlight w:val="none"/>
          <w:lang w:val="en-US" w:eastAsia="zh-CN" w:bidi="zh-CN"/>
        </w:rPr>
        <w:t>、开展“五桥逸韵”免费培训班群众文化汇报演出，为学员提供展示的平台，把所学、所获通过文艺汇报的形式进行舞台展示。</w:t>
      </w:r>
    </w:p>
    <w:p w14:paraId="7F0D4D3A">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cs="仿宋_GB2312"/>
          <w:color w:val="auto"/>
          <w:sz w:val="32"/>
          <w:szCs w:val="22"/>
          <w:highlight w:val="none"/>
          <w:lang w:val="en-US" w:eastAsia="zh-CN" w:bidi="zh-CN"/>
        </w:rPr>
        <w:t>9</w:t>
      </w:r>
      <w:r>
        <w:rPr>
          <w:rFonts w:hint="eastAsia" w:ascii="仿宋_GB2312" w:hAnsi="仿宋_GB2312" w:eastAsia="仿宋_GB2312" w:cs="仿宋_GB2312"/>
          <w:color w:val="auto"/>
          <w:sz w:val="32"/>
          <w:szCs w:val="22"/>
          <w:highlight w:val="none"/>
          <w:lang w:val="en-US" w:eastAsia="zh-CN" w:bidi="zh-CN"/>
        </w:rPr>
        <w:t>、完成上级指派的相应文艺活动任务，为全区的企事业单位提供文艺指导。</w:t>
      </w:r>
    </w:p>
    <w:p w14:paraId="0ECDF4AA">
      <w:pPr>
        <w:pStyle w:val="6"/>
        <w:adjustRightInd w:val="0"/>
        <w:snapToGrid w:val="0"/>
        <w:spacing w:before="72" w:line="600" w:lineRule="exact"/>
        <w:ind w:left="319" w:leftChars="145" w:firstLine="640" w:firstLineChars="200"/>
        <w:outlineLvl w:val="2"/>
        <w:rPr>
          <w:rFonts w:hint="eastAsia" w:ascii="仿宋_GB2312" w:hAnsi="仿宋_GB2312" w:eastAsia="仿宋_GB2312" w:cs="仿宋_GB2312"/>
          <w:color w:val="auto"/>
          <w:sz w:val="32"/>
          <w:szCs w:val="22"/>
          <w:highlight w:val="none"/>
          <w:lang w:val="en-US" w:eastAsia="zh-CN" w:bidi="zh-CN"/>
        </w:rPr>
      </w:pPr>
      <w:r>
        <w:rPr>
          <w:rFonts w:hint="eastAsia" w:cs="仿宋_GB2312"/>
          <w:color w:val="auto"/>
          <w:sz w:val="32"/>
          <w:szCs w:val="22"/>
          <w:highlight w:val="none"/>
          <w:lang w:val="en-US" w:eastAsia="zh-CN" w:bidi="zh-CN"/>
        </w:rPr>
        <w:t>10</w:t>
      </w:r>
      <w:r>
        <w:rPr>
          <w:rFonts w:hint="eastAsia" w:ascii="仿宋_GB2312" w:hAnsi="仿宋_GB2312" w:eastAsia="仿宋_GB2312" w:cs="仿宋_GB2312"/>
          <w:color w:val="auto"/>
          <w:sz w:val="32"/>
          <w:szCs w:val="22"/>
          <w:highlight w:val="none"/>
          <w:lang w:val="en-US" w:eastAsia="zh-CN" w:bidi="zh-CN"/>
        </w:rPr>
        <w:t>、完成业务用房小范围修缮及零星业务设备更新；推动文化馆数字化进一步建设。</w:t>
      </w:r>
    </w:p>
    <w:p w14:paraId="0D4E8669">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0E6EF70F">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134A4D83">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32DC1235">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44745607">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0349AC7C">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45B38C0D">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p>
    <w:p w14:paraId="1AB40A73">
      <w:pPr>
        <w:pStyle w:val="6"/>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二、部门预算单位构成</w:t>
      </w:r>
      <w:bookmarkEnd w:id="4"/>
    </w:p>
    <w:tbl>
      <w:tblPr>
        <w:tblStyle w:val="12"/>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2BCA05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76554ED6">
            <w:pPr>
              <w:pStyle w:val="17"/>
              <w:spacing w:before="159"/>
              <w:ind w:left="748"/>
              <w:rPr>
                <w:rFonts w:hint="eastAsia" w:ascii="宋体" w:hAnsi="宋体" w:eastAsia="仿宋_GB2312"/>
                <w:sz w:val="32"/>
              </w:rPr>
            </w:pPr>
            <w:r>
              <w:rPr>
                <w:rFonts w:hint="eastAsia" w:ascii="宋体" w:hAnsi="宋体" w:eastAsia="仿宋_GB2312"/>
                <w:color w:val="333333"/>
                <w:sz w:val="32"/>
              </w:rPr>
              <w:t>序号</w:t>
            </w:r>
          </w:p>
        </w:tc>
        <w:tc>
          <w:tcPr>
            <w:tcW w:w="6282" w:type="dxa"/>
          </w:tcPr>
          <w:p w14:paraId="174E768A">
            <w:pPr>
              <w:pStyle w:val="17"/>
              <w:spacing w:before="159"/>
              <w:ind w:left="2498"/>
              <w:rPr>
                <w:rFonts w:hint="eastAsia" w:ascii="宋体" w:hAnsi="宋体" w:eastAsia="仿宋_GB2312"/>
                <w:sz w:val="32"/>
              </w:rPr>
            </w:pPr>
            <w:r>
              <w:rPr>
                <w:rFonts w:hint="eastAsia" w:ascii="宋体" w:hAnsi="宋体" w:eastAsia="仿宋_GB2312"/>
                <w:color w:val="333333"/>
                <w:sz w:val="32"/>
              </w:rPr>
              <w:t>预算单位名称</w:t>
            </w:r>
          </w:p>
        </w:tc>
      </w:tr>
      <w:tr w14:paraId="4343A2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6DC0FF90">
            <w:pPr>
              <w:pStyle w:val="17"/>
              <w:spacing w:before="181"/>
              <w:ind w:left="748"/>
              <w:rPr>
                <w:rFonts w:ascii="宋体" w:hAnsi="宋体"/>
                <w:sz w:val="32"/>
              </w:rPr>
            </w:pPr>
            <w:r>
              <w:rPr>
                <w:rFonts w:ascii="宋体" w:hAnsi="宋体"/>
                <w:color w:val="333333"/>
                <w:w w:val="99"/>
                <w:sz w:val="32"/>
              </w:rPr>
              <w:t>1</w:t>
            </w:r>
          </w:p>
        </w:tc>
        <w:tc>
          <w:tcPr>
            <w:tcW w:w="6282" w:type="dxa"/>
          </w:tcPr>
          <w:p w14:paraId="0677C779">
            <w:pPr>
              <w:pStyle w:val="17"/>
              <w:spacing w:before="160"/>
              <w:ind w:firstLine="1280" w:firstLineChars="400"/>
              <w:rPr>
                <w:rFonts w:hint="eastAsia" w:ascii="宋体" w:hAnsi="宋体" w:eastAsia="仿宋_GB2312"/>
                <w:sz w:val="32"/>
                <w:lang w:eastAsia="zh-CN"/>
              </w:rPr>
            </w:pPr>
            <w:r>
              <w:rPr>
                <w:rFonts w:hint="eastAsia" w:ascii="仿宋_GB2312" w:hAnsi="仿宋" w:eastAsia="仿宋_GB2312" w:cs="仿宋_GB2312"/>
                <w:color w:val="auto"/>
                <w:sz w:val="32"/>
                <w:szCs w:val="32"/>
              </w:rPr>
              <w:t>五通桥区文化馆</w:t>
            </w:r>
            <w:r>
              <w:rPr>
                <w:rFonts w:hint="eastAsia" w:ascii="仿宋_GB2312" w:hAnsi="仿宋" w:eastAsia="仿宋_GB2312" w:cs="仿宋_GB2312"/>
                <w:color w:val="auto"/>
                <w:sz w:val="32"/>
                <w:szCs w:val="32"/>
                <w:lang w:eastAsia="zh-CN"/>
              </w:rPr>
              <w:t>（</w:t>
            </w:r>
            <w:r>
              <w:rPr>
                <w:rFonts w:hint="eastAsia" w:ascii="仿宋_GB2312" w:hAnsi="仿宋" w:eastAsia="仿宋_GB2312" w:cs="仿宋_GB2312"/>
                <w:color w:val="auto"/>
                <w:sz w:val="32"/>
                <w:szCs w:val="32"/>
                <w:lang w:val="en-US" w:eastAsia="zh-CN"/>
              </w:rPr>
              <w:t>五通桥美术馆</w:t>
            </w:r>
            <w:r>
              <w:rPr>
                <w:rFonts w:hint="eastAsia" w:ascii="仿宋_GB2312" w:hAnsi="仿宋" w:eastAsia="仿宋_GB2312" w:cs="仿宋_GB2312"/>
                <w:color w:val="auto"/>
                <w:sz w:val="32"/>
                <w:szCs w:val="32"/>
                <w:lang w:eastAsia="zh-CN"/>
              </w:rPr>
              <w:t>）</w:t>
            </w:r>
          </w:p>
        </w:tc>
      </w:tr>
    </w:tbl>
    <w:p w14:paraId="6FC7D07A">
      <w:pPr>
        <w:rPr>
          <w:rFonts w:ascii="宋体" w:hAnsi="宋体"/>
          <w:sz w:val="20"/>
        </w:rPr>
      </w:pPr>
      <w:r>
        <w:rPr>
          <w:rFonts w:ascii="宋体" w:hAnsi="宋体"/>
          <w:sz w:val="20"/>
        </w:rPr>
        <w:br w:type="page"/>
      </w:r>
    </w:p>
    <w:p w14:paraId="75C966C3">
      <w:pPr>
        <w:pStyle w:val="6"/>
        <w:rPr>
          <w:rFonts w:ascii="宋体" w:hAnsi="宋体"/>
          <w:sz w:val="20"/>
        </w:rPr>
      </w:pPr>
    </w:p>
    <w:p w14:paraId="3224B892">
      <w:pPr>
        <w:pStyle w:val="6"/>
        <w:rPr>
          <w:rFonts w:ascii="宋体" w:hAnsi="宋体"/>
          <w:sz w:val="20"/>
        </w:rPr>
      </w:pPr>
    </w:p>
    <w:p w14:paraId="4717C19A">
      <w:pPr>
        <w:pStyle w:val="6"/>
        <w:rPr>
          <w:rFonts w:ascii="宋体" w:hAnsi="宋体"/>
          <w:sz w:val="20"/>
        </w:rPr>
      </w:pPr>
    </w:p>
    <w:p w14:paraId="4B16D8F8">
      <w:pPr>
        <w:pStyle w:val="6"/>
        <w:rPr>
          <w:rFonts w:ascii="宋体" w:hAnsi="宋体"/>
          <w:sz w:val="20"/>
        </w:rPr>
      </w:pPr>
    </w:p>
    <w:p w14:paraId="5D03CA29">
      <w:pPr>
        <w:pStyle w:val="6"/>
        <w:rPr>
          <w:rFonts w:ascii="宋体" w:hAnsi="宋体"/>
          <w:sz w:val="20"/>
        </w:rPr>
      </w:pPr>
    </w:p>
    <w:p w14:paraId="045BCFD2">
      <w:pPr>
        <w:pStyle w:val="6"/>
        <w:rPr>
          <w:rFonts w:ascii="宋体" w:hAnsi="宋体"/>
          <w:sz w:val="20"/>
        </w:rPr>
      </w:pPr>
    </w:p>
    <w:p w14:paraId="471CABE4">
      <w:pPr>
        <w:pStyle w:val="6"/>
        <w:rPr>
          <w:rFonts w:ascii="宋体" w:hAnsi="宋体"/>
          <w:sz w:val="20"/>
        </w:rPr>
      </w:pPr>
    </w:p>
    <w:p w14:paraId="2417C109">
      <w:pPr>
        <w:pStyle w:val="6"/>
        <w:rPr>
          <w:rFonts w:ascii="宋体" w:hAnsi="宋体"/>
          <w:sz w:val="20"/>
        </w:rPr>
      </w:pPr>
    </w:p>
    <w:p w14:paraId="1C0F5CBE">
      <w:pPr>
        <w:pStyle w:val="6"/>
        <w:rPr>
          <w:rFonts w:ascii="宋体" w:hAnsi="宋体"/>
          <w:sz w:val="20"/>
        </w:rPr>
      </w:pPr>
    </w:p>
    <w:p w14:paraId="5E5267E6">
      <w:pPr>
        <w:pStyle w:val="6"/>
        <w:rPr>
          <w:rFonts w:ascii="宋体" w:hAnsi="宋体"/>
          <w:sz w:val="20"/>
        </w:rPr>
      </w:pPr>
    </w:p>
    <w:p w14:paraId="6EE8CEA0">
      <w:pPr>
        <w:pStyle w:val="6"/>
        <w:rPr>
          <w:rFonts w:ascii="宋体" w:hAnsi="宋体"/>
          <w:sz w:val="20"/>
        </w:rPr>
      </w:pPr>
    </w:p>
    <w:p w14:paraId="13DD82EC">
      <w:pPr>
        <w:pStyle w:val="6"/>
        <w:rPr>
          <w:rFonts w:ascii="宋体" w:hAnsi="宋体"/>
          <w:sz w:val="20"/>
        </w:rPr>
      </w:pPr>
    </w:p>
    <w:p w14:paraId="7FE1E735">
      <w:pPr>
        <w:pStyle w:val="6"/>
        <w:rPr>
          <w:rFonts w:ascii="宋体" w:hAnsi="宋体"/>
          <w:sz w:val="20"/>
        </w:rPr>
      </w:pPr>
    </w:p>
    <w:p w14:paraId="42E3CCD5">
      <w:pPr>
        <w:pStyle w:val="6"/>
        <w:rPr>
          <w:rFonts w:ascii="宋体" w:hAnsi="宋体"/>
          <w:sz w:val="20"/>
        </w:rPr>
      </w:pPr>
    </w:p>
    <w:p w14:paraId="1B8DDAA6">
      <w:pPr>
        <w:pStyle w:val="6"/>
        <w:rPr>
          <w:rFonts w:ascii="宋体" w:hAnsi="宋体"/>
          <w:sz w:val="20"/>
        </w:rPr>
      </w:pPr>
    </w:p>
    <w:p w14:paraId="16C0A0AC">
      <w:pPr>
        <w:pStyle w:val="6"/>
        <w:rPr>
          <w:rFonts w:ascii="宋体" w:hAnsi="宋体"/>
          <w:sz w:val="20"/>
        </w:rPr>
      </w:pPr>
    </w:p>
    <w:p w14:paraId="7C9F5947">
      <w:pPr>
        <w:pStyle w:val="6"/>
        <w:rPr>
          <w:rFonts w:ascii="宋体" w:hAnsi="宋体"/>
          <w:sz w:val="20"/>
        </w:rPr>
      </w:pPr>
    </w:p>
    <w:p w14:paraId="71437AFE">
      <w:pPr>
        <w:pStyle w:val="6"/>
        <w:rPr>
          <w:rFonts w:ascii="宋体" w:hAnsi="宋体"/>
          <w:sz w:val="20"/>
        </w:rPr>
      </w:pPr>
    </w:p>
    <w:p w14:paraId="214111E5">
      <w:pPr>
        <w:pStyle w:val="6"/>
        <w:rPr>
          <w:rFonts w:ascii="宋体" w:hAnsi="宋体"/>
          <w:sz w:val="20"/>
        </w:rPr>
      </w:pPr>
    </w:p>
    <w:p w14:paraId="4F34EEEF">
      <w:pPr>
        <w:pStyle w:val="6"/>
        <w:rPr>
          <w:rFonts w:ascii="宋体" w:hAnsi="宋体"/>
          <w:sz w:val="20"/>
        </w:rPr>
      </w:pPr>
    </w:p>
    <w:p w14:paraId="2B8A4CC9">
      <w:pPr>
        <w:pStyle w:val="6"/>
        <w:numPr>
          <w:ilvl w:val="0"/>
          <w:numId w:val="2"/>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color w:val="auto"/>
          <w:sz w:val="52"/>
          <w:szCs w:val="52"/>
          <w:lang w:val="en-US"/>
        </w:rPr>
        <w:t>五通桥区文化馆</w:t>
      </w:r>
      <w:r>
        <w:rPr>
          <w:rFonts w:hint="eastAsia" w:ascii="宋体" w:hAnsi="宋体" w:eastAsia="方正小标宋简体" w:cs="方正小标宋简体"/>
          <w:b/>
          <w:bCs/>
          <w:sz w:val="52"/>
          <w:szCs w:val="52"/>
          <w:lang w:val="en-US" w:eastAsia="zh-CN"/>
        </w:rPr>
        <w:t>2026年          预算表</w:t>
      </w:r>
      <w:bookmarkEnd w:id="5"/>
    </w:p>
    <w:p w14:paraId="5B5E50E5">
      <w:pPr>
        <w:rPr>
          <w:rFonts w:hint="eastAsia" w:ascii="宋体" w:hAnsi="宋体"/>
          <w:sz w:val="32"/>
          <w:lang w:val="en-US" w:eastAsia="zh-CN"/>
        </w:rPr>
      </w:pPr>
      <w:r>
        <w:rPr>
          <w:rFonts w:ascii="宋体" w:hAnsi="宋体"/>
          <w:color w:val="333333"/>
        </w:rPr>
        <w:br w:type="page"/>
      </w:r>
    </w:p>
    <w:p w14:paraId="6D4DF9F3">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6" w:name="_Toc9660"/>
      <w:bookmarkStart w:id="7" w:name="_Toc16458"/>
      <w:r>
        <w:rPr>
          <w:rFonts w:hint="eastAsia" w:ascii="宋体" w:hAnsi="宋体"/>
          <w:color w:val="auto"/>
          <w:sz w:val="32"/>
          <w:lang w:val="en-US"/>
        </w:rPr>
        <w:t>一、部门收支总表（公开表 1）</w:t>
      </w:r>
      <w:bookmarkEnd w:id="6"/>
    </w:p>
    <w:p w14:paraId="73C50991">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8" w:name="_Toc27995"/>
      <w:bookmarkEnd w:id="8"/>
      <w:bookmarkStart w:id="9" w:name="_Toc28401"/>
      <w:r>
        <w:rPr>
          <w:rFonts w:hint="eastAsia" w:ascii="宋体" w:hAnsi="宋体"/>
          <w:color w:val="auto"/>
          <w:sz w:val="32"/>
          <w:lang w:val="en-US"/>
        </w:rPr>
        <w:t>二、部门收入总表（公开表 1-1）</w:t>
      </w:r>
      <w:bookmarkEnd w:id="9"/>
    </w:p>
    <w:p w14:paraId="5F64CA0D">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0" w:name="_Toc3639"/>
      <w:bookmarkEnd w:id="10"/>
      <w:bookmarkStart w:id="11" w:name="_Toc30121"/>
      <w:r>
        <w:rPr>
          <w:rFonts w:hint="eastAsia" w:ascii="宋体" w:hAnsi="宋体"/>
          <w:color w:val="auto"/>
          <w:sz w:val="32"/>
          <w:lang w:val="en-US"/>
        </w:rPr>
        <w:t>三、部门支出总表（公开表 1-2）</w:t>
      </w:r>
      <w:bookmarkEnd w:id="11"/>
    </w:p>
    <w:p w14:paraId="69E837E5">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2" w:name="_Toc25815"/>
      <w:bookmarkEnd w:id="12"/>
      <w:bookmarkStart w:id="13" w:name="_Toc5420"/>
      <w:r>
        <w:rPr>
          <w:rFonts w:hint="eastAsia" w:ascii="宋体" w:hAnsi="宋体"/>
          <w:color w:val="auto"/>
          <w:sz w:val="32"/>
          <w:lang w:val="en-US"/>
        </w:rPr>
        <w:t>四、财政拨款收支预算总表（公开表 2）</w:t>
      </w:r>
      <w:bookmarkEnd w:id="13"/>
    </w:p>
    <w:p w14:paraId="192BE740">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4" w:name="_Toc4686"/>
      <w:bookmarkEnd w:id="14"/>
      <w:bookmarkStart w:id="15" w:name="_Toc19345"/>
      <w:r>
        <w:rPr>
          <w:rFonts w:hint="eastAsia" w:ascii="宋体" w:hAnsi="宋体"/>
          <w:color w:val="auto"/>
          <w:sz w:val="32"/>
          <w:lang w:val="en-US"/>
        </w:rPr>
        <w:t>五、财政拨款支出预算表（部门经济分类科目）</w:t>
      </w:r>
      <w:bookmarkEnd w:id="15"/>
    </w:p>
    <w:p w14:paraId="0A5F1F95">
      <w:pPr>
        <w:pStyle w:val="16"/>
        <w:tabs>
          <w:tab w:val="left" w:pos="1784"/>
        </w:tabs>
        <w:spacing w:beforeAutospacing="0" w:afterAutospacing="0" w:line="700" w:lineRule="exact"/>
        <w:ind w:right="660" w:rightChars="300"/>
        <w:jc w:val="left"/>
        <w:rPr>
          <w:rFonts w:ascii="宋体" w:hAnsi="宋体"/>
          <w:color w:val="auto"/>
          <w:sz w:val="32"/>
          <w:lang w:val="en-US"/>
        </w:rPr>
      </w:pPr>
      <w:r>
        <w:rPr>
          <w:rFonts w:hint="eastAsia" w:ascii="宋体" w:hAnsi="宋体"/>
          <w:color w:val="auto"/>
          <w:sz w:val="32"/>
          <w:lang w:val="en-US"/>
        </w:rPr>
        <w:t>（公开表 2-1）</w:t>
      </w:r>
    </w:p>
    <w:p w14:paraId="22136DB6">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6" w:name="_Toc7952"/>
      <w:bookmarkEnd w:id="16"/>
      <w:bookmarkStart w:id="17" w:name="_Toc6598"/>
      <w:r>
        <w:rPr>
          <w:rFonts w:hint="eastAsia" w:ascii="宋体" w:hAnsi="宋体"/>
          <w:color w:val="auto"/>
          <w:sz w:val="32"/>
          <w:lang w:val="en-US"/>
        </w:rPr>
        <w:t>六、一般公共预算支出预算表（公开表 3）</w:t>
      </w:r>
      <w:bookmarkEnd w:id="17"/>
    </w:p>
    <w:p w14:paraId="3332F315">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18" w:name="_Toc32200"/>
      <w:bookmarkEnd w:id="18"/>
      <w:bookmarkStart w:id="19" w:name="_Toc2665"/>
      <w:r>
        <w:rPr>
          <w:rFonts w:hint="eastAsia" w:ascii="宋体" w:hAnsi="宋体"/>
          <w:color w:val="auto"/>
          <w:sz w:val="32"/>
          <w:lang w:val="en-US"/>
        </w:rPr>
        <w:t>七、一般公共预算基本支出预算表（公开表 3-1）</w:t>
      </w:r>
      <w:bookmarkEnd w:id="19"/>
      <w:r>
        <w:rPr>
          <w:rFonts w:hint="eastAsia" w:ascii="宋体" w:hAnsi="宋体"/>
          <w:color w:val="auto"/>
          <w:sz w:val="32"/>
          <w:lang w:val="en-US"/>
        </w:rPr>
        <w:t xml:space="preserve"> </w:t>
      </w:r>
    </w:p>
    <w:p w14:paraId="3D7B90D4">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0" w:name="_Toc17751"/>
      <w:bookmarkEnd w:id="20"/>
      <w:bookmarkStart w:id="21" w:name="_Toc22638"/>
      <w:r>
        <w:rPr>
          <w:rFonts w:hint="eastAsia" w:ascii="宋体" w:hAnsi="宋体"/>
          <w:color w:val="auto"/>
          <w:sz w:val="32"/>
          <w:lang w:val="en-US"/>
        </w:rPr>
        <w:t>八、一般公共预算项目支出预算表（公开表 3-2）</w:t>
      </w:r>
      <w:bookmarkEnd w:id="21"/>
    </w:p>
    <w:p w14:paraId="7E3A97C8">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2" w:name="_Toc11119"/>
      <w:bookmarkEnd w:id="22"/>
      <w:bookmarkStart w:id="23" w:name="_Toc14724"/>
      <w:r>
        <w:rPr>
          <w:rFonts w:hint="eastAsia" w:ascii="宋体" w:hAnsi="宋体"/>
          <w:color w:val="auto"/>
          <w:sz w:val="32"/>
          <w:lang w:val="en-US"/>
        </w:rPr>
        <w:t>九、一般公共预算“三公”经费支出预算表</w:t>
      </w:r>
      <w:bookmarkEnd w:id="23"/>
    </w:p>
    <w:p w14:paraId="629434DD">
      <w:pPr>
        <w:pStyle w:val="16"/>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 xml:space="preserve">（公开表 3-3） </w:t>
      </w:r>
    </w:p>
    <w:p w14:paraId="7EFF6E4F">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4" w:name="_Toc19211"/>
      <w:bookmarkEnd w:id="24"/>
      <w:bookmarkStart w:id="25" w:name="_Toc29698"/>
      <w:r>
        <w:rPr>
          <w:rFonts w:hint="eastAsia" w:ascii="宋体" w:hAnsi="宋体"/>
          <w:color w:val="auto"/>
          <w:sz w:val="32"/>
          <w:lang w:val="en-US"/>
        </w:rPr>
        <w:t>十、政府性基金预算支出表（公开表 4）</w:t>
      </w:r>
      <w:bookmarkEnd w:id="25"/>
    </w:p>
    <w:p w14:paraId="4AB7536D">
      <w:pPr>
        <w:pStyle w:val="16"/>
        <w:tabs>
          <w:tab w:val="left" w:pos="1784"/>
        </w:tabs>
        <w:spacing w:beforeAutospacing="0" w:afterAutospacing="0" w:line="700" w:lineRule="exact"/>
        <w:ind w:left="660" w:leftChars="300" w:right="660" w:rightChars="300" w:firstLine="0"/>
        <w:jc w:val="left"/>
        <w:outlineLvl w:val="1"/>
        <w:rPr>
          <w:rFonts w:ascii="宋体" w:hAnsi="宋体"/>
          <w:color w:val="auto"/>
          <w:sz w:val="32"/>
          <w:lang w:val="en-US"/>
        </w:rPr>
      </w:pPr>
      <w:bookmarkStart w:id="26" w:name="_Toc7676"/>
      <w:bookmarkEnd w:id="26"/>
      <w:bookmarkStart w:id="27" w:name="_Toc11710"/>
      <w:r>
        <w:rPr>
          <w:rFonts w:hint="eastAsia" w:ascii="宋体" w:hAnsi="宋体"/>
          <w:color w:val="auto"/>
          <w:sz w:val="32"/>
          <w:lang w:val="en-US"/>
        </w:rPr>
        <w:t>十一、政府性基金预算“三公”经费支出预算表</w:t>
      </w:r>
      <w:bookmarkEnd w:id="27"/>
    </w:p>
    <w:p w14:paraId="3E17342D">
      <w:pPr>
        <w:pStyle w:val="16"/>
        <w:tabs>
          <w:tab w:val="left" w:pos="1784"/>
        </w:tabs>
        <w:spacing w:beforeAutospacing="0" w:afterAutospacing="0" w:line="700" w:lineRule="exact"/>
        <w:ind w:left="660" w:leftChars="300" w:right="660" w:rightChars="300" w:firstLine="438" w:firstLineChars="137"/>
        <w:jc w:val="left"/>
        <w:rPr>
          <w:rFonts w:ascii="宋体" w:hAnsi="宋体"/>
          <w:color w:val="auto"/>
          <w:sz w:val="32"/>
          <w:lang w:val="en-US"/>
        </w:rPr>
      </w:pPr>
      <w:r>
        <w:rPr>
          <w:rFonts w:hint="eastAsia" w:ascii="宋体" w:hAnsi="宋体"/>
          <w:color w:val="auto"/>
          <w:sz w:val="32"/>
          <w:lang w:val="en-US"/>
        </w:rPr>
        <w:t>（公开表 4-1）</w:t>
      </w:r>
    </w:p>
    <w:p w14:paraId="77C4377F">
      <w:pPr>
        <w:pStyle w:val="16"/>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28" w:name="_Toc22917"/>
      <w:bookmarkEnd w:id="28"/>
      <w:bookmarkStart w:id="29" w:name="_Toc32150"/>
      <w:r>
        <w:rPr>
          <w:rFonts w:hint="eastAsia" w:ascii="宋体" w:hAnsi="宋体"/>
          <w:color w:val="auto"/>
          <w:sz w:val="32"/>
          <w:lang w:val="en-US"/>
        </w:rPr>
        <w:t>国有资本经营预算支出表（公开表 5）</w:t>
      </w:r>
      <w:bookmarkEnd w:id="29"/>
    </w:p>
    <w:p w14:paraId="094B02EE">
      <w:pPr>
        <w:pStyle w:val="16"/>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bookmarkStart w:id="30" w:name="_Toc27530"/>
      <w:r>
        <w:rPr>
          <w:rFonts w:hint="eastAsia" w:ascii="宋体" w:hAnsi="宋体"/>
          <w:color w:val="auto"/>
          <w:sz w:val="32"/>
          <w:lang w:val="en-US"/>
        </w:rPr>
        <w:t>项目支出绩效目标表</w:t>
      </w:r>
      <w:bookmarkEnd w:id="30"/>
    </w:p>
    <w:p w14:paraId="1131FB73">
      <w:pPr>
        <w:pStyle w:val="16"/>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r>
        <w:rPr>
          <w:rFonts w:hint="eastAsia" w:ascii="宋体" w:hAnsi="宋体"/>
          <w:color w:val="auto"/>
          <w:sz w:val="32"/>
          <w:lang w:val="en-US"/>
        </w:rPr>
        <w:t>“三公”经费支出预算表</w:t>
      </w:r>
    </w:p>
    <w:p w14:paraId="4A374199">
      <w:pPr>
        <w:pStyle w:val="16"/>
        <w:numPr>
          <w:ilvl w:val="0"/>
          <w:numId w:val="3"/>
        </w:numPr>
        <w:tabs>
          <w:tab w:val="left" w:pos="1784"/>
        </w:tabs>
        <w:spacing w:beforeAutospacing="0" w:afterAutospacing="0" w:line="700" w:lineRule="exact"/>
        <w:ind w:left="660" w:leftChars="300" w:right="660" w:rightChars="300" w:firstLine="0"/>
        <w:jc w:val="left"/>
        <w:outlineLvl w:val="1"/>
        <w:rPr>
          <w:rFonts w:hint="eastAsia" w:ascii="宋体" w:hAnsi="宋体"/>
          <w:color w:val="auto"/>
          <w:sz w:val="32"/>
          <w:lang w:val="en-US"/>
        </w:rPr>
      </w:pPr>
      <w:r>
        <w:rPr>
          <w:rFonts w:hint="eastAsia" w:ascii="宋体" w:hAnsi="宋体"/>
          <w:color w:val="auto"/>
          <w:sz w:val="32"/>
          <w:lang w:val="en-US"/>
        </w:rPr>
        <w:t>政府采购项目预算表</w:t>
      </w:r>
    </w:p>
    <w:p w14:paraId="7541B69C">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1" w:name="_Toc27847"/>
      <w:bookmarkEnd w:id="31"/>
      <w:bookmarkStart w:id="32" w:name="_Toc11478"/>
      <w:r>
        <w:rPr>
          <w:rFonts w:hint="eastAsia" w:ascii="宋体" w:hAnsi="宋体"/>
          <w:b/>
          <w:bCs/>
          <w:sz w:val="32"/>
          <w:lang w:val="en-US" w:eastAsia="zh-CN"/>
        </w:rPr>
        <w:t>以上所有表格详见部门说明后附件。</w:t>
      </w:r>
      <w:bookmarkEnd w:id="7"/>
      <w:bookmarkEnd w:id="32"/>
    </w:p>
    <w:p w14:paraId="100CF336">
      <w:pPr>
        <w:rPr>
          <w:rFonts w:ascii="宋体" w:hAnsi="宋体"/>
          <w:sz w:val="20"/>
        </w:rPr>
      </w:pPr>
      <w:r>
        <w:rPr>
          <w:rFonts w:ascii="宋体" w:hAnsi="宋体"/>
          <w:sz w:val="20"/>
        </w:rPr>
        <w:br w:type="page"/>
      </w:r>
    </w:p>
    <w:p w14:paraId="258276D1">
      <w:pPr>
        <w:pStyle w:val="6"/>
        <w:rPr>
          <w:rFonts w:ascii="宋体" w:hAnsi="宋体"/>
          <w:sz w:val="20"/>
        </w:rPr>
      </w:pPr>
    </w:p>
    <w:p w14:paraId="4F7E4CD1">
      <w:pPr>
        <w:pStyle w:val="6"/>
        <w:rPr>
          <w:rFonts w:ascii="宋体" w:hAnsi="宋体"/>
          <w:sz w:val="20"/>
        </w:rPr>
      </w:pPr>
    </w:p>
    <w:p w14:paraId="076AAEF9">
      <w:pPr>
        <w:pStyle w:val="6"/>
        <w:rPr>
          <w:rFonts w:ascii="宋体" w:hAnsi="宋体"/>
          <w:sz w:val="20"/>
        </w:rPr>
      </w:pPr>
    </w:p>
    <w:p w14:paraId="03DAC7D7">
      <w:pPr>
        <w:pStyle w:val="6"/>
        <w:rPr>
          <w:rFonts w:ascii="宋体" w:hAnsi="宋体"/>
          <w:sz w:val="20"/>
        </w:rPr>
      </w:pPr>
    </w:p>
    <w:p w14:paraId="64010D71">
      <w:pPr>
        <w:pStyle w:val="6"/>
        <w:rPr>
          <w:rFonts w:ascii="宋体" w:hAnsi="宋体"/>
          <w:sz w:val="20"/>
        </w:rPr>
      </w:pPr>
    </w:p>
    <w:p w14:paraId="34EDE9E9">
      <w:pPr>
        <w:pStyle w:val="6"/>
        <w:rPr>
          <w:rFonts w:ascii="宋体" w:hAnsi="宋体"/>
          <w:sz w:val="20"/>
        </w:rPr>
      </w:pPr>
    </w:p>
    <w:p w14:paraId="6E762D7D">
      <w:pPr>
        <w:pStyle w:val="6"/>
        <w:rPr>
          <w:rFonts w:ascii="宋体" w:hAnsi="宋体"/>
          <w:sz w:val="20"/>
        </w:rPr>
      </w:pPr>
    </w:p>
    <w:p w14:paraId="65056D2F">
      <w:pPr>
        <w:pStyle w:val="6"/>
        <w:rPr>
          <w:rFonts w:ascii="宋体" w:hAnsi="宋体"/>
          <w:sz w:val="20"/>
        </w:rPr>
      </w:pPr>
    </w:p>
    <w:p w14:paraId="0DF40BA0">
      <w:pPr>
        <w:pStyle w:val="6"/>
        <w:rPr>
          <w:rFonts w:ascii="宋体" w:hAnsi="宋体"/>
          <w:sz w:val="20"/>
        </w:rPr>
      </w:pPr>
    </w:p>
    <w:p w14:paraId="421971FC">
      <w:pPr>
        <w:pStyle w:val="6"/>
        <w:rPr>
          <w:rFonts w:ascii="宋体" w:hAnsi="宋体"/>
          <w:sz w:val="20"/>
        </w:rPr>
      </w:pPr>
    </w:p>
    <w:p w14:paraId="1CC6C8FD">
      <w:pPr>
        <w:pStyle w:val="6"/>
        <w:rPr>
          <w:rFonts w:ascii="宋体" w:hAnsi="宋体"/>
          <w:sz w:val="20"/>
        </w:rPr>
      </w:pPr>
    </w:p>
    <w:p w14:paraId="300CDDD2">
      <w:pPr>
        <w:pStyle w:val="6"/>
        <w:rPr>
          <w:rFonts w:ascii="宋体" w:hAnsi="宋体"/>
          <w:sz w:val="20"/>
        </w:rPr>
      </w:pPr>
    </w:p>
    <w:p w14:paraId="2E3FD71B">
      <w:pPr>
        <w:pStyle w:val="6"/>
        <w:rPr>
          <w:rFonts w:ascii="宋体" w:hAnsi="宋体"/>
          <w:sz w:val="20"/>
        </w:rPr>
      </w:pPr>
    </w:p>
    <w:p w14:paraId="55FBE8CF">
      <w:pPr>
        <w:pStyle w:val="6"/>
        <w:rPr>
          <w:rFonts w:ascii="宋体" w:hAnsi="宋体"/>
          <w:sz w:val="20"/>
        </w:rPr>
      </w:pPr>
    </w:p>
    <w:p w14:paraId="617891ED">
      <w:pPr>
        <w:pStyle w:val="6"/>
        <w:rPr>
          <w:rFonts w:ascii="宋体" w:hAnsi="宋体"/>
          <w:sz w:val="20"/>
        </w:rPr>
      </w:pPr>
    </w:p>
    <w:p w14:paraId="50203EE9">
      <w:pPr>
        <w:pStyle w:val="6"/>
        <w:rPr>
          <w:rFonts w:ascii="宋体" w:hAnsi="宋体"/>
          <w:sz w:val="20"/>
        </w:rPr>
      </w:pPr>
    </w:p>
    <w:p w14:paraId="7A312417">
      <w:pPr>
        <w:pStyle w:val="6"/>
        <w:rPr>
          <w:rFonts w:ascii="宋体" w:hAnsi="宋体"/>
          <w:sz w:val="20"/>
        </w:rPr>
      </w:pPr>
    </w:p>
    <w:p w14:paraId="1CCA2A2B">
      <w:pPr>
        <w:pStyle w:val="6"/>
        <w:rPr>
          <w:rFonts w:ascii="宋体" w:hAnsi="宋体"/>
          <w:sz w:val="20"/>
        </w:rPr>
      </w:pPr>
    </w:p>
    <w:p w14:paraId="4B19846C">
      <w:pPr>
        <w:pStyle w:val="6"/>
        <w:rPr>
          <w:rFonts w:ascii="宋体" w:hAnsi="宋体"/>
          <w:sz w:val="20"/>
        </w:rPr>
      </w:pPr>
    </w:p>
    <w:p w14:paraId="4EA8C029">
      <w:pPr>
        <w:pStyle w:val="6"/>
        <w:rPr>
          <w:rFonts w:ascii="宋体" w:hAnsi="宋体"/>
          <w:sz w:val="20"/>
        </w:rPr>
      </w:pPr>
    </w:p>
    <w:p w14:paraId="3B3FDE91">
      <w:pPr>
        <w:pStyle w:val="6"/>
        <w:rPr>
          <w:rFonts w:ascii="宋体" w:hAnsi="宋体"/>
          <w:sz w:val="20"/>
        </w:rPr>
      </w:pPr>
    </w:p>
    <w:p w14:paraId="3C8F65B6">
      <w:pPr>
        <w:pStyle w:val="6"/>
        <w:rPr>
          <w:rFonts w:ascii="宋体" w:hAnsi="宋体"/>
          <w:sz w:val="20"/>
        </w:rPr>
      </w:pPr>
    </w:p>
    <w:p w14:paraId="55F3AA68">
      <w:pPr>
        <w:pStyle w:val="6"/>
        <w:numPr>
          <w:ilvl w:val="0"/>
          <w:numId w:val="2"/>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3" w:name="_Toc330"/>
      <w:r>
        <w:rPr>
          <w:rFonts w:hint="eastAsia" w:ascii="宋体" w:hAnsi="宋体" w:eastAsia="方正小标宋简体" w:cs="方正小标宋简体"/>
          <w:color w:val="auto"/>
          <w:sz w:val="52"/>
          <w:szCs w:val="52"/>
          <w:lang w:val="en-US"/>
        </w:rPr>
        <w:t>五通桥区文化馆</w:t>
      </w:r>
      <w:r>
        <w:rPr>
          <w:rFonts w:hint="eastAsia" w:ascii="宋体" w:hAnsi="宋体" w:eastAsia="方正小标宋简体" w:cs="方正小标宋简体"/>
          <w:sz w:val="52"/>
          <w:szCs w:val="52"/>
          <w:lang w:val="en-US" w:eastAsia="zh-CN"/>
        </w:rPr>
        <w:t>2026年</w:t>
      </w:r>
      <w:bookmarkEnd w:id="33"/>
    </w:p>
    <w:p w14:paraId="43A84279">
      <w:pPr>
        <w:pStyle w:val="6"/>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4" w:name="_Toc13299"/>
      <w:bookmarkStart w:id="35" w:name="_Toc1047"/>
      <w:r>
        <w:rPr>
          <w:rFonts w:hint="eastAsia" w:ascii="宋体" w:hAnsi="宋体" w:eastAsia="方正小标宋简体" w:cs="方正小标宋简体"/>
          <w:sz w:val="52"/>
          <w:szCs w:val="52"/>
          <w:lang w:val="en-US" w:eastAsia="zh-CN"/>
        </w:rPr>
        <w:t>部门预算情况说明</w:t>
      </w:r>
      <w:bookmarkEnd w:id="34"/>
      <w:bookmarkEnd w:id="35"/>
    </w:p>
    <w:p w14:paraId="0A1727B9">
      <w:pPr>
        <w:pStyle w:val="6"/>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14:paraId="5C0E25AC">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14393"/>
      <w:r>
        <w:rPr>
          <w:rFonts w:hint="eastAsia" w:ascii="宋体" w:hAnsi="宋体" w:eastAsia="黑体"/>
          <w:color w:val="333333"/>
        </w:rPr>
        <w:t>一、收支预算情况说明</w:t>
      </w:r>
      <w:bookmarkEnd w:id="36"/>
    </w:p>
    <w:p w14:paraId="53577FE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五通桥区文化馆所有收入和支出均纳入部门预算管理。收入包括：一般公共预算拨款收入；支出包括：文化旅游体育与传媒支出、社会保障和就业支出、卫生健康支出、住房保障支出。五通桥区文化馆2026年收支预算总数121.47万元,比2025年收支预算总数99.26万元增加22.21万元。主要原因：一是人员经费支出增加；二是公用经费支出增加。</w:t>
      </w:r>
    </w:p>
    <w:p w14:paraId="435DEC6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0181"/>
      <w:r>
        <w:rPr>
          <w:rFonts w:ascii="宋体" w:hAnsi="宋体"/>
        </w:rPr>
        <w:t>（一）收入预算情况</w:t>
      </w:r>
      <w:bookmarkEnd w:id="37"/>
    </w:p>
    <w:p w14:paraId="5932798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化馆2026年收入预算121.47万元，其中：上年结转0万元，占0%；一般公共预算拨款收入121.47万元，占100%；政府基金预算拨款收入0万元，占0%；事业收入0万元，占0%；事业单位经营收入0万元，占0%；其他收入0万元，占0%。</w:t>
      </w:r>
    </w:p>
    <w:p w14:paraId="4ACEEBB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highlight w:val="none"/>
        </w:rPr>
      </w:pPr>
      <w:bookmarkStart w:id="38" w:name="_Toc30757"/>
      <w:r>
        <w:rPr>
          <w:rFonts w:ascii="宋体" w:hAnsi="宋体"/>
          <w:highlight w:val="none"/>
        </w:rPr>
        <w:t>（二）支出预算情况</w:t>
      </w:r>
      <w:bookmarkEnd w:id="38"/>
    </w:p>
    <w:p w14:paraId="1F4D328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五通桥区文化馆2026年支出预算121.47万元，其中：人员支出99.61万元，日常公用支出13.12万元，对个人和家庭的补助支出6.64万元，专项支出2.1万元。</w:t>
      </w:r>
    </w:p>
    <w:p w14:paraId="05D573B1">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9" w:name="_Toc28286"/>
      <w:r>
        <w:rPr>
          <w:rFonts w:hint="eastAsia" w:ascii="宋体" w:hAnsi="宋体" w:eastAsia="黑体"/>
          <w:color w:val="333333"/>
        </w:rPr>
        <w:t>二、财政拨款收支预算情况说明</w:t>
      </w:r>
      <w:bookmarkEnd w:id="39"/>
    </w:p>
    <w:p w14:paraId="7E07C10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五通桥区文化馆2026年财政拨款收支预算总数121.47万元,比2025年财政拨款收支预算总数99.26万元增加22.21万元。主要原因：一是人员经费支出增加；二是公用经费支出增加。</w:t>
      </w:r>
    </w:p>
    <w:p w14:paraId="50F1CEC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其中：基本支出119.37万元，占98.27%；项目支出2.1万元，占1.73%。</w:t>
      </w:r>
    </w:p>
    <w:p w14:paraId="655CB6A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基本支出，是用于保障五通桥区文化馆正常运转的日常支出，包括基本工资、津贴补贴等人员经费以及办公费、印刷费、水电费、办公设备购置等日常公用经费。</w:t>
      </w:r>
    </w:p>
    <w:p w14:paraId="26A031D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项目支出，是用于保障五通桥区文化馆完成中央规定的文化馆免费开放工作，用于专项业务工作的经费支出。</w:t>
      </w:r>
    </w:p>
    <w:p w14:paraId="656E7F1B">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0" w:name="_Toc18314"/>
      <w:r>
        <w:rPr>
          <w:rFonts w:hint="eastAsia" w:ascii="宋体" w:hAnsi="宋体" w:eastAsia="黑体"/>
          <w:color w:val="333333"/>
        </w:rPr>
        <w:t>三、一般公共预算当年拨款情况说明</w:t>
      </w:r>
      <w:bookmarkEnd w:id="40"/>
    </w:p>
    <w:p w14:paraId="3D44969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1" w:name="_Toc3917"/>
      <w:r>
        <w:rPr>
          <w:rFonts w:ascii="宋体" w:hAnsi="宋体"/>
        </w:rPr>
        <w:t>（一）一般公共预算当年拨款规模变化情况</w:t>
      </w:r>
      <w:bookmarkEnd w:id="41"/>
    </w:p>
    <w:p w14:paraId="2D3D24F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五通桥区文化馆2026年一般公共预算当年拨款119.37万元，比2025年财政拨款收支预算总数99.26万元增加22.21万元。主要原因：一是人员经费支出增加；二是公用经费支出增加。</w:t>
      </w:r>
    </w:p>
    <w:p w14:paraId="4BB086F7">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2" w:name="_Toc27070"/>
      <w:r>
        <w:rPr>
          <w:rFonts w:ascii="宋体" w:hAnsi="宋体"/>
        </w:rPr>
        <w:t>（二）一般公共预算当年拨款结构情况</w:t>
      </w:r>
      <w:bookmarkEnd w:id="42"/>
    </w:p>
    <w:p w14:paraId="6F53907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五通桥区文化馆2026年一般公共预算支出119.37万元，主要包括文化旅游体育与传媒支出84.87万元，占69.87%、社会保障和就业支出23.24万元，占19.13%、卫生健康支出5.03万元，占4.14%、住房保障支出8.34万元，占6.68%。</w:t>
      </w:r>
    </w:p>
    <w:p w14:paraId="3EA2ED3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3" w:name="_Toc1521"/>
      <w:r>
        <w:rPr>
          <w:rFonts w:ascii="宋体" w:hAnsi="宋体"/>
        </w:rPr>
        <w:t>（三）一般公共预算当年拨款具体使用情况</w:t>
      </w:r>
      <w:bookmarkEnd w:id="43"/>
    </w:p>
    <w:p w14:paraId="3D84D54E">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4" w:name="_Toc11444"/>
    </w:p>
    <w:p w14:paraId="4E37B3A0">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r>
        <w:rPr>
          <w:rFonts w:hint="eastAsia" w:asciiTheme="majorEastAsia" w:hAnsiTheme="majorEastAsia" w:eastAsiaTheme="majorEastAsia"/>
          <w:color w:val="auto"/>
          <w:lang w:val="en-US" w:eastAsia="zh-CN"/>
        </w:rPr>
        <w:t>1.文化旅游体育与传媒支出（类）文化和旅游（款）群众文化（项）:2026年预算数为84.87万元，主要用于：单位运行及人员工资等。</w:t>
      </w:r>
    </w:p>
    <w:p w14:paraId="270C2054">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2.</w:t>
      </w:r>
      <w:r>
        <w:rPr>
          <w:rFonts w:asciiTheme="majorEastAsia" w:hAnsiTheme="majorEastAsia" w:eastAsiaTheme="majorEastAsia"/>
          <w:color w:val="auto"/>
        </w:rPr>
        <w:t>社会保障和就业支出（类）行政事业单位养老支出（款）机关事业单位基本养老保险缴费支出（项）: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10.46</w:t>
      </w:r>
      <w:r>
        <w:rPr>
          <w:rFonts w:asciiTheme="majorEastAsia" w:hAnsiTheme="majorEastAsia" w:eastAsiaTheme="majorEastAsia"/>
          <w:color w:val="auto"/>
        </w:rPr>
        <w:t>万元，主要用于：实施养老保险制度后，部门按规定由单位缴纳的基本养老保险费支出。</w:t>
      </w:r>
    </w:p>
    <w:p w14:paraId="7C5FA5BA">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3</w:t>
      </w:r>
      <w:r>
        <w:rPr>
          <w:rFonts w:hint="eastAsia" w:asciiTheme="majorEastAsia" w:hAnsiTheme="majorEastAsia" w:eastAsiaTheme="majorEastAsia"/>
          <w:color w:val="auto"/>
          <w:lang w:eastAsia="zh-CN"/>
        </w:rPr>
        <w:t>.</w:t>
      </w:r>
      <w:r>
        <w:rPr>
          <w:rFonts w:asciiTheme="majorEastAsia" w:hAnsiTheme="majorEastAsia" w:eastAsiaTheme="majorEastAsia"/>
          <w:color w:val="auto"/>
        </w:rPr>
        <w:t>社会保障和就业支出（类）行政事业单位养老支出（款）机关事业单位职业年金缴费支出（项）: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5.23</w:t>
      </w:r>
      <w:r>
        <w:rPr>
          <w:rFonts w:asciiTheme="majorEastAsia" w:hAnsiTheme="majorEastAsia" w:eastAsiaTheme="majorEastAsia"/>
          <w:color w:val="auto"/>
        </w:rPr>
        <w:t>万元，主要用于：实施养老保险制度后，部门按规定由单位缴纳的职业年金支出。</w:t>
      </w:r>
    </w:p>
    <w:p w14:paraId="5733B2A4">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4</w:t>
      </w:r>
      <w:r>
        <w:rPr>
          <w:rFonts w:hint="eastAsia" w:asciiTheme="majorEastAsia" w:hAnsiTheme="majorEastAsia" w:eastAsiaTheme="majorEastAsia"/>
          <w:color w:val="auto"/>
          <w:lang w:eastAsia="zh-CN"/>
        </w:rPr>
        <w:t>.</w:t>
      </w:r>
      <w:r>
        <w:rPr>
          <w:rFonts w:asciiTheme="majorEastAsia" w:hAnsiTheme="majorEastAsia" w:eastAsiaTheme="majorEastAsia"/>
          <w:color w:val="auto"/>
        </w:rPr>
        <w:t>社会保障和就业支出（类）行政事业单位养老支出（款）其他行政事业单位养老支出（项）: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6.64</w:t>
      </w:r>
      <w:r>
        <w:rPr>
          <w:rFonts w:asciiTheme="majorEastAsia" w:hAnsiTheme="majorEastAsia" w:eastAsiaTheme="majorEastAsia"/>
          <w:color w:val="auto"/>
        </w:rPr>
        <w:t>万元，主要用于：退休人员春节慰问费及活动经费等。</w:t>
      </w:r>
    </w:p>
    <w:p w14:paraId="1F16C092">
      <w:pPr>
        <w:pStyle w:val="6"/>
        <w:spacing w:before="300" w:after="120" w:afterLines="50" w:line="360" w:lineRule="auto"/>
        <w:ind w:firstLine="640" w:firstLineChars="200"/>
        <w:outlineLvl w:val="1"/>
        <w:rPr>
          <w:rFonts w:asciiTheme="majorEastAsia" w:hAnsiTheme="majorEastAsia" w:eastAsiaTheme="majorEastAsia"/>
          <w:color w:val="auto"/>
        </w:rPr>
      </w:pPr>
      <w:r>
        <w:rPr>
          <w:rFonts w:hint="eastAsia" w:asciiTheme="majorEastAsia" w:hAnsiTheme="majorEastAsia" w:eastAsiaTheme="majorEastAsia"/>
          <w:color w:val="auto"/>
          <w:lang w:val="en-US" w:eastAsia="zh-CN"/>
        </w:rPr>
        <w:t>5</w:t>
      </w:r>
      <w:r>
        <w:rPr>
          <w:rFonts w:hint="eastAsia" w:asciiTheme="majorEastAsia" w:hAnsiTheme="majorEastAsia" w:eastAsiaTheme="majorEastAsia"/>
          <w:color w:val="auto"/>
          <w:lang w:eastAsia="zh-CN"/>
        </w:rPr>
        <w:t>.</w:t>
      </w:r>
      <w:r>
        <w:rPr>
          <w:rFonts w:asciiTheme="majorEastAsia" w:hAnsiTheme="majorEastAsia" w:eastAsiaTheme="majorEastAsia"/>
          <w:color w:val="auto"/>
        </w:rPr>
        <w:t>社会保障和就业支出（类）</w:t>
      </w:r>
      <w:r>
        <w:rPr>
          <w:rFonts w:hint="eastAsia" w:asciiTheme="majorEastAsia" w:hAnsiTheme="majorEastAsia" w:eastAsiaTheme="majorEastAsia"/>
          <w:color w:val="auto"/>
        </w:rPr>
        <w:t>其他社会保障和就业支出</w:t>
      </w:r>
      <w:r>
        <w:rPr>
          <w:rFonts w:asciiTheme="majorEastAsia" w:hAnsiTheme="majorEastAsia" w:eastAsiaTheme="majorEastAsia"/>
          <w:color w:val="auto"/>
        </w:rPr>
        <w:t>（款）</w:t>
      </w:r>
      <w:r>
        <w:rPr>
          <w:rFonts w:hint="eastAsia" w:asciiTheme="majorEastAsia" w:hAnsiTheme="majorEastAsia" w:eastAsiaTheme="majorEastAsia"/>
          <w:color w:val="auto"/>
        </w:rPr>
        <w:t>其他社会保障和就业支出</w:t>
      </w:r>
      <w:r>
        <w:rPr>
          <w:rFonts w:asciiTheme="majorEastAsia" w:hAnsiTheme="majorEastAsia" w:eastAsiaTheme="majorEastAsia"/>
          <w:color w:val="auto"/>
        </w:rPr>
        <w:t>（项）:</w:t>
      </w:r>
      <w:r>
        <w:rPr>
          <w:rFonts w:hint="eastAsia" w:asciiTheme="majorEastAsia" w:hAnsiTheme="majorEastAsia" w:eastAsiaTheme="majorEastAsia"/>
          <w:color w:val="auto"/>
          <w:lang w:eastAsia="zh-CN"/>
        </w:rPr>
        <w:t>2026</w:t>
      </w:r>
      <w:r>
        <w:rPr>
          <w:rFonts w:asciiTheme="majorEastAsia" w:hAnsiTheme="majorEastAsia" w:eastAsiaTheme="majorEastAsia"/>
          <w:color w:val="auto"/>
        </w:rPr>
        <w:t>年预算数为</w:t>
      </w:r>
      <w:r>
        <w:rPr>
          <w:rFonts w:hint="eastAsia" w:asciiTheme="majorEastAsia" w:hAnsiTheme="majorEastAsia" w:eastAsiaTheme="majorEastAsia"/>
          <w:color w:val="auto"/>
          <w:lang w:val="en-US" w:eastAsia="zh-CN"/>
        </w:rPr>
        <w:t>0.91</w:t>
      </w:r>
      <w:r>
        <w:rPr>
          <w:rFonts w:asciiTheme="majorEastAsia" w:hAnsiTheme="majorEastAsia" w:eastAsiaTheme="majorEastAsia"/>
          <w:color w:val="auto"/>
        </w:rPr>
        <w:t>万元，主要用于：</w:t>
      </w:r>
      <w:r>
        <w:rPr>
          <w:rFonts w:hint="eastAsia" w:asciiTheme="majorEastAsia" w:hAnsiTheme="majorEastAsia" w:eastAsiaTheme="majorEastAsia"/>
          <w:color w:val="auto"/>
          <w:lang w:eastAsia="zh-CN"/>
        </w:rPr>
        <w:t>支付</w:t>
      </w:r>
      <w:r>
        <w:rPr>
          <w:rFonts w:hint="eastAsia" w:asciiTheme="majorEastAsia" w:hAnsiTheme="majorEastAsia" w:eastAsiaTheme="majorEastAsia"/>
          <w:color w:val="auto"/>
        </w:rPr>
        <w:t>其他</w:t>
      </w:r>
      <w:r>
        <w:rPr>
          <w:rFonts w:hint="eastAsia" w:asciiTheme="majorEastAsia" w:hAnsiTheme="majorEastAsia" w:eastAsiaTheme="majorEastAsia"/>
          <w:color w:val="auto"/>
          <w:lang w:eastAsia="zh-CN"/>
        </w:rPr>
        <w:t>保险经费支出</w:t>
      </w:r>
      <w:r>
        <w:rPr>
          <w:rFonts w:asciiTheme="majorEastAsia" w:hAnsiTheme="majorEastAsia" w:eastAsiaTheme="majorEastAsia"/>
          <w:color w:val="auto"/>
        </w:rPr>
        <w:t>。</w:t>
      </w:r>
    </w:p>
    <w:p w14:paraId="059392D5">
      <w:pPr>
        <w:pStyle w:val="6"/>
        <w:spacing w:before="300" w:after="120" w:afterLines="50" w:line="360" w:lineRule="auto"/>
        <w:ind w:firstLine="640" w:firstLineChars="200"/>
        <w:outlineLvl w:val="1"/>
        <w:rPr>
          <w:rFonts w:asciiTheme="majorEastAsia" w:hAnsiTheme="majorEastAsia" w:eastAsiaTheme="majorEastAsia"/>
          <w:color w:val="auto"/>
        </w:rPr>
      </w:pPr>
    </w:p>
    <w:p w14:paraId="60B2EBBC">
      <w:pPr>
        <w:pStyle w:val="6"/>
        <w:numPr>
          <w:ilvl w:val="0"/>
          <w:numId w:val="0"/>
        </w:numPr>
        <w:spacing w:before="300" w:after="120" w:afterLines="50" w:line="360" w:lineRule="auto"/>
        <w:ind w:right="0" w:rightChars="0"/>
        <w:outlineLvl w:val="1"/>
        <w:rPr>
          <w:rFonts w:hint="eastAsia" w:asciiTheme="majorEastAsia" w:hAnsiTheme="majorEastAsia" w:eastAsiaTheme="majorEastAsia"/>
          <w:color w:val="auto"/>
          <w:lang w:eastAsia="zh-CN"/>
        </w:rPr>
      </w:pPr>
    </w:p>
    <w:p w14:paraId="4CC5CBB7">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r>
        <w:rPr>
          <w:rFonts w:hint="eastAsia" w:asciiTheme="majorEastAsia" w:hAnsiTheme="majorEastAsia" w:eastAsiaTheme="majorEastAsia"/>
          <w:color w:val="auto"/>
          <w:lang w:val="en-US" w:eastAsia="zh-CN"/>
        </w:rPr>
        <w:t>6.卫生健康支出（类）行政事业单位医疗（款）事业单位医疗（项）:2026年预算数为3.53万元，主要用于：事业单位基本医疗保险缴费支出。</w:t>
      </w:r>
    </w:p>
    <w:p w14:paraId="0A273DAA">
      <w:pPr>
        <w:pStyle w:val="6"/>
        <w:spacing w:before="300" w:after="120" w:afterLines="50" w:line="360" w:lineRule="auto"/>
        <w:ind w:firstLine="640" w:firstLineChars="200"/>
        <w:outlineLvl w:val="1"/>
        <w:rPr>
          <w:rFonts w:hint="eastAsia" w:asciiTheme="majorEastAsia" w:hAnsiTheme="majorEastAsia" w:eastAsiaTheme="majorEastAsia"/>
          <w:color w:val="auto"/>
          <w:lang w:val="en-US" w:eastAsia="zh-CN"/>
        </w:rPr>
      </w:pPr>
      <w:r>
        <w:rPr>
          <w:rFonts w:hint="eastAsia" w:asciiTheme="majorEastAsia" w:hAnsiTheme="majorEastAsia" w:eastAsiaTheme="majorEastAsia"/>
          <w:color w:val="auto"/>
          <w:lang w:val="en-US" w:eastAsia="zh-CN"/>
        </w:rPr>
        <w:t>7.卫生健康支出（类）行政事业单位医疗（款）公务员医疗补助（项）:2026年预算数为1.5万元，主要用于：公务员医疗补助支出。</w:t>
      </w:r>
    </w:p>
    <w:p w14:paraId="6A21416C">
      <w:pPr>
        <w:pStyle w:val="6"/>
        <w:spacing w:before="300" w:after="120" w:afterLines="50" w:line="360" w:lineRule="auto"/>
        <w:ind w:firstLine="640" w:firstLineChars="200"/>
        <w:outlineLvl w:val="1"/>
        <w:rPr>
          <w:rFonts w:hint="eastAsia" w:ascii="宋体" w:hAnsi="宋体" w:eastAsia="黑体"/>
          <w:color w:val="333333"/>
        </w:rPr>
      </w:pPr>
      <w:r>
        <w:rPr>
          <w:rFonts w:hint="eastAsia" w:asciiTheme="majorEastAsia" w:hAnsiTheme="majorEastAsia" w:eastAsiaTheme="majorEastAsia"/>
          <w:color w:val="auto"/>
          <w:lang w:val="en-US" w:eastAsia="zh-CN"/>
        </w:rPr>
        <w:t>8.住房保障支出（类）住房改革支出（款）住房公积金（项）:2026年预算数为8.34万元，主要用于：部门按人力资源和社会保障部、财政部规定的基本工资和津贴补贴以及规定比例为职工缴纳的住房公积金支出。</w:t>
      </w:r>
    </w:p>
    <w:p w14:paraId="1DBA37E0">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rPr>
        <w:t>四、一般公共预算基本支出情况说明</w:t>
      </w:r>
      <w:bookmarkEnd w:id="44"/>
    </w:p>
    <w:p w14:paraId="14135863">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五通桥区文化馆2026年一般公共预算基本支出119.37万元，其中：</w:t>
      </w:r>
    </w:p>
    <w:p w14:paraId="238B9A2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106.25万元，主要包括：基本工资、津贴补贴、绩效工资、机关事业单位基本养老保险缴费、职业年金缴费、职工基本医疗保险缴费、其他社会保障缴费、住房公积金、其他工资福利支出、其他对个人和家庭的补助支出。</w:t>
      </w:r>
    </w:p>
    <w:p w14:paraId="429FD1A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公用经费13.12万元，主要包括：伙食补助费、办公费、印刷费、水费、电费、邮电费、差旅费、维修（护）费、公务接待费、委托业务费、工会经费、福利费、其他商品和服务支出。</w:t>
      </w:r>
    </w:p>
    <w:p w14:paraId="6142B77D">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5" w:name="_Toc3206"/>
      <w:r>
        <w:rPr>
          <w:rFonts w:hint="eastAsia" w:ascii="宋体" w:hAnsi="宋体" w:eastAsia="黑体"/>
          <w:color w:val="333333"/>
        </w:rPr>
        <w:t>五、“三公”经费财政拨款预算安排情况说明</w:t>
      </w:r>
      <w:bookmarkEnd w:id="45"/>
    </w:p>
    <w:p w14:paraId="52E8286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五通桥区文化馆2026年“三公”经费财政拨款预算数0.2万元，其中：公务接待费0.2万元，公务用车购置0万元，公车运行维护费0万元。</w:t>
      </w:r>
    </w:p>
    <w:p w14:paraId="54A20F1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highlight w:val="none"/>
          <w:lang w:val="en-US" w:eastAsia="zh-CN"/>
        </w:rPr>
        <w:t>2026年公务接待费计划用于</w:t>
      </w:r>
      <w:r>
        <w:rPr>
          <w:rFonts w:hint="eastAsia" w:ascii="宋体" w:hAnsi="宋体"/>
          <w:color w:val="auto"/>
          <w:sz w:val="32"/>
          <w:highlight w:val="none"/>
          <w:lang w:val="en-US" w:eastAsia="zh-CN"/>
        </w:rPr>
        <w:t>接待4次，500/次</w:t>
      </w:r>
      <w:r>
        <w:rPr>
          <w:rFonts w:hint="eastAsia" w:ascii="宋体" w:hAnsi="宋体"/>
          <w:sz w:val="32"/>
          <w:highlight w:val="none"/>
          <w:lang w:val="en-US" w:eastAsia="zh-CN"/>
        </w:rPr>
        <w:t>。</w:t>
      </w:r>
    </w:p>
    <w:p w14:paraId="0B62DD47">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6" w:name="_Toc24108"/>
      <w:r>
        <w:rPr>
          <w:rFonts w:ascii="宋体" w:hAnsi="宋体"/>
        </w:rPr>
        <w:t>（一）</w:t>
      </w:r>
      <w:r>
        <w:rPr>
          <w:rFonts w:hint="eastAsia" w:ascii="宋体" w:hAnsi="宋体"/>
          <w:lang w:val="en-US" w:eastAsia="zh-CN"/>
        </w:rPr>
        <w:t>公务接待费变化情况</w:t>
      </w:r>
      <w:bookmarkEnd w:id="46"/>
    </w:p>
    <w:p w14:paraId="1B11948D">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0.2</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。主要原因是厉行节约，压缩接待规模和接待费用。</w:t>
      </w:r>
    </w:p>
    <w:p w14:paraId="1EF1ECA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7"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7"/>
    </w:p>
    <w:p w14:paraId="4AA7B81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0</w:t>
      </w:r>
      <w:r>
        <w:rPr>
          <w:rFonts w:hint="default" w:ascii="宋体" w:hAnsi="宋体"/>
          <w:sz w:val="32"/>
          <w:lang w:val="en-US" w:eastAsia="zh-CN"/>
        </w:rPr>
        <w:t>万元预算持平。主要原因是厉行节约，规范公务出行，尽量乘坐公共交通工具。</w:t>
      </w:r>
    </w:p>
    <w:p w14:paraId="26AD186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单位实有公务用车</w:t>
      </w:r>
      <w:r>
        <w:rPr>
          <w:rFonts w:hint="eastAsia" w:ascii="宋体" w:hAnsi="宋体"/>
          <w:sz w:val="32"/>
          <w:lang w:val="en-US" w:eastAsia="zh-CN"/>
        </w:rPr>
        <w:t>0</w:t>
      </w:r>
      <w:r>
        <w:rPr>
          <w:rFonts w:hint="default" w:ascii="宋体" w:hAnsi="宋体"/>
          <w:sz w:val="32"/>
          <w:lang w:val="en-US" w:eastAsia="zh-CN"/>
        </w:rPr>
        <w:t>辆，其中：轿车</w:t>
      </w:r>
      <w:r>
        <w:rPr>
          <w:rFonts w:hint="eastAsia" w:ascii="宋体" w:hAnsi="宋体"/>
          <w:sz w:val="32"/>
          <w:lang w:val="en-US" w:eastAsia="zh-CN"/>
        </w:rPr>
        <w:t>0</w:t>
      </w:r>
      <w:r>
        <w:rPr>
          <w:rFonts w:hint="default" w:ascii="宋体" w:hAnsi="宋体"/>
          <w:sz w:val="32"/>
          <w:lang w:val="en-US" w:eastAsia="zh-CN"/>
        </w:rPr>
        <w:t>辆，多功能乘用车</w:t>
      </w:r>
      <w:r>
        <w:rPr>
          <w:rFonts w:hint="eastAsia" w:ascii="宋体" w:hAnsi="宋体"/>
          <w:sz w:val="32"/>
          <w:lang w:val="en-US" w:eastAsia="zh-CN"/>
        </w:rPr>
        <w:t>0</w:t>
      </w:r>
      <w:r>
        <w:rPr>
          <w:rFonts w:hint="default" w:ascii="宋体" w:hAnsi="宋体"/>
          <w:sz w:val="32"/>
          <w:lang w:val="en-US" w:eastAsia="zh-CN"/>
        </w:rPr>
        <w:t>辆。</w:t>
      </w:r>
    </w:p>
    <w:p w14:paraId="05BAED1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年安排公务用车购置费</w:t>
      </w:r>
      <w:r>
        <w:rPr>
          <w:rFonts w:hint="eastAsia" w:ascii="宋体" w:hAnsi="宋体"/>
          <w:sz w:val="32"/>
          <w:lang w:val="en-US" w:eastAsia="zh-CN"/>
        </w:rPr>
        <w:t>0</w:t>
      </w:r>
      <w:r>
        <w:rPr>
          <w:rFonts w:hint="default" w:ascii="宋体" w:hAnsi="宋体"/>
          <w:sz w:val="32"/>
          <w:lang w:val="en-US" w:eastAsia="zh-CN"/>
        </w:rPr>
        <w:t>万元。</w:t>
      </w:r>
    </w:p>
    <w:p w14:paraId="6D8BB41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0</w:t>
      </w:r>
      <w:r>
        <w:rPr>
          <w:rFonts w:hint="default" w:ascii="宋体" w:hAnsi="宋体"/>
          <w:sz w:val="32"/>
          <w:lang w:val="en-US" w:eastAsia="zh-CN"/>
        </w:rPr>
        <w:t>万元。</w:t>
      </w:r>
    </w:p>
    <w:p w14:paraId="3B475760">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8" w:name="_Toc27419"/>
      <w:r>
        <w:rPr>
          <w:rFonts w:hint="eastAsia" w:ascii="宋体" w:hAnsi="宋体" w:eastAsia="黑体"/>
          <w:color w:val="333333"/>
        </w:rPr>
        <w:t>六、政府性基金预算支出情况说明</w:t>
      </w:r>
      <w:bookmarkEnd w:id="48"/>
    </w:p>
    <w:p w14:paraId="1CDE1B2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五通桥区文化馆2026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14:paraId="55FC72DC">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9" w:name="_Toc17512"/>
    </w:p>
    <w:p w14:paraId="7B0377AE">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9"/>
    </w:p>
    <w:p w14:paraId="3B27463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五通桥区文化馆2026年国有资本经营预算拨款安排支出0万元,较上年预算数持平。</w:t>
      </w:r>
    </w:p>
    <w:p w14:paraId="3A97F55E">
      <w:pPr>
        <w:pStyle w:val="6"/>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50" w:name="_Toc904"/>
      <w:r>
        <w:rPr>
          <w:rFonts w:hint="eastAsia" w:ascii="宋体" w:hAnsi="宋体" w:eastAsia="黑体"/>
          <w:color w:val="333333"/>
          <w:lang w:val="en-US" w:eastAsia="zh-CN"/>
        </w:rPr>
        <w:t>八、其他重要事项的情况说明</w:t>
      </w:r>
      <w:bookmarkEnd w:id="50"/>
    </w:p>
    <w:p w14:paraId="76738C6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51" w:name="_Toc17345"/>
      <w:r>
        <w:rPr>
          <w:rFonts w:ascii="宋体" w:hAnsi="宋体"/>
        </w:rPr>
        <w:t>（一）机关运行经费情况</w:t>
      </w:r>
      <w:bookmarkEnd w:id="51"/>
    </w:p>
    <w:p w14:paraId="6C9D8A7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eastAsia="仿宋_GB2312" w:cs="仿宋_GB2312"/>
          <w:color w:val="auto"/>
          <w:sz w:val="32"/>
          <w:szCs w:val="22"/>
          <w:lang w:val="en-US" w:eastAsia="zh-CN" w:bidi="zh-CN"/>
        </w:rPr>
        <w:t>五通桥区文化馆</w:t>
      </w:r>
      <w:r>
        <w:rPr>
          <w:rFonts w:hint="eastAsia" w:ascii="宋体" w:hAnsi="宋体"/>
          <w:sz w:val="32"/>
          <w:lang w:val="en-US" w:eastAsia="zh-CN"/>
        </w:rPr>
        <w:t>的</w:t>
      </w:r>
      <w:r>
        <w:rPr>
          <w:rFonts w:hint="eastAsia" w:ascii="宋体" w:hAnsi="宋体" w:eastAsia="仿宋_GB2312" w:cs="仿宋_GB2312"/>
          <w:color w:val="auto"/>
          <w:sz w:val="32"/>
          <w:szCs w:val="22"/>
          <w:lang w:val="en-US" w:eastAsia="zh-CN" w:bidi="zh-CN"/>
        </w:rPr>
        <w:t>机关运行经费</w:t>
      </w:r>
      <w:r>
        <w:rPr>
          <w:rFonts w:hint="eastAsia" w:ascii="宋体" w:hAnsi="宋体"/>
          <w:sz w:val="32"/>
          <w:lang w:val="en-US" w:eastAsia="zh-CN"/>
        </w:rPr>
        <w:t>财政拨款预算</w:t>
      </w:r>
      <w:r>
        <w:rPr>
          <w:rFonts w:hint="eastAsia" w:ascii="宋体" w:hAnsi="宋体" w:eastAsia="仿宋_GB2312" w:cs="仿宋_GB2312"/>
          <w:color w:val="auto"/>
          <w:sz w:val="32"/>
          <w:szCs w:val="22"/>
          <w:lang w:val="en-US" w:eastAsia="zh-CN" w:bidi="zh-CN"/>
        </w:rPr>
        <w:t>为 0万元</w:t>
      </w:r>
      <w:r>
        <w:rPr>
          <w:rFonts w:hint="eastAsia" w:ascii="宋体" w:hAnsi="宋体"/>
          <w:sz w:val="32"/>
          <w:lang w:val="en-US" w:eastAsia="zh-CN"/>
        </w:rPr>
        <w:t>。</w:t>
      </w:r>
    </w:p>
    <w:p w14:paraId="2CB1EFC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11837"/>
      <w:r>
        <w:rPr>
          <w:rFonts w:ascii="宋体" w:hAnsi="宋体"/>
        </w:rPr>
        <w:t>（二）政府采购情况</w:t>
      </w:r>
      <w:bookmarkEnd w:id="52"/>
    </w:p>
    <w:p w14:paraId="23D83634">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w:t>
      </w:r>
      <w:r>
        <w:rPr>
          <w:rFonts w:hint="eastAsia" w:ascii="宋体" w:hAnsi="宋体" w:eastAsia="仿宋_GB2312" w:cs="仿宋_GB2312"/>
          <w:color w:val="auto"/>
          <w:sz w:val="32"/>
          <w:szCs w:val="22"/>
          <w:lang w:val="en-US" w:eastAsia="zh-CN" w:bidi="zh-CN"/>
        </w:rPr>
        <w:t>五通桥区文化馆</w:t>
      </w:r>
      <w:r>
        <w:rPr>
          <w:rFonts w:hint="eastAsia" w:ascii="宋体" w:hAnsi="宋体"/>
          <w:sz w:val="32"/>
          <w:lang w:val="en-US" w:eastAsia="zh-CN"/>
        </w:rPr>
        <w:t>政府采购项目0万元。其中，政府采购货物预算0万元；政府采购工程预算0万元；政府采购服务预算0万元。</w:t>
      </w:r>
    </w:p>
    <w:p w14:paraId="004DFC68">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3" w:name="_Toc16771"/>
      <w:r>
        <w:rPr>
          <w:rFonts w:ascii="宋体" w:hAnsi="宋体"/>
        </w:rPr>
        <w:t>（三）国有资产占有使用情况</w:t>
      </w:r>
      <w:bookmarkEnd w:id="53"/>
    </w:p>
    <w:p w14:paraId="1B5CE1A0">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w:t>
      </w:r>
      <w:r>
        <w:rPr>
          <w:rFonts w:hint="eastAsia" w:ascii="宋体" w:hAnsi="宋体" w:eastAsia="仿宋_GB2312" w:cs="仿宋_GB2312"/>
          <w:color w:val="auto"/>
          <w:sz w:val="32"/>
          <w:szCs w:val="22"/>
          <w:lang w:val="en-US" w:eastAsia="zh-CN" w:bidi="zh-CN"/>
        </w:rPr>
        <w:t>五通桥区文化馆</w:t>
      </w:r>
      <w:r>
        <w:rPr>
          <w:rFonts w:hint="eastAsia" w:ascii="宋体" w:hAnsi="宋体"/>
          <w:sz w:val="32"/>
          <w:lang w:val="en-US" w:eastAsia="zh-CN"/>
        </w:rPr>
        <w:t>所属各预算单位共有车辆0辆。单位价值100万元以上大型设备0套。</w:t>
      </w:r>
    </w:p>
    <w:p w14:paraId="038CFB4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2026年部门预算未安排购置车辆及单位价值100万元以上大型设备。</w:t>
      </w:r>
    </w:p>
    <w:p w14:paraId="70C2D53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4"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4"/>
    </w:p>
    <w:p w14:paraId="2B3198E1">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w:t>
      </w:r>
      <w:r>
        <w:rPr>
          <w:rFonts w:hint="eastAsia" w:ascii="宋体" w:hAnsi="宋体" w:eastAsia="仿宋_GB2312" w:cs="仿宋_GB2312"/>
          <w:color w:val="auto"/>
          <w:sz w:val="32"/>
          <w:szCs w:val="22"/>
          <w:lang w:val="en-US" w:eastAsia="zh-CN" w:bidi="zh-CN"/>
        </w:rPr>
        <w:t>五通桥区文化馆</w:t>
      </w:r>
      <w:r>
        <w:rPr>
          <w:rFonts w:hint="eastAsia" w:ascii="宋体" w:hAnsi="宋体"/>
          <w:sz w:val="32"/>
          <w:lang w:val="en-US" w:eastAsia="zh-CN"/>
        </w:rPr>
        <w:t>开展绩效目标管理的项目</w:t>
      </w:r>
      <w:r>
        <w:rPr>
          <w:rFonts w:hint="eastAsia" w:ascii="宋体" w:hAnsi="宋体"/>
          <w:sz w:val="32"/>
          <w:highlight w:val="none"/>
          <w:lang w:val="en-US" w:eastAsia="zh-CN"/>
        </w:rPr>
        <w:t>15个</w:t>
      </w:r>
      <w:r>
        <w:rPr>
          <w:rFonts w:hint="eastAsia" w:ascii="宋体" w:hAnsi="宋体"/>
          <w:sz w:val="32"/>
          <w:lang w:val="en-US" w:eastAsia="zh-CN"/>
        </w:rPr>
        <w:t>，涉及预算99.26万元。其中：人员类项目11个，涉及预算106.25万元；运转类项目3个，涉及预算13.12万元；特定目标类项目1个，涉及预算2.1万元。</w:t>
      </w:r>
    </w:p>
    <w:p w14:paraId="0C5B5285">
      <w:pPr>
        <w:pStyle w:val="6"/>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120464E4">
      <w:pPr>
        <w:rPr>
          <w:rFonts w:ascii="宋体" w:hAnsi="宋体"/>
        </w:rPr>
      </w:pPr>
    </w:p>
    <w:p w14:paraId="495C1A25">
      <w:pPr>
        <w:pStyle w:val="6"/>
        <w:rPr>
          <w:rFonts w:ascii="宋体" w:hAnsi="宋体"/>
          <w:sz w:val="20"/>
        </w:rPr>
      </w:pPr>
    </w:p>
    <w:p w14:paraId="30C716FC">
      <w:pPr>
        <w:pStyle w:val="6"/>
        <w:rPr>
          <w:rFonts w:ascii="宋体" w:hAnsi="宋体"/>
          <w:sz w:val="20"/>
        </w:rPr>
      </w:pPr>
    </w:p>
    <w:p w14:paraId="5176A628">
      <w:pPr>
        <w:pStyle w:val="6"/>
        <w:rPr>
          <w:rFonts w:ascii="宋体" w:hAnsi="宋体"/>
          <w:sz w:val="20"/>
        </w:rPr>
      </w:pPr>
    </w:p>
    <w:p w14:paraId="79318F0E">
      <w:pPr>
        <w:pStyle w:val="6"/>
        <w:rPr>
          <w:rFonts w:ascii="宋体" w:hAnsi="宋体"/>
          <w:sz w:val="20"/>
        </w:rPr>
      </w:pPr>
    </w:p>
    <w:p w14:paraId="7DEA9639">
      <w:pPr>
        <w:pStyle w:val="6"/>
        <w:rPr>
          <w:rFonts w:ascii="宋体" w:hAnsi="宋体"/>
          <w:sz w:val="20"/>
        </w:rPr>
      </w:pPr>
    </w:p>
    <w:p w14:paraId="59B15472">
      <w:pPr>
        <w:pStyle w:val="6"/>
        <w:rPr>
          <w:rFonts w:ascii="宋体" w:hAnsi="宋体"/>
          <w:sz w:val="20"/>
        </w:rPr>
      </w:pPr>
    </w:p>
    <w:p w14:paraId="7C1E6369">
      <w:pPr>
        <w:pStyle w:val="6"/>
        <w:rPr>
          <w:rFonts w:ascii="宋体" w:hAnsi="宋体"/>
          <w:sz w:val="20"/>
        </w:rPr>
      </w:pPr>
    </w:p>
    <w:p w14:paraId="7FC76BC5">
      <w:pPr>
        <w:pStyle w:val="6"/>
        <w:rPr>
          <w:rFonts w:ascii="宋体" w:hAnsi="宋体"/>
          <w:sz w:val="20"/>
        </w:rPr>
      </w:pPr>
    </w:p>
    <w:p w14:paraId="4B328BE5">
      <w:pPr>
        <w:pStyle w:val="6"/>
        <w:rPr>
          <w:rFonts w:ascii="宋体" w:hAnsi="宋体"/>
          <w:sz w:val="20"/>
        </w:rPr>
      </w:pPr>
    </w:p>
    <w:p w14:paraId="45D14B1B">
      <w:pPr>
        <w:pStyle w:val="6"/>
        <w:rPr>
          <w:rFonts w:ascii="宋体" w:hAnsi="宋体"/>
          <w:sz w:val="20"/>
        </w:rPr>
      </w:pPr>
    </w:p>
    <w:p w14:paraId="32C9BF49">
      <w:pPr>
        <w:pStyle w:val="6"/>
        <w:rPr>
          <w:rFonts w:ascii="宋体" w:hAnsi="宋体"/>
          <w:sz w:val="20"/>
        </w:rPr>
      </w:pPr>
    </w:p>
    <w:p w14:paraId="7A7100C8">
      <w:pPr>
        <w:pStyle w:val="6"/>
        <w:rPr>
          <w:rFonts w:ascii="宋体" w:hAnsi="宋体"/>
          <w:sz w:val="20"/>
        </w:rPr>
      </w:pPr>
    </w:p>
    <w:p w14:paraId="04B719EB">
      <w:pPr>
        <w:pStyle w:val="6"/>
        <w:rPr>
          <w:rFonts w:ascii="宋体" w:hAnsi="宋体"/>
          <w:sz w:val="20"/>
        </w:rPr>
      </w:pPr>
    </w:p>
    <w:p w14:paraId="619510B9">
      <w:pPr>
        <w:pStyle w:val="6"/>
        <w:rPr>
          <w:rFonts w:ascii="宋体" w:hAnsi="宋体"/>
          <w:sz w:val="20"/>
        </w:rPr>
      </w:pPr>
    </w:p>
    <w:p w14:paraId="02A09149">
      <w:pPr>
        <w:pStyle w:val="6"/>
        <w:rPr>
          <w:rFonts w:ascii="宋体" w:hAnsi="宋体"/>
          <w:sz w:val="20"/>
        </w:rPr>
      </w:pPr>
    </w:p>
    <w:p w14:paraId="62FFA514">
      <w:pPr>
        <w:pStyle w:val="6"/>
        <w:rPr>
          <w:rFonts w:ascii="宋体" w:hAnsi="宋体"/>
          <w:sz w:val="20"/>
        </w:rPr>
      </w:pPr>
    </w:p>
    <w:p w14:paraId="19370922">
      <w:pPr>
        <w:pStyle w:val="6"/>
        <w:rPr>
          <w:rFonts w:ascii="宋体" w:hAnsi="宋体"/>
          <w:sz w:val="20"/>
        </w:rPr>
      </w:pPr>
    </w:p>
    <w:p w14:paraId="677AB94A">
      <w:pPr>
        <w:pStyle w:val="6"/>
        <w:rPr>
          <w:rFonts w:ascii="宋体" w:hAnsi="宋体"/>
          <w:sz w:val="20"/>
        </w:rPr>
      </w:pPr>
    </w:p>
    <w:p w14:paraId="2E33825D">
      <w:pPr>
        <w:pStyle w:val="6"/>
        <w:rPr>
          <w:rFonts w:ascii="宋体" w:hAnsi="宋体"/>
          <w:sz w:val="20"/>
        </w:rPr>
      </w:pPr>
    </w:p>
    <w:p w14:paraId="4EE17E71">
      <w:pPr>
        <w:pStyle w:val="6"/>
        <w:rPr>
          <w:rFonts w:ascii="宋体" w:hAnsi="宋体"/>
          <w:sz w:val="20"/>
        </w:rPr>
      </w:pPr>
    </w:p>
    <w:p w14:paraId="18614B50">
      <w:pPr>
        <w:pStyle w:val="6"/>
        <w:rPr>
          <w:rFonts w:ascii="宋体" w:hAnsi="宋体"/>
          <w:sz w:val="20"/>
        </w:rPr>
      </w:pPr>
    </w:p>
    <w:p w14:paraId="1AB6B22A">
      <w:pPr>
        <w:pStyle w:val="6"/>
        <w:jc w:val="center"/>
        <w:outlineLvl w:val="0"/>
        <w:rPr>
          <w:rFonts w:hint="eastAsia" w:ascii="宋体" w:hAnsi="宋体" w:eastAsia="方正小标宋简体" w:cs="方正小标宋简体"/>
          <w:sz w:val="52"/>
          <w:szCs w:val="52"/>
          <w:lang w:val="en-US" w:eastAsia="zh-CN"/>
        </w:rPr>
      </w:pPr>
      <w:bookmarkStart w:id="55" w:name="_Toc12947"/>
      <w:r>
        <w:rPr>
          <w:rFonts w:hint="eastAsia" w:ascii="宋体" w:hAnsi="宋体" w:eastAsia="方正小标宋简体" w:cs="方正小标宋简体"/>
          <w:sz w:val="52"/>
          <w:szCs w:val="52"/>
          <w:lang w:val="en-US" w:eastAsia="zh-CN"/>
        </w:rPr>
        <w:t>第四部分  名词解释</w:t>
      </w:r>
      <w:bookmarkEnd w:id="55"/>
    </w:p>
    <w:p w14:paraId="30A06746">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413FC2B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14:paraId="497612D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14:paraId="589C069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14:paraId="24E65C4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14:paraId="6EF530C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14:paraId="25D5DF1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6.上年结转：指以前年度尚未完成，结转到本年仍按原规定用途继续使用的资金。</w:t>
      </w:r>
    </w:p>
    <w:p w14:paraId="39EF32E5">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7.文化旅游体育与传媒支出（类）文化和旅游（款）群众文化（项）：反映群众文化方面的支出，包括基层文化馆（站）、群众艺术馆支出等。</w:t>
      </w:r>
    </w:p>
    <w:p w14:paraId="1E8352A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8.文化旅游体育与传媒支出（类）文化和旅游（款）其他文化和旅游支出（项）：反映除上述项目以外其他用于文化和旅游方面的支出。</w:t>
      </w:r>
    </w:p>
    <w:p w14:paraId="64F120C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9.社会保障和就业支出（类）行政事业单位养老支出（款）机关事业单位基本养老保险缴费支出（项）：指机关事业单位实施养老保险制度由单位缴纳的基本养老保险费支出。</w:t>
      </w:r>
    </w:p>
    <w:p w14:paraId="162D9EC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10.社会保障和就业支出（类）行政事业单位养老支出（款）机关事业单位职业年金缴费支出（项）：指机关事业单位实施养老保险制度由单位实际缴纳的职业年金支出。</w:t>
      </w:r>
    </w:p>
    <w:p w14:paraId="4DD37119">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highlight w:val="none"/>
          <w:lang w:val="en-US" w:eastAsia="zh-CN"/>
        </w:rPr>
        <w:t>11.社会保障和就业</w:t>
      </w:r>
      <w:r>
        <w:rPr>
          <w:rFonts w:hint="eastAsia" w:ascii="宋体" w:hAnsi="宋体"/>
          <w:sz w:val="32"/>
          <w:lang w:val="en-US" w:eastAsia="zh-CN"/>
        </w:rPr>
        <w:t>支出</w:t>
      </w:r>
      <w:r>
        <w:rPr>
          <w:rFonts w:hint="eastAsia" w:ascii="宋体" w:hAnsi="宋体"/>
          <w:sz w:val="32"/>
          <w:highlight w:val="none"/>
          <w:lang w:val="en-US" w:eastAsia="zh-CN"/>
        </w:rPr>
        <w:t>（类）</w:t>
      </w:r>
      <w:r>
        <w:rPr>
          <w:rFonts w:hint="eastAsia" w:ascii="宋体" w:hAnsi="宋体"/>
          <w:sz w:val="32"/>
          <w:lang w:val="en-US" w:eastAsia="zh-CN"/>
        </w:rPr>
        <w:t>行政事业单位养老支出</w:t>
      </w:r>
      <w:r>
        <w:rPr>
          <w:rFonts w:hint="eastAsia" w:ascii="宋体" w:hAnsi="宋体"/>
          <w:sz w:val="32"/>
          <w:highlight w:val="none"/>
          <w:lang w:val="en-US" w:eastAsia="zh-CN"/>
        </w:rPr>
        <w:t>（款）其他行政事业单位养老支出（项）:指</w:t>
      </w:r>
      <w:r>
        <w:rPr>
          <w:rFonts w:hint="eastAsia" w:ascii="宋体" w:hAnsi="宋体"/>
          <w:sz w:val="32"/>
          <w:lang w:val="en-US" w:eastAsia="zh-CN"/>
        </w:rPr>
        <w:t>除上述项目以外其他用于行政事业单位养老方面的支出。</w:t>
      </w:r>
    </w:p>
    <w:p w14:paraId="1976BD72">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12.社会保障和就业支出（类）其他社会保障和就业支出（款）其他社会保障和就业支出（项）：</w:t>
      </w:r>
      <w:r>
        <w:rPr>
          <w:rFonts w:hint="eastAsia" w:ascii="宋体" w:hAnsi="宋体"/>
          <w:sz w:val="32"/>
          <w:highlight w:val="none"/>
          <w:lang w:val="en-US" w:eastAsia="zh-CN"/>
        </w:rPr>
        <w:t>指</w:t>
      </w:r>
      <w:r>
        <w:rPr>
          <w:rFonts w:hint="eastAsia" w:ascii="宋体" w:hAnsi="宋体"/>
          <w:sz w:val="32"/>
          <w:lang w:val="en-US" w:eastAsia="zh-CN"/>
        </w:rPr>
        <w:t>除上述项目以外其他用于社会保障和就业方面的支出。</w:t>
      </w:r>
    </w:p>
    <w:p w14:paraId="3B9D0917">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13.卫生健康支出（类）行政事业单位医疗（款）事业单位医疗（项）：指财政部门安排的事业单位基本医疗保险缴费经费，未参加医疗保险的事业单位的公费医疗经费，按国家规定享受离休人员待遇的医疗经费。</w:t>
      </w:r>
    </w:p>
    <w:p w14:paraId="7A03A6BF">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highlight w:val="none"/>
          <w:lang w:val="en-US" w:eastAsia="zh-CN"/>
        </w:rPr>
      </w:pPr>
      <w:r>
        <w:rPr>
          <w:rFonts w:hint="eastAsia" w:ascii="宋体" w:hAnsi="宋体"/>
          <w:sz w:val="32"/>
          <w:highlight w:val="none"/>
          <w:lang w:val="en-US" w:eastAsia="zh-CN"/>
        </w:rPr>
        <w:t>14.卫生健康</w:t>
      </w:r>
      <w:r>
        <w:rPr>
          <w:rFonts w:hint="eastAsia" w:ascii="宋体" w:hAnsi="宋体"/>
          <w:sz w:val="32"/>
          <w:lang w:val="en-US" w:eastAsia="zh-CN"/>
        </w:rPr>
        <w:t>支出</w:t>
      </w:r>
      <w:r>
        <w:rPr>
          <w:rFonts w:hint="eastAsia" w:ascii="宋体" w:hAnsi="宋体"/>
          <w:sz w:val="32"/>
          <w:highlight w:val="none"/>
          <w:lang w:val="en-US" w:eastAsia="zh-CN"/>
        </w:rPr>
        <w:t>（类）行政事业单位医疗（款）公务员医疗补助（项）：指财政部门安排的公务用医疗补助经费。</w:t>
      </w:r>
    </w:p>
    <w:p w14:paraId="49C4C63B">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15.住房保障支出（类）住房改革支出（款）住房公积金（项）：指行政事业单位按人力资源和社会保障部、财政部规定的基本工资和津贴补贴以及规定比例为职工缴纳的住房公积金。</w:t>
      </w:r>
    </w:p>
    <w:p w14:paraId="06AE8EC8">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16.基本支出：指为保证机构正常运转，完成日常工作任务而发生的人员支出和公用支出。</w:t>
      </w:r>
    </w:p>
    <w:p w14:paraId="040ACEEE">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17.项目支出：指在基本支出之外为完成特定行政任务和事业发展目标所发生的支出。</w:t>
      </w:r>
    </w:p>
    <w:p w14:paraId="6278FD2A">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18.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A974956">
      <w:pPr>
        <w:pStyle w:val="16"/>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C5E7E3-7118-402C-B17D-33AF86666D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embedRegular r:id="rId2" w:fontKey="{231F6A98-1F04-482B-B4CA-4349B839EF0C}"/>
  </w:font>
  <w:font w:name="楷体">
    <w:panose1 w:val="02010609060101010101"/>
    <w:charset w:val="86"/>
    <w:family w:val="modern"/>
    <w:pitch w:val="default"/>
    <w:sig w:usb0="800002BF" w:usb1="38CF7CFA" w:usb2="00000016" w:usb3="00000000" w:csb0="00040001" w:csb1="00000000"/>
    <w:embedRegular r:id="rId3" w:fontKey="{0634678C-D350-4A81-A539-5C4BBF82015E}"/>
  </w:font>
  <w:font w:name="仿宋_GB2312">
    <w:panose1 w:val="02010609030101010101"/>
    <w:charset w:val="86"/>
    <w:family w:val="modern"/>
    <w:pitch w:val="default"/>
    <w:sig w:usb0="00000001" w:usb1="080E0000" w:usb2="00000000" w:usb3="00000000" w:csb0="00040000" w:csb1="00000000"/>
    <w:embedRegular r:id="rId4" w:fontKey="{FA45F885-3F61-4177-8FB4-214FD45DFF1D}"/>
  </w:font>
  <w:font w:name="方正小标宋简体">
    <w:panose1 w:val="03000509000000000000"/>
    <w:charset w:val="86"/>
    <w:family w:val="script"/>
    <w:pitch w:val="default"/>
    <w:sig w:usb0="00000001" w:usb1="080E0000" w:usb2="00000000" w:usb3="00000000" w:csb0="00040000" w:csb1="00000000"/>
    <w:embedRegular r:id="rId5" w:fontKey="{6216B7D2-9136-4126-A86F-F2AC3017E819}"/>
  </w:font>
  <w:font w:name="仿宋">
    <w:panose1 w:val="02010609060101010101"/>
    <w:charset w:val="86"/>
    <w:family w:val="modern"/>
    <w:pitch w:val="default"/>
    <w:sig w:usb0="800002BF" w:usb1="38CF7CFA" w:usb2="00000016" w:usb3="00000000" w:csb0="00040001" w:csb1="00000000"/>
    <w:embedRegular r:id="rId6" w:fontKey="{9D4F74DF-DA57-4D97-90D4-94255C47B5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2BCCC">
    <w:pPr>
      <w:pStyle w:val="6"/>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5CDDA">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215CDDA">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410AB">
    <w:pPr>
      <w:pStyle w:val="6"/>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3FC66F">
                          <w:pPr>
                            <w:pStyle w:val="8"/>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93FC66F">
                    <w:pPr>
                      <w:pStyle w:val="8"/>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FF70B">
    <w:pPr>
      <w:pStyle w:val="6"/>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10A349">
                          <w:pPr>
                            <w:pStyle w:val="8"/>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10A349">
                    <w:pPr>
                      <w:pStyle w:val="8"/>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9E977">
    <w:pPr>
      <w:pStyle w:val="6"/>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9F00D0">
                          <w:pPr>
                            <w:pStyle w:val="8"/>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09F00D0">
                    <w:pPr>
                      <w:pStyle w:val="8"/>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41A25">
    <w:pPr>
      <w:pStyle w:val="6"/>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863F4">
                          <w:pPr>
                            <w:pStyle w:val="8"/>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63863F4">
                    <w:pPr>
                      <w:pStyle w:val="8"/>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44B5">
    <w:pPr>
      <w:pStyle w:val="9"/>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9C957">
    <w:pPr>
      <w:pStyle w:val="6"/>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92E84">
    <w:pPr>
      <w:pStyle w:val="6"/>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16194">
    <w:pPr>
      <w:pStyle w:val="6"/>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479F9">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5BFEA"/>
    <w:multiLevelType w:val="singleLevel"/>
    <w:tmpl w:val="F625BFEA"/>
    <w:lvl w:ilvl="0" w:tentative="0">
      <w:start w:val="12"/>
      <w:numFmt w:val="chineseCounting"/>
      <w:suff w:val="nothing"/>
      <w:lvlText w:val="%1、"/>
      <w:lvlJc w:val="left"/>
      <w:rPr>
        <w:rFonts w:hint="eastAsia"/>
      </w:r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Y2RkOGQ3MDdiZGQ2N2YwNWU0ZjBhODUxOTYyZDgifQ=="/>
    <w:docVar w:name="KSO_WPS_MARK_KEY" w:val="48d2c7c5-5ca7-4a62-94c0-78ba1c7e0ebc"/>
  </w:docVars>
  <w:rsids>
    <w:rsidRoot w:val="00000000"/>
    <w:rsid w:val="0151513B"/>
    <w:rsid w:val="02ED1707"/>
    <w:rsid w:val="02F925FF"/>
    <w:rsid w:val="08F93370"/>
    <w:rsid w:val="0A8A1016"/>
    <w:rsid w:val="0C175DA7"/>
    <w:rsid w:val="13CB5FFB"/>
    <w:rsid w:val="14005FA5"/>
    <w:rsid w:val="17467EC7"/>
    <w:rsid w:val="18D94D16"/>
    <w:rsid w:val="1C4565B4"/>
    <w:rsid w:val="1C911BF7"/>
    <w:rsid w:val="1D6A0460"/>
    <w:rsid w:val="1E9115A9"/>
    <w:rsid w:val="20D9567F"/>
    <w:rsid w:val="21211D8E"/>
    <w:rsid w:val="240622C9"/>
    <w:rsid w:val="24345827"/>
    <w:rsid w:val="247F2477"/>
    <w:rsid w:val="26F81A7D"/>
    <w:rsid w:val="2BD66371"/>
    <w:rsid w:val="3170631D"/>
    <w:rsid w:val="347C6319"/>
    <w:rsid w:val="3CDC646A"/>
    <w:rsid w:val="3CE8138E"/>
    <w:rsid w:val="45AF4FD2"/>
    <w:rsid w:val="47C71FC2"/>
    <w:rsid w:val="4D110486"/>
    <w:rsid w:val="4D3C563B"/>
    <w:rsid w:val="4DF75877"/>
    <w:rsid w:val="4E373CC1"/>
    <w:rsid w:val="4EA6494F"/>
    <w:rsid w:val="506208E3"/>
    <w:rsid w:val="518662C6"/>
    <w:rsid w:val="548B3580"/>
    <w:rsid w:val="54BB49E6"/>
    <w:rsid w:val="54C30EEA"/>
    <w:rsid w:val="5543046B"/>
    <w:rsid w:val="58EE6347"/>
    <w:rsid w:val="59123F42"/>
    <w:rsid w:val="595E3E2E"/>
    <w:rsid w:val="59E755A2"/>
    <w:rsid w:val="5AE90F4A"/>
    <w:rsid w:val="5B65451D"/>
    <w:rsid w:val="5E43013B"/>
    <w:rsid w:val="601061D5"/>
    <w:rsid w:val="61D75BDC"/>
    <w:rsid w:val="62082BDF"/>
    <w:rsid w:val="6A3970E8"/>
    <w:rsid w:val="6ADB2A7E"/>
    <w:rsid w:val="711552AA"/>
    <w:rsid w:val="7209340F"/>
    <w:rsid w:val="76A30804"/>
    <w:rsid w:val="79150F21"/>
    <w:rsid w:val="7B0278C9"/>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5">
    <w:name w:val="Normal Indent"/>
    <w:basedOn w:val="1"/>
    <w:next w:val="1"/>
    <w:qFormat/>
    <w:uiPriority w:val="0"/>
    <w:pPr>
      <w:ind w:firstLine="420" w:firstLineChars="200"/>
    </w:pPr>
    <w:rPr>
      <w:rFonts w:ascii="Calibri" w:hAnsi="Calibri" w:eastAsia="宋体" w:cs="Times New Roman"/>
      <w:szCs w:val="24"/>
    </w:rPr>
  </w:style>
  <w:style w:type="paragraph" w:styleId="6">
    <w:name w:val="Body Text"/>
    <w:basedOn w:val="1"/>
    <w:qFormat/>
    <w:uiPriority w:val="1"/>
    <w:rPr>
      <w:rFonts w:ascii="仿宋_GB2312" w:hAnsi="仿宋_GB2312" w:eastAsia="仿宋_GB2312" w:cs="仿宋_GB2312"/>
      <w:sz w:val="32"/>
      <w:szCs w:val="32"/>
      <w:lang w:val="zh-CN" w:eastAsia="zh-CN" w:bidi="zh-CN"/>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customStyle="1" w:styleId="14">
    <w:name w:val="BodyText"/>
    <w:basedOn w:val="1"/>
    <w:qFormat/>
    <w:uiPriority w:val="0"/>
    <w:pPr>
      <w:spacing w:after="120"/>
      <w:jc w:val="both"/>
      <w:textAlignment w:val="baseline"/>
    </w:pPr>
    <w:rPr>
      <w:rFonts w:ascii="Times New Roman" w:hAnsi="Times New Roman" w:eastAsia="宋体"/>
      <w:kern w:val="2"/>
      <w:sz w:val="21"/>
      <w:szCs w:val="21"/>
      <w:lang w:val="en-US" w:eastAsia="zh-CN" w:bidi="ar-SA"/>
    </w:r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WPSOffice手动目录 1"/>
    <w:qFormat/>
    <w:uiPriority w:val="0"/>
    <w:pPr>
      <w:ind w:leftChars="0"/>
    </w:pPr>
    <w:rPr>
      <w:rFonts w:asciiTheme="minorHAnsi" w:hAnsiTheme="minorHAnsi" w:eastAsiaTheme="minorHAnsi" w:cstheme="minorBidi"/>
      <w:sz w:val="20"/>
      <w:szCs w:val="20"/>
    </w:rPr>
  </w:style>
  <w:style w:type="paragraph" w:customStyle="1" w:styleId="19">
    <w:name w:val="WPSOffice手动目录 2"/>
    <w:qFormat/>
    <w:uiPriority w:val="0"/>
    <w:pPr>
      <w:ind w:leftChars="200"/>
    </w:pPr>
    <w:rPr>
      <w:rFonts w:asciiTheme="minorHAnsi" w:hAnsiTheme="minorHAnsi" w:eastAsiaTheme="minorHAnsi" w:cstheme="minorBidi"/>
      <w:sz w:val="20"/>
      <w:szCs w:val="20"/>
    </w:rPr>
  </w:style>
  <w:style w:type="paragraph" w:customStyle="1" w:styleId="20">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5203</Words>
  <Characters>5606</Characters>
  <TotalTime>16</TotalTime>
  <ScaleCrop>false</ScaleCrop>
  <LinksUpToDate>false</LinksUpToDate>
  <CharactersWithSpaces>5689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WPS_1622596163</cp:lastModifiedBy>
  <dcterms:modified xsi:type="dcterms:W3CDTF">2026-02-27T07:03:38Z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eyJoZGlkIjoiZWZjZDcwNWM2YjZiMWY3MTVhZGJjOTFkOGU5YTQxMWYiLCJ1c2VySWQiOiIxMjExODg2OTEyIn0=</vt:lpwstr>
  </property>
</Properties>
</file>