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504CE">
      <w:pPr>
        <w:pStyle w:val="5"/>
        <w:jc w:val="center"/>
        <w:rPr>
          <w:rFonts w:hint="eastAsia" w:ascii="宋体" w:hAnsi="宋体" w:eastAsia="宋体" w:cs="宋体"/>
          <w:b/>
          <w:bCs/>
          <w:sz w:val="52"/>
          <w:szCs w:val="52"/>
          <w:shd w:val="clear" w:color="auto" w:fill="auto"/>
          <w:lang w:val="en-US" w:eastAsia="zh-CN"/>
        </w:rPr>
      </w:pPr>
    </w:p>
    <w:p w14:paraId="3522DC4B">
      <w:pPr>
        <w:pStyle w:val="5"/>
        <w:jc w:val="center"/>
        <w:rPr>
          <w:rFonts w:hint="eastAsia" w:ascii="宋体" w:hAnsi="宋体" w:eastAsia="宋体" w:cs="宋体"/>
          <w:b/>
          <w:bCs/>
          <w:sz w:val="52"/>
          <w:szCs w:val="52"/>
          <w:shd w:val="clear" w:color="auto" w:fill="auto"/>
          <w:lang w:val="en-US" w:eastAsia="zh-CN"/>
        </w:rPr>
      </w:pPr>
    </w:p>
    <w:p w14:paraId="1ADA0910">
      <w:pPr>
        <w:pStyle w:val="5"/>
        <w:jc w:val="center"/>
        <w:rPr>
          <w:rFonts w:hint="eastAsia" w:ascii="宋体" w:hAnsi="宋体" w:eastAsia="宋体" w:cs="宋体"/>
          <w:b/>
          <w:bCs/>
          <w:sz w:val="52"/>
          <w:szCs w:val="52"/>
          <w:shd w:val="clear" w:color="auto" w:fill="auto"/>
          <w:lang w:val="en-US" w:eastAsia="zh-CN"/>
        </w:rPr>
      </w:pPr>
    </w:p>
    <w:p w14:paraId="0E1BBA08">
      <w:pPr>
        <w:pStyle w:val="5"/>
        <w:jc w:val="center"/>
        <w:rPr>
          <w:rFonts w:hint="eastAsia" w:ascii="宋体" w:hAnsi="宋体" w:eastAsia="宋体" w:cs="宋体"/>
          <w:b/>
          <w:bCs/>
          <w:sz w:val="52"/>
          <w:szCs w:val="52"/>
          <w:shd w:val="clear" w:color="auto" w:fill="auto"/>
          <w:lang w:val="en-US" w:eastAsia="zh-CN"/>
        </w:rPr>
      </w:pPr>
    </w:p>
    <w:p w14:paraId="37699D6E">
      <w:pPr>
        <w:pStyle w:val="5"/>
        <w:jc w:val="center"/>
        <w:rPr>
          <w:rFonts w:hint="eastAsia" w:ascii="宋体" w:hAnsi="宋体" w:eastAsia="宋体" w:cs="宋体"/>
          <w:b/>
          <w:bCs/>
          <w:sz w:val="52"/>
          <w:szCs w:val="52"/>
          <w:shd w:val="clear" w:color="auto" w:fill="auto"/>
          <w:lang w:val="en-US" w:eastAsia="zh-CN"/>
        </w:rPr>
      </w:pPr>
    </w:p>
    <w:p w14:paraId="75E1FB7D">
      <w:pPr>
        <w:pStyle w:val="5"/>
        <w:jc w:val="center"/>
        <w:rPr>
          <w:rFonts w:hint="eastAsia" w:ascii="宋体" w:hAnsi="宋体" w:eastAsia="宋体" w:cs="宋体"/>
          <w:b/>
          <w:bCs/>
          <w:sz w:val="52"/>
          <w:szCs w:val="52"/>
          <w:shd w:val="clear" w:color="auto" w:fill="auto"/>
          <w:lang w:val="en-US" w:eastAsia="zh-CN"/>
        </w:rPr>
      </w:pPr>
    </w:p>
    <w:p w14:paraId="2774E654">
      <w:pPr>
        <w:pStyle w:val="5"/>
        <w:jc w:val="center"/>
        <w:rPr>
          <w:rFonts w:hint="eastAsia" w:ascii="宋体" w:hAnsi="宋体" w:eastAsia="宋体" w:cs="宋体"/>
          <w:b/>
          <w:bCs/>
          <w:sz w:val="52"/>
          <w:szCs w:val="52"/>
          <w:shd w:val="clear" w:color="auto" w:fill="auto"/>
          <w:lang w:val="en-US" w:eastAsia="zh-CN"/>
        </w:rPr>
      </w:pPr>
    </w:p>
    <w:p w14:paraId="372119E9">
      <w:pPr>
        <w:pStyle w:val="5"/>
        <w:jc w:val="center"/>
        <w:rPr>
          <w:rFonts w:hint="eastAsia" w:ascii="宋体" w:hAnsi="宋体" w:eastAsia="宋体" w:cs="宋体"/>
          <w:b/>
          <w:bCs/>
          <w:sz w:val="52"/>
          <w:szCs w:val="52"/>
          <w:shd w:val="clear" w:color="auto" w:fill="auto"/>
          <w:lang w:val="en-US" w:eastAsia="zh-CN"/>
        </w:rPr>
      </w:pPr>
    </w:p>
    <w:p w14:paraId="50235043">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w:t>
      </w:r>
    </w:p>
    <w:p w14:paraId="65D5D399">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综合行政执法局</w:t>
      </w:r>
    </w:p>
    <w:p w14:paraId="6ABB14D7">
      <w:pPr>
        <w:pStyle w:val="5"/>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14:paraId="5518794A">
      <w:pPr>
        <w:spacing w:after="0"/>
        <w:rPr>
          <w:rFonts w:ascii="宋体" w:hAnsi="宋体"/>
        </w:rPr>
      </w:pPr>
    </w:p>
    <w:p w14:paraId="275F4175">
      <w:pPr>
        <w:rPr>
          <w:rFonts w:ascii="宋体" w:hAnsi="宋体"/>
          <w:sz w:val="4"/>
        </w:rPr>
      </w:pPr>
      <w:r>
        <w:rPr>
          <w:rFonts w:ascii="宋体" w:hAnsi="宋体"/>
          <w:sz w:val="4"/>
        </w:rPr>
        <w:br w:type="page"/>
      </w:r>
    </w:p>
    <w:p w14:paraId="43197830">
      <w:pPr>
        <w:rPr>
          <w:rFonts w:ascii="宋体" w:hAnsi="宋体"/>
          <w:sz w:val="4"/>
        </w:rPr>
      </w:pPr>
    </w:p>
    <w:p w14:paraId="1142A838">
      <w:pPr>
        <w:pStyle w:val="5"/>
        <w:spacing w:before="2"/>
        <w:rPr>
          <w:rFonts w:ascii="宋体" w:hAnsi="宋体"/>
          <w:sz w:val="4"/>
        </w:rPr>
      </w:pPr>
    </w:p>
    <w:p w14:paraId="2678AFCF">
      <w:pPr>
        <w:pStyle w:val="5"/>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14:paraId="24DF223B">
          <w:pPr>
            <w:spacing w:before="0" w:beforeLines="0" w:after="0" w:afterLines="0" w:line="240" w:lineRule="auto"/>
            <w:ind w:left="0" w:leftChars="0" w:right="0" w:rightChars="0" w:firstLine="0" w:firstLineChars="0"/>
            <w:jc w:val="center"/>
            <w:rPr>
              <w:rFonts w:ascii="宋体" w:hAnsi="宋体"/>
            </w:rPr>
          </w:pPr>
        </w:p>
        <w:p w14:paraId="02493D6F">
          <w:pPr>
            <w:pStyle w:val="2"/>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_Toc14189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_Toc14189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14:paraId="5AF227A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_Toc9655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_Toc9655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2C14A079">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_Toc11418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_Toc11418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13B9A3DE">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_Toc16925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_Toc16925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280C96F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_Toc25791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_Toc25791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14:paraId="5DEA6BA0">
          <w:pPr>
            <w:pStyle w:val="2"/>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_Toc28233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 xml:space="preserve">第二部分 五通桥区综合行政执法局 </w:t>
          </w:r>
          <w:r>
            <w:rPr>
              <w:rFonts w:hint="eastAsia" w:eastAsia="方正小标宋简体" w:cs="方正小标宋简体"/>
              <w:bCs/>
              <w:szCs w:val="52"/>
              <w:lang w:val="en-US" w:eastAsia="zh-CN"/>
            </w:rPr>
            <w:t>2026</w:t>
          </w:r>
          <w:r>
            <w:rPr>
              <w:rFonts w:hint="eastAsia" w:ascii="宋体" w:hAnsi="宋体" w:eastAsia="方正小标宋简体" w:cs="方正小标宋简体"/>
              <w:bCs/>
              <w:szCs w:val="52"/>
              <w:lang w:val="en-US" w:eastAsia="zh-CN"/>
            </w:rPr>
            <w:t>年部门预算表</w:t>
          </w:r>
          <w:r>
            <w:tab/>
          </w:r>
          <w:r>
            <w:fldChar w:fldCharType="begin"/>
          </w:r>
          <w:r>
            <w:instrText xml:space="preserve"> PAGEREF _Toc28233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14:paraId="2CB66D09">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_Toc27782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一、收支预算总表（收支总表1）</w:t>
          </w:r>
          <w:r>
            <w:tab/>
          </w:r>
          <w:r>
            <w:fldChar w:fldCharType="begin"/>
          </w:r>
          <w:r>
            <w:instrText xml:space="preserve"> PAGEREF _Toc27782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AE91E2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_Toc5043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二、收入预算总表（收入总表2）</w:t>
          </w:r>
          <w:r>
            <w:tab/>
          </w:r>
          <w:r>
            <w:fldChar w:fldCharType="begin"/>
          </w:r>
          <w:r>
            <w:instrText xml:space="preserve"> PAGEREF _Toc5043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01CBD31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_Toc8500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三、征收预期表（征收预期3）</w:t>
          </w:r>
          <w:r>
            <w:tab/>
          </w:r>
          <w:r>
            <w:fldChar w:fldCharType="begin"/>
          </w:r>
          <w:r>
            <w:instrText xml:space="preserve"> PAGEREF _Toc8500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5F0509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_Toc30087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四、支出预算总表（支出总表4）</w:t>
          </w:r>
          <w:r>
            <w:tab/>
          </w:r>
          <w:r>
            <w:fldChar w:fldCharType="begin"/>
          </w:r>
          <w:r>
            <w:instrText xml:space="preserve"> PAGEREF _Toc30087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7E6002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_Toc12347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五、财政拨款预算总表（财拨总表5）</w:t>
          </w:r>
          <w:r>
            <w:tab/>
          </w:r>
          <w:r>
            <w:fldChar w:fldCharType="begin"/>
          </w:r>
          <w:r>
            <w:instrText xml:space="preserve"> PAGEREF _Toc12347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39B9AC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_Toc3715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六、一般公共预算支出表（一般预算支出6）</w:t>
          </w:r>
          <w:r>
            <w:tab/>
          </w:r>
          <w:r>
            <w:fldChar w:fldCharType="begin"/>
          </w:r>
          <w:r>
            <w:instrText xml:space="preserve"> PAGEREF _Toc3715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664BCD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_Toc26671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七、一般公共预算基本支出表（基本支出7）</w:t>
          </w:r>
          <w:r>
            <w:tab/>
          </w:r>
          <w:r>
            <w:fldChar w:fldCharType="begin"/>
          </w:r>
          <w:r>
            <w:instrText xml:space="preserve"> PAGEREF _Toc26671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A98509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_Toc24209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八、一般公共预算“三公”经费支出预算表（三公8）</w:t>
          </w:r>
          <w:r>
            <w:tab/>
          </w:r>
          <w:r>
            <w:fldChar w:fldCharType="begin"/>
          </w:r>
          <w:r>
            <w:instrText xml:space="preserve"> PAGEREF _Toc24209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BE0EBA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_Toc3689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九、政府性基金预算支出表（基金9）</w:t>
          </w:r>
          <w:r>
            <w:tab/>
          </w:r>
          <w:r>
            <w:fldChar w:fldCharType="begin"/>
          </w:r>
          <w:r>
            <w:instrText xml:space="preserve"> PAGEREF _Toc3689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1B8540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_Toc11860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十、国有资本经营预算支出表（国资10）</w:t>
          </w:r>
          <w:r>
            <w:tab/>
          </w:r>
          <w:r>
            <w:fldChar w:fldCharType="begin"/>
          </w:r>
          <w:r>
            <w:instrText xml:space="preserve"> PAGEREF _Toc11860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578FF31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_Toc18156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十一、支出功能分类预算表（支出功能11）</w:t>
          </w:r>
          <w:r>
            <w:tab/>
          </w:r>
          <w:r>
            <w:fldChar w:fldCharType="begin"/>
          </w:r>
          <w:r>
            <w:instrText xml:space="preserve"> PAGEREF _Toc18156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8FDD874">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_Toc16390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十二、支出经济分类预算表（支出经济分类12）</w:t>
          </w:r>
          <w:r>
            <w:tab/>
          </w:r>
          <w:r>
            <w:fldChar w:fldCharType="begin"/>
          </w:r>
          <w:r>
            <w:instrText xml:space="preserve"> PAGEREF _Toc16390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834C021">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_Toc18501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十三、上级资金安排情况表（上级资金安排13）</w:t>
          </w:r>
          <w:r>
            <w:tab/>
          </w:r>
          <w:r>
            <w:fldChar w:fldCharType="begin"/>
          </w:r>
          <w:r>
            <w:instrText xml:space="preserve"> PAGEREF _Toc18501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6E7CE20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_Toc24661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十四、项目支出表（项目支出14）</w:t>
          </w:r>
          <w:r>
            <w:tab/>
          </w:r>
          <w:r>
            <w:fldChar w:fldCharType="begin"/>
          </w:r>
          <w:r>
            <w:instrText xml:space="preserve"> PAGEREF _Toc24661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70D373E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_Toc9073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十六、政府购买服务预算表（购买服务16）</w:t>
          </w:r>
          <w:r>
            <w:tab/>
          </w:r>
          <w:r>
            <w:fldChar w:fldCharType="begin"/>
          </w:r>
          <w:r>
            <w:instrText xml:space="preserve"> PAGEREF _Toc9073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18D5B2E3">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_Toc7972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十七、采购需求表（采购需求表17）</w:t>
          </w:r>
          <w:r>
            <w:tab/>
          </w:r>
          <w:r>
            <w:fldChar w:fldCharType="begin"/>
          </w:r>
          <w:r>
            <w:instrText xml:space="preserve"> PAGEREF _Toc7972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3BF78C92">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_Toc26656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十八、国有资产配置预算表（资产18）</w:t>
          </w:r>
          <w:r>
            <w:tab/>
          </w:r>
          <w:r>
            <w:fldChar w:fldCharType="begin"/>
          </w:r>
          <w:r>
            <w:instrText xml:space="preserve"> PAGEREF _Toc26656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2388C646">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_Toc30557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十九、项目支出绩效表（项目绩效19）</w:t>
          </w:r>
          <w:r>
            <w:tab/>
          </w:r>
          <w:r>
            <w:fldChar w:fldCharType="begin"/>
          </w:r>
          <w:r>
            <w:instrText xml:space="preserve"> PAGEREF _Toc30557 \h </w:instrText>
          </w:r>
          <w:r>
            <w:fldChar w:fldCharType="separate"/>
          </w:r>
          <w:r>
            <w:t>5</w:t>
          </w:r>
          <w:r>
            <w:fldChar w:fldCharType="end"/>
          </w:r>
          <w:r>
            <w:rPr>
              <w:rFonts w:hint="eastAsia" w:ascii="宋体" w:hAnsi="宋体" w:eastAsia="方正小标宋简体" w:cs="方正小标宋简体"/>
              <w:bCs/>
              <w:szCs w:val="48"/>
              <w:lang w:val="en-US" w:eastAsia="zh-CN"/>
            </w:rPr>
            <w:fldChar w:fldCharType="end"/>
          </w:r>
        </w:p>
        <w:p w14:paraId="4D55723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_Toc28610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二十、部门绩效表（部门绩效20）</w:t>
          </w:r>
          <w:r>
            <w:tab/>
          </w:r>
          <w:r>
            <w:fldChar w:fldCharType="begin"/>
          </w:r>
          <w:r>
            <w:instrText xml:space="preserve"> PAGEREF _Toc28610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38D3DA4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_Toc9777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二十一、年初政府采购项目预算表（政府采购项目预算表21）</w:t>
          </w:r>
          <w:r>
            <w:tab/>
          </w:r>
          <w:r>
            <w:fldChar w:fldCharType="begin"/>
          </w:r>
          <w:r>
            <w:instrText xml:space="preserve"> PAGEREF _Toc9777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742A712C">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_Toc11839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二十二、</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年支出计划总表（三年计划总表22）</w:t>
          </w:r>
          <w:r>
            <w:tab/>
          </w:r>
          <w:r>
            <w:fldChar w:fldCharType="begin"/>
          </w:r>
          <w:r>
            <w:instrText xml:space="preserve"> PAGEREF _Toc11839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10BCFDE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_Toc13687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二十三、</w:t>
          </w:r>
          <w:r>
            <w:rPr>
              <w:rFonts w:hint="eastAsia"/>
              <w:lang w:val="en-US" w:eastAsia="zh-CN"/>
            </w:rPr>
            <w:t>2026</w:t>
          </w:r>
          <w:r>
            <w:rPr>
              <w:rFonts w:hint="eastAsia" w:ascii="宋体" w:hAnsi="宋体"/>
              <w:lang w:val="en-US" w:eastAsia="zh-CN"/>
            </w:rPr>
            <w:t>-202</w:t>
          </w:r>
          <w:r>
            <w:rPr>
              <w:rFonts w:hint="eastAsia"/>
              <w:lang w:val="en-US" w:eastAsia="zh-CN"/>
            </w:rPr>
            <w:t>8</w:t>
          </w:r>
          <w:r>
            <w:rPr>
              <w:rFonts w:hint="eastAsia" w:ascii="宋体" w:hAnsi="宋体"/>
              <w:lang w:val="en-US" w:eastAsia="zh-CN"/>
            </w:rPr>
            <w:t>年支出计划明细表（三年计划明细表23）</w:t>
          </w:r>
          <w:r>
            <w:tab/>
          </w:r>
          <w:r>
            <w:fldChar w:fldCharType="begin"/>
          </w:r>
          <w:r>
            <w:instrText xml:space="preserve"> PAGEREF _Toc13687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57A4CCF5">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_Toc7509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二十四、人员和车辆基本情况表（人员24）</w:t>
          </w:r>
          <w:r>
            <w:tab/>
          </w:r>
          <w:r>
            <w:fldChar w:fldCharType="begin"/>
          </w:r>
          <w:r>
            <w:instrText xml:space="preserve"> PAGEREF _Toc7509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363420E0">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_Toc6681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_Toc6681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14:paraId="4F0B05C4">
          <w:pPr>
            <w:pStyle w:val="2"/>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_Toc16359 </w:instrText>
          </w:r>
          <w:r>
            <w:rPr>
              <w:rFonts w:hint="eastAsia" w:ascii="宋体" w:hAnsi="宋体" w:eastAsia="方正小标宋简体" w:cs="方正小标宋简体"/>
              <w:bCs/>
              <w:szCs w:val="48"/>
              <w:lang w:val="en-US" w:eastAsia="zh-CN"/>
            </w:rPr>
            <w:fldChar w:fldCharType="separate"/>
          </w:r>
          <w:r>
            <w:rPr>
              <w:rFonts w:hint="eastAsia" w:ascii="宋体" w:hAnsi="宋体"/>
              <w:szCs w:val="52"/>
              <w:lang w:val="en-US"/>
            </w:rPr>
            <w:t xml:space="preserve">第三部分 </w:t>
          </w:r>
          <w:r>
            <w:rPr>
              <w:rFonts w:hint="eastAsia" w:ascii="宋体" w:hAnsi="宋体" w:eastAsia="方正小标宋简体" w:cs="方正小标宋简体"/>
              <w:bCs/>
              <w:szCs w:val="52"/>
              <w:lang w:val="en-US" w:eastAsia="zh-CN"/>
            </w:rPr>
            <w:t>五通桥区综合行政执法局</w:t>
          </w:r>
          <w:r>
            <w:rPr>
              <w:rFonts w:hint="eastAsia" w:eastAsia="方正小标宋简体" w:cs="方正小标宋简体"/>
              <w:szCs w:val="52"/>
              <w:lang w:val="en-US" w:eastAsia="zh-CN"/>
            </w:rPr>
            <w:t>2026</w:t>
          </w:r>
          <w:r>
            <w:rPr>
              <w:rFonts w:hint="eastAsia" w:ascii="宋体" w:hAnsi="宋体" w:eastAsia="方正小标宋简体" w:cs="方正小标宋简体"/>
              <w:szCs w:val="52"/>
              <w:lang w:val="en-US" w:eastAsia="zh-CN"/>
            </w:rPr>
            <w:t>年部门预算情况说明</w:t>
          </w:r>
          <w:r>
            <w:tab/>
          </w:r>
          <w:r>
            <w:fldChar w:fldCharType="begin"/>
          </w:r>
          <w:r>
            <w:instrText xml:space="preserve"> PAGEREF _Toc16359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14:paraId="3732C47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_Toc3742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_Toc3742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13369062">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_Toc25797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_Toc25797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309EC406">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_Toc21336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_Toc21336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14:paraId="379A2CA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_Toc19639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_Toc19639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726C729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_Toc2245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_Toc2245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09F7A492">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_Toc13770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_Toc13770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14:paraId="16CAAA07">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_Toc15898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_Toc15898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14:paraId="5256EAAF">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_Toc7739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tab/>
          </w:r>
          <w:r>
            <w:fldChar w:fldCharType="begin"/>
          </w:r>
          <w:r>
            <w:instrText xml:space="preserve"> PAGEREF _Toc7739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14:paraId="1091F67D">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_Toc23835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_Toc23835 \h </w:instrText>
          </w:r>
          <w:r>
            <w:fldChar w:fldCharType="separate"/>
          </w:r>
          <w:r>
            <w:t>12</w:t>
          </w:r>
          <w:r>
            <w:fldChar w:fldCharType="end"/>
          </w:r>
          <w:r>
            <w:rPr>
              <w:rFonts w:hint="eastAsia" w:ascii="宋体" w:hAnsi="宋体" w:eastAsia="方正小标宋简体" w:cs="方正小标宋简体"/>
              <w:bCs/>
              <w:szCs w:val="48"/>
              <w:lang w:val="en-US" w:eastAsia="zh-CN"/>
            </w:rPr>
            <w:fldChar w:fldCharType="end"/>
          </w:r>
        </w:p>
        <w:p w14:paraId="7B525D6E">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_Toc25449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_Toc25449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2C71F7DC">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_Toc9633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_Toc9633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221F9A58">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_Toc17853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_Toc17853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14:paraId="4FE685DB">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_Toc16012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_Toc16012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0376F9E8">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_Toc24680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_Toc24680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236491AA">
          <w:pPr>
            <w:pStyle w:val="10"/>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_Toc20200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_Toc20200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40A119AB">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_Toc23646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_Toc23646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14:paraId="7197F58B">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_Toc27019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_Toc27019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6D291157">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_Toc8197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_Toc8197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2261FA11">
          <w:pPr>
            <w:pStyle w:val="7"/>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_Toc9862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_Toc9862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14:paraId="3CBE6C67">
          <w:pPr>
            <w:pStyle w:val="2"/>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_Toc2406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_Toc2406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14:paraId="4991798E">
          <w:pPr>
            <w:pStyle w:val="5"/>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14:paraId="2C160FC0">
      <w:pPr>
        <w:pStyle w:val="5"/>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76A08840">
      <w:pPr>
        <w:pStyle w:val="5"/>
        <w:rPr>
          <w:rFonts w:ascii="宋体" w:hAnsi="宋体"/>
          <w:sz w:val="20"/>
        </w:rPr>
      </w:pPr>
    </w:p>
    <w:p w14:paraId="7F9E6767">
      <w:pPr>
        <w:pStyle w:val="5"/>
        <w:rPr>
          <w:rFonts w:ascii="宋体" w:hAnsi="宋体"/>
          <w:sz w:val="20"/>
        </w:rPr>
      </w:pPr>
    </w:p>
    <w:p w14:paraId="4428A84A">
      <w:pPr>
        <w:pStyle w:val="5"/>
        <w:rPr>
          <w:rFonts w:ascii="宋体" w:hAnsi="宋体"/>
          <w:sz w:val="20"/>
        </w:rPr>
      </w:pPr>
    </w:p>
    <w:p w14:paraId="0CE83F49">
      <w:pPr>
        <w:pStyle w:val="5"/>
        <w:rPr>
          <w:rFonts w:ascii="宋体" w:hAnsi="宋体"/>
          <w:sz w:val="20"/>
        </w:rPr>
      </w:pPr>
    </w:p>
    <w:p w14:paraId="625628D3">
      <w:pPr>
        <w:pStyle w:val="5"/>
        <w:rPr>
          <w:rFonts w:ascii="宋体" w:hAnsi="宋体"/>
          <w:sz w:val="20"/>
        </w:rPr>
      </w:pPr>
    </w:p>
    <w:p w14:paraId="1B6D16E3">
      <w:pPr>
        <w:pStyle w:val="5"/>
        <w:rPr>
          <w:rFonts w:ascii="宋体" w:hAnsi="宋体"/>
          <w:sz w:val="20"/>
        </w:rPr>
      </w:pPr>
    </w:p>
    <w:p w14:paraId="7AFF38C1">
      <w:pPr>
        <w:pStyle w:val="5"/>
        <w:rPr>
          <w:rFonts w:ascii="宋体" w:hAnsi="宋体"/>
          <w:sz w:val="20"/>
        </w:rPr>
      </w:pPr>
    </w:p>
    <w:p w14:paraId="17A72C55">
      <w:pPr>
        <w:pStyle w:val="5"/>
        <w:rPr>
          <w:rFonts w:ascii="宋体" w:hAnsi="宋体"/>
          <w:sz w:val="20"/>
        </w:rPr>
      </w:pPr>
    </w:p>
    <w:p w14:paraId="63FBDE69">
      <w:pPr>
        <w:pStyle w:val="5"/>
        <w:rPr>
          <w:rFonts w:ascii="宋体" w:hAnsi="宋体"/>
          <w:sz w:val="20"/>
        </w:rPr>
      </w:pPr>
    </w:p>
    <w:p w14:paraId="77F3E458">
      <w:pPr>
        <w:pStyle w:val="5"/>
        <w:rPr>
          <w:rFonts w:ascii="宋体" w:hAnsi="宋体"/>
          <w:sz w:val="20"/>
        </w:rPr>
      </w:pPr>
    </w:p>
    <w:p w14:paraId="5553A51C">
      <w:pPr>
        <w:pStyle w:val="5"/>
        <w:rPr>
          <w:rFonts w:ascii="宋体" w:hAnsi="宋体"/>
          <w:sz w:val="20"/>
        </w:rPr>
      </w:pPr>
    </w:p>
    <w:p w14:paraId="3E1B8427">
      <w:pPr>
        <w:pStyle w:val="5"/>
        <w:rPr>
          <w:rFonts w:ascii="宋体" w:hAnsi="宋体"/>
          <w:sz w:val="20"/>
        </w:rPr>
      </w:pPr>
    </w:p>
    <w:p w14:paraId="42E4A59C">
      <w:pPr>
        <w:pStyle w:val="5"/>
        <w:rPr>
          <w:rFonts w:ascii="宋体" w:hAnsi="宋体"/>
          <w:sz w:val="20"/>
        </w:rPr>
      </w:pPr>
    </w:p>
    <w:p w14:paraId="7DC29BDB">
      <w:pPr>
        <w:pStyle w:val="5"/>
        <w:rPr>
          <w:rFonts w:ascii="宋体" w:hAnsi="宋体"/>
          <w:sz w:val="20"/>
        </w:rPr>
      </w:pPr>
    </w:p>
    <w:p w14:paraId="02854067">
      <w:pPr>
        <w:pStyle w:val="5"/>
        <w:rPr>
          <w:rFonts w:ascii="宋体" w:hAnsi="宋体"/>
          <w:sz w:val="20"/>
        </w:rPr>
      </w:pPr>
    </w:p>
    <w:p w14:paraId="56AA21B2">
      <w:pPr>
        <w:pStyle w:val="5"/>
        <w:rPr>
          <w:rFonts w:ascii="宋体" w:hAnsi="宋体"/>
          <w:sz w:val="20"/>
        </w:rPr>
      </w:pPr>
    </w:p>
    <w:p w14:paraId="10C53820">
      <w:pPr>
        <w:pStyle w:val="5"/>
        <w:rPr>
          <w:rFonts w:ascii="宋体" w:hAnsi="宋体"/>
          <w:sz w:val="20"/>
        </w:rPr>
      </w:pPr>
    </w:p>
    <w:p w14:paraId="0E552D9A">
      <w:pPr>
        <w:pStyle w:val="5"/>
        <w:rPr>
          <w:rFonts w:ascii="宋体" w:hAnsi="宋体"/>
          <w:sz w:val="20"/>
        </w:rPr>
      </w:pPr>
    </w:p>
    <w:p w14:paraId="2B19A74B">
      <w:pPr>
        <w:pStyle w:val="5"/>
        <w:rPr>
          <w:rFonts w:ascii="宋体" w:hAnsi="宋体"/>
          <w:sz w:val="20"/>
        </w:rPr>
      </w:pPr>
    </w:p>
    <w:p w14:paraId="107FC301">
      <w:pPr>
        <w:pStyle w:val="5"/>
        <w:rPr>
          <w:rFonts w:ascii="宋体" w:hAnsi="宋体"/>
          <w:sz w:val="20"/>
        </w:rPr>
      </w:pPr>
    </w:p>
    <w:p w14:paraId="2B9BDD53">
      <w:pPr>
        <w:pStyle w:val="5"/>
        <w:spacing w:before="3"/>
        <w:rPr>
          <w:rFonts w:ascii="宋体" w:hAnsi="宋体"/>
          <w:sz w:val="28"/>
        </w:rPr>
      </w:pPr>
    </w:p>
    <w:p w14:paraId="42727412">
      <w:pPr>
        <w:pStyle w:val="5"/>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4189"/>
      <w:r>
        <w:rPr>
          <w:rFonts w:hint="eastAsia" w:ascii="宋体" w:hAnsi="宋体" w:eastAsia="方正小标宋简体" w:cs="方正小标宋简体"/>
          <w:b/>
          <w:bCs/>
          <w:sz w:val="52"/>
          <w:szCs w:val="52"/>
          <w:lang w:val="en-US" w:eastAsia="zh-CN"/>
        </w:rPr>
        <w:t>部门概况</w:t>
      </w:r>
      <w:bookmarkEnd w:id="0"/>
    </w:p>
    <w:p w14:paraId="1A426970">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00C5767B">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1DB170F3">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03288473">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9655"/>
      <w:r>
        <w:rPr>
          <w:rFonts w:hint="eastAsia" w:ascii="宋体" w:hAnsi="宋体" w:eastAsia="黑体"/>
          <w:color w:val="333333"/>
        </w:rPr>
        <w:t>一、基本职能及主要工作</w:t>
      </w:r>
      <w:bookmarkEnd w:id="1"/>
    </w:p>
    <w:p w14:paraId="74A4C34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11418"/>
      <w:r>
        <w:rPr>
          <w:rFonts w:ascii="宋体" w:hAnsi="宋体"/>
        </w:rPr>
        <w:t>（一）部门职能简介</w:t>
      </w:r>
      <w:bookmarkEnd w:id="2"/>
    </w:p>
    <w:p w14:paraId="630B424E">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lang w:val="en-US" w:eastAsia="zh-CN"/>
        </w:rPr>
      </w:pPr>
      <w:r>
        <w:rPr>
          <w:rFonts w:hint="eastAsia" w:ascii="Times New Roman" w:hAnsi="Times New Roman" w:eastAsia="仿宋_GB2312" w:cs="Times New Roman"/>
          <w:b w:val="0"/>
          <w:bCs/>
          <w:color w:val="auto"/>
          <w:sz w:val="32"/>
          <w:szCs w:val="32"/>
          <w:lang w:val="en-US" w:eastAsia="zh-CN"/>
        </w:rPr>
        <w:t>区综合行政执法局负责集中行使除公安、税务、农业农村、应急管理、保密部门、卫生健康和生态环境部分领域以外的本级行政部门的行政处罚权和相应的行政检查权、行政强制权。行使发展和改革、经济和信息化、教育管理、民政管理、司法、财政、人力资源和社会保障、住房和城乡建设、城市管理、交通运输、水务、文化体育和旅游、退役军人事务、审计、市场监督管理、统计、医疗保障、商务和经济合作、残疾人权益保护、民族宗教、网信、档案、自然资源等领域所有的行政处罚权和相应的行政检查权、行政强制权。</w:t>
      </w:r>
    </w:p>
    <w:p w14:paraId="1870CE2F">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16925"/>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4B1FA03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4" w:name="_Toc25791"/>
      <w:r>
        <w:rPr>
          <w:rFonts w:hint="eastAsia" w:ascii="Times New Roman" w:hAnsi="Times New Roman" w:eastAsia="楷体_GB2312" w:cs="Times New Roman"/>
          <w:b w:val="0"/>
          <w:bCs/>
          <w:color w:val="auto"/>
          <w:sz w:val="32"/>
          <w:szCs w:val="32"/>
          <w:lang w:val="en-US" w:eastAsia="zh-CN"/>
        </w:rPr>
        <w:t>1.</w:t>
      </w:r>
      <w:r>
        <w:rPr>
          <w:rFonts w:hint="default" w:ascii="Times New Roman" w:hAnsi="Times New Roman" w:eastAsia="楷体_GB2312" w:cs="Times New Roman"/>
          <w:b w:val="0"/>
          <w:bCs/>
          <w:color w:val="auto"/>
          <w:sz w:val="32"/>
          <w:szCs w:val="32"/>
          <w:lang w:val="en-US" w:eastAsia="zh-CN"/>
        </w:rPr>
        <w:t>进一步提升执法效能。</w:t>
      </w:r>
      <w:r>
        <w:rPr>
          <w:rFonts w:hint="eastAsia" w:ascii="仿宋_GB2312" w:hAnsi="仿宋_GB2312" w:eastAsia="仿宋_GB2312" w:cs="仿宋_GB2312"/>
          <w:b w:val="0"/>
          <w:bCs/>
          <w:color w:val="auto"/>
          <w:sz w:val="32"/>
          <w:szCs w:val="32"/>
          <w:lang w:val="en-US" w:eastAsia="zh-CN"/>
        </w:rPr>
        <w:t>深化跨部门 “综合查一次” 联合执法，建立问题闭环整改机制，减少重复监管。严格规范行政处罚全流程，落实行政裁量权基准制度，压缩自由裁量空间。全面推行行政执法 “三项制度”，兼顾合法权益保护与违法违规打击，筑牢法治化营商环境保障。</w:t>
      </w:r>
    </w:p>
    <w:p w14:paraId="5BB06B9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r>
        <w:rPr>
          <w:rFonts w:hint="eastAsia" w:ascii="Times New Roman" w:hAnsi="Times New Roman" w:eastAsia="楷体_GB2312" w:cs="Times New Roman"/>
          <w:b w:val="0"/>
          <w:bCs/>
          <w:color w:val="auto"/>
          <w:sz w:val="32"/>
          <w:szCs w:val="32"/>
          <w:lang w:val="en-US" w:eastAsia="zh-CN"/>
        </w:rPr>
        <w:t>2.</w:t>
      </w:r>
      <w:r>
        <w:rPr>
          <w:rFonts w:hint="default" w:ascii="Times New Roman" w:hAnsi="Times New Roman" w:eastAsia="楷体_GB2312" w:cs="Times New Roman"/>
          <w:b w:val="0"/>
          <w:bCs/>
          <w:color w:val="auto"/>
          <w:sz w:val="32"/>
          <w:szCs w:val="32"/>
          <w:lang w:val="en-US" w:eastAsia="zh-CN"/>
        </w:rPr>
        <w:t>进一步夯实执法队伍。</w:t>
      </w:r>
      <w:r>
        <w:rPr>
          <w:rFonts w:hint="eastAsia" w:ascii="仿宋_GB2312" w:hAnsi="仿宋_GB2312" w:eastAsia="仿宋_GB2312" w:cs="仿宋_GB2312"/>
          <w:b w:val="0"/>
          <w:bCs/>
          <w:color w:val="auto"/>
          <w:sz w:val="32"/>
          <w:szCs w:val="32"/>
          <w:lang w:val="en-US" w:eastAsia="zh-CN"/>
        </w:rPr>
        <w:t>通过业务骨干结对指导，加速年轻干部成长。以巩固深入贯彻中央八项规定精神学习教育成果、“</w:t>
      </w:r>
      <w:r>
        <w:rPr>
          <w:rFonts w:hint="eastAsia" w:ascii="仿宋_GB2312" w:hAnsi="仿宋_GB2312" w:eastAsia="仿宋_GB2312" w:cs="仿宋_GB2312"/>
          <w:b w:val="0"/>
          <w:bCs/>
          <w:color w:val="auto"/>
          <w:kern w:val="2"/>
          <w:sz w:val="32"/>
          <w:szCs w:val="32"/>
          <w:lang w:val="en-US" w:eastAsia="zh-CN" w:bidi="ar-SA"/>
        </w:rPr>
        <w:t>谋实事、务实干，创实绩</w:t>
      </w:r>
      <w:r>
        <w:rPr>
          <w:rFonts w:hint="eastAsia" w:ascii="仿宋_GB2312" w:hAnsi="仿宋_GB2312" w:eastAsia="仿宋_GB2312" w:cs="仿宋_GB2312"/>
          <w:b w:val="0"/>
          <w:bCs/>
          <w:color w:val="auto"/>
          <w:sz w:val="32"/>
          <w:szCs w:val="32"/>
          <w:lang w:val="en-US" w:eastAsia="zh-CN"/>
        </w:rPr>
        <w:t>” 为抓手，开展岗位轮训与专题培训，确保在编执法人员 100% 参训，打造政治过硬、业务精通的执法队伍。</w:t>
      </w:r>
    </w:p>
    <w:p w14:paraId="0585E30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楷体_GB2312" w:cs="Times New Roman"/>
          <w:b w:val="0"/>
          <w:bCs/>
          <w:color w:val="auto"/>
          <w:sz w:val="32"/>
          <w:szCs w:val="32"/>
          <w:lang w:val="en-US" w:eastAsia="zh-CN"/>
        </w:rPr>
        <w:t>3.</w:t>
      </w:r>
      <w:r>
        <w:rPr>
          <w:rFonts w:hint="default" w:ascii="Times New Roman" w:hAnsi="Times New Roman" w:eastAsia="楷体_GB2312" w:cs="Times New Roman"/>
          <w:b w:val="0"/>
          <w:bCs/>
          <w:color w:val="auto"/>
          <w:sz w:val="32"/>
          <w:szCs w:val="32"/>
          <w:lang w:val="en-US" w:eastAsia="zh-CN"/>
        </w:rPr>
        <w:t>进一步推动共治共享。</w:t>
      </w:r>
      <w:r>
        <w:rPr>
          <w:rFonts w:hint="eastAsia" w:ascii="仿宋_GB2312" w:hAnsi="仿宋_GB2312" w:eastAsia="仿宋_GB2312" w:cs="仿宋_GB2312"/>
          <w:b w:val="0"/>
          <w:bCs/>
          <w:color w:val="auto"/>
          <w:sz w:val="32"/>
          <w:szCs w:val="32"/>
          <w:lang w:val="en-US" w:eastAsia="zh-CN"/>
        </w:rPr>
        <w:t>参与农贸市场、便民摊区等民生项目建设改造，做好 “桥鲜荟” 智慧市场秩序保障。结合文明创建、城管进社区等活动开展法治宣传，落实 “执法即普法”，通过政务平台曝光典型案例强化警示。推行 “严格 + 柔性” 执法模式，规范便民摊区管理标准，开展农贸市场周边秩序集中整治，实现市容秩序与民生需求平衡</w:t>
      </w:r>
      <w:r>
        <w:rPr>
          <w:rFonts w:hint="default" w:ascii="Times New Roman" w:hAnsi="Times New Roman" w:eastAsia="仿宋_GB2312" w:cs="Times New Roman"/>
          <w:b w:val="0"/>
          <w:bCs/>
          <w:color w:val="auto"/>
          <w:sz w:val="32"/>
          <w:szCs w:val="32"/>
          <w:lang w:val="en-US" w:eastAsia="zh-CN"/>
        </w:rPr>
        <w:t>。</w:t>
      </w:r>
    </w:p>
    <w:p w14:paraId="2728F5C6">
      <w:pPr>
        <w:pStyle w:val="5"/>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p w14:paraId="3FF75CC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right="660" w:rightChars="300" w:firstLine="640" w:firstLineChars="200"/>
        <w:jc w:val="both"/>
        <w:textAlignment w:val="auto"/>
        <w:rPr>
          <w:rFonts w:hint="eastAsia" w:ascii="宋体" w:hAnsi="宋体"/>
          <w:sz w:val="32"/>
          <w:lang w:val="en-US" w:eastAsia="zh-CN"/>
        </w:rPr>
      </w:pPr>
      <w:r>
        <w:rPr>
          <w:rFonts w:hint="eastAsia" w:ascii="仿宋_GB2312" w:hAnsi="仿宋_GB2312" w:eastAsia="仿宋_GB2312" w:cs="仿宋_GB2312"/>
          <w:sz w:val="32"/>
          <w:highlight w:val="none"/>
          <w:lang w:val="en-US" w:eastAsia="zh-CN"/>
        </w:rPr>
        <w:t>部门下属预算单位2个（含局机关），其中行政单位1个，参照公务员法管理的事业单位1个，其他事业单位0个。</w:t>
      </w:r>
      <w:r>
        <w:rPr>
          <w:rFonts w:hint="eastAsia" w:ascii="仿宋_GB2312" w:hAnsi="仿宋_GB2312" w:eastAsia="仿宋_GB2312" w:cs="仿宋_GB2312"/>
          <w:sz w:val="32"/>
          <w:lang w:val="en-US" w:eastAsia="zh-CN"/>
        </w:rPr>
        <w:t>主要包括</w:t>
      </w:r>
      <w:r>
        <w:rPr>
          <w:rFonts w:hint="eastAsia" w:ascii="宋体" w:hAnsi="宋体"/>
          <w:sz w:val="32"/>
          <w:lang w:val="en-US" w:eastAsia="zh-CN"/>
        </w:rPr>
        <w:t>：</w:t>
      </w:r>
    </w:p>
    <w:tbl>
      <w:tblPr>
        <w:tblStyle w:val="12"/>
        <w:tblW w:w="82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7BDD43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jc w:val="center"/>
        </w:trPr>
        <w:tc>
          <w:tcPr>
            <w:tcW w:w="2007" w:type="dxa"/>
          </w:tcPr>
          <w:p w14:paraId="6BEDCC69">
            <w:pPr>
              <w:pStyle w:val="16"/>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34F4983F">
            <w:pPr>
              <w:pStyle w:val="16"/>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72F4E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jc w:val="center"/>
        </w:trPr>
        <w:tc>
          <w:tcPr>
            <w:tcW w:w="2007" w:type="dxa"/>
          </w:tcPr>
          <w:p w14:paraId="70DC6AC8">
            <w:pPr>
              <w:pStyle w:val="16"/>
              <w:spacing w:before="181"/>
              <w:ind w:left="748"/>
              <w:rPr>
                <w:rFonts w:ascii="宋体" w:hAnsi="宋体"/>
                <w:sz w:val="32"/>
              </w:rPr>
            </w:pPr>
            <w:r>
              <w:rPr>
                <w:rFonts w:ascii="宋体" w:hAnsi="宋体"/>
                <w:color w:val="333333"/>
                <w:w w:val="99"/>
                <w:sz w:val="32"/>
              </w:rPr>
              <w:t>1</w:t>
            </w:r>
          </w:p>
        </w:tc>
        <w:tc>
          <w:tcPr>
            <w:tcW w:w="6282" w:type="dxa"/>
            <w:vAlign w:val="top"/>
          </w:tcPr>
          <w:p w14:paraId="7BD9BF7B">
            <w:pPr>
              <w:pStyle w:val="16"/>
              <w:spacing w:before="160"/>
              <w:ind w:left="746" w:leftChars="0" w:right="0" w:rightChars="0"/>
              <w:rPr>
                <w:rFonts w:hint="eastAsia" w:ascii="宋体" w:hAnsi="宋体" w:eastAsia="仿宋_GB2312" w:cs="宋体"/>
                <w:sz w:val="32"/>
                <w:szCs w:val="22"/>
                <w:lang w:val="en-US" w:eastAsia="zh-CN" w:bidi="zh-CN"/>
              </w:rPr>
            </w:pPr>
            <w:r>
              <w:rPr>
                <w:rFonts w:hint="eastAsia" w:eastAsia="仿宋_GB2312"/>
                <w:sz w:val="32"/>
                <w:lang w:val="en-US" w:eastAsia="zh-CN"/>
              </w:rPr>
              <w:t>385001-五通桥区综合行政执法局机关</w:t>
            </w:r>
          </w:p>
        </w:tc>
      </w:tr>
      <w:tr w14:paraId="2EC2C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jc w:val="center"/>
        </w:trPr>
        <w:tc>
          <w:tcPr>
            <w:tcW w:w="2007" w:type="dxa"/>
          </w:tcPr>
          <w:p w14:paraId="6BDD4470">
            <w:pPr>
              <w:pStyle w:val="16"/>
              <w:spacing w:before="183"/>
              <w:ind w:left="748"/>
              <w:rPr>
                <w:rFonts w:ascii="宋体" w:hAnsi="宋体"/>
                <w:sz w:val="32"/>
              </w:rPr>
            </w:pPr>
            <w:r>
              <w:rPr>
                <w:rFonts w:ascii="宋体" w:hAnsi="宋体"/>
                <w:color w:val="333333"/>
                <w:w w:val="99"/>
                <w:sz w:val="32"/>
              </w:rPr>
              <w:t>2</w:t>
            </w:r>
          </w:p>
        </w:tc>
        <w:tc>
          <w:tcPr>
            <w:tcW w:w="6282" w:type="dxa"/>
            <w:vAlign w:val="top"/>
          </w:tcPr>
          <w:p w14:paraId="2A11F6EA">
            <w:pPr>
              <w:pStyle w:val="16"/>
              <w:spacing w:before="162"/>
              <w:ind w:left="746" w:leftChars="0" w:right="0" w:rightChars="0"/>
              <w:rPr>
                <w:rFonts w:hint="eastAsia" w:ascii="宋体" w:hAnsi="宋体" w:eastAsia="仿宋_GB2312" w:cs="宋体"/>
                <w:sz w:val="32"/>
                <w:szCs w:val="22"/>
                <w:lang w:val="en-US" w:eastAsia="zh-CN" w:bidi="zh-CN"/>
              </w:rPr>
            </w:pPr>
            <w:r>
              <w:rPr>
                <w:rFonts w:hint="eastAsia" w:eastAsia="仿宋_GB2312"/>
                <w:sz w:val="32"/>
                <w:lang w:val="en-US" w:eastAsia="zh-CN"/>
              </w:rPr>
              <w:t>385302-五通桥区城市管理监察大队</w:t>
            </w:r>
          </w:p>
        </w:tc>
      </w:tr>
    </w:tbl>
    <w:p w14:paraId="506F8627">
      <w:pPr>
        <w:rPr>
          <w:rFonts w:ascii="宋体" w:hAnsi="宋体"/>
          <w:sz w:val="20"/>
        </w:rPr>
      </w:pPr>
      <w:r>
        <w:rPr>
          <w:rFonts w:ascii="宋体" w:hAnsi="宋体"/>
          <w:sz w:val="20"/>
        </w:rPr>
        <w:br w:type="page"/>
      </w:r>
    </w:p>
    <w:p w14:paraId="47F3D3F3">
      <w:pPr>
        <w:pStyle w:val="5"/>
        <w:rPr>
          <w:rFonts w:ascii="宋体" w:hAnsi="宋体"/>
          <w:sz w:val="20"/>
        </w:rPr>
      </w:pPr>
    </w:p>
    <w:p w14:paraId="1F5B04D8">
      <w:pPr>
        <w:pStyle w:val="5"/>
        <w:rPr>
          <w:rFonts w:ascii="宋体" w:hAnsi="宋体"/>
          <w:sz w:val="20"/>
        </w:rPr>
      </w:pPr>
    </w:p>
    <w:p w14:paraId="24CF219D">
      <w:pPr>
        <w:pStyle w:val="5"/>
        <w:rPr>
          <w:rFonts w:ascii="宋体" w:hAnsi="宋体"/>
          <w:sz w:val="20"/>
        </w:rPr>
      </w:pPr>
    </w:p>
    <w:p w14:paraId="0A69E60B">
      <w:pPr>
        <w:pStyle w:val="5"/>
        <w:rPr>
          <w:rFonts w:ascii="宋体" w:hAnsi="宋体"/>
          <w:sz w:val="20"/>
        </w:rPr>
      </w:pPr>
    </w:p>
    <w:p w14:paraId="19EF7017">
      <w:pPr>
        <w:pStyle w:val="5"/>
        <w:rPr>
          <w:rFonts w:ascii="宋体" w:hAnsi="宋体"/>
          <w:sz w:val="20"/>
        </w:rPr>
      </w:pPr>
    </w:p>
    <w:p w14:paraId="4B4D154D">
      <w:pPr>
        <w:pStyle w:val="5"/>
        <w:rPr>
          <w:rFonts w:ascii="宋体" w:hAnsi="宋体"/>
          <w:sz w:val="20"/>
        </w:rPr>
      </w:pPr>
    </w:p>
    <w:p w14:paraId="5544B4E7">
      <w:pPr>
        <w:pStyle w:val="5"/>
        <w:rPr>
          <w:rFonts w:ascii="宋体" w:hAnsi="宋体"/>
          <w:sz w:val="20"/>
        </w:rPr>
      </w:pPr>
    </w:p>
    <w:p w14:paraId="2EF186A1">
      <w:pPr>
        <w:pStyle w:val="5"/>
        <w:rPr>
          <w:rFonts w:ascii="宋体" w:hAnsi="宋体"/>
          <w:sz w:val="20"/>
        </w:rPr>
      </w:pPr>
    </w:p>
    <w:p w14:paraId="1562524C">
      <w:pPr>
        <w:pStyle w:val="5"/>
        <w:rPr>
          <w:rFonts w:ascii="宋体" w:hAnsi="宋体"/>
          <w:sz w:val="20"/>
        </w:rPr>
      </w:pPr>
    </w:p>
    <w:p w14:paraId="0277AC64">
      <w:pPr>
        <w:pStyle w:val="5"/>
        <w:rPr>
          <w:rFonts w:ascii="宋体" w:hAnsi="宋体"/>
          <w:sz w:val="20"/>
        </w:rPr>
      </w:pPr>
    </w:p>
    <w:p w14:paraId="3F87C81A">
      <w:pPr>
        <w:pStyle w:val="5"/>
        <w:rPr>
          <w:rFonts w:ascii="宋体" w:hAnsi="宋体"/>
          <w:sz w:val="20"/>
        </w:rPr>
      </w:pPr>
    </w:p>
    <w:p w14:paraId="61E9EE3A">
      <w:pPr>
        <w:pStyle w:val="5"/>
        <w:rPr>
          <w:rFonts w:ascii="宋体" w:hAnsi="宋体"/>
          <w:sz w:val="20"/>
        </w:rPr>
      </w:pPr>
    </w:p>
    <w:p w14:paraId="6FF4A5E3">
      <w:pPr>
        <w:pStyle w:val="5"/>
        <w:rPr>
          <w:rFonts w:ascii="宋体" w:hAnsi="宋体"/>
          <w:sz w:val="20"/>
        </w:rPr>
      </w:pPr>
    </w:p>
    <w:p w14:paraId="0E924AC6">
      <w:pPr>
        <w:pStyle w:val="5"/>
        <w:rPr>
          <w:rFonts w:ascii="宋体" w:hAnsi="宋体"/>
          <w:sz w:val="20"/>
        </w:rPr>
      </w:pPr>
    </w:p>
    <w:p w14:paraId="1A365E80">
      <w:pPr>
        <w:pStyle w:val="5"/>
        <w:rPr>
          <w:rFonts w:ascii="宋体" w:hAnsi="宋体"/>
          <w:sz w:val="20"/>
        </w:rPr>
      </w:pPr>
    </w:p>
    <w:p w14:paraId="57EBB536">
      <w:pPr>
        <w:pStyle w:val="5"/>
        <w:rPr>
          <w:rFonts w:ascii="宋体" w:hAnsi="宋体"/>
          <w:sz w:val="20"/>
        </w:rPr>
      </w:pPr>
    </w:p>
    <w:p w14:paraId="45C361AA">
      <w:pPr>
        <w:pStyle w:val="5"/>
        <w:rPr>
          <w:rFonts w:ascii="宋体" w:hAnsi="宋体"/>
          <w:sz w:val="20"/>
        </w:rPr>
      </w:pPr>
    </w:p>
    <w:p w14:paraId="1D9561A0">
      <w:pPr>
        <w:pStyle w:val="5"/>
        <w:rPr>
          <w:rFonts w:ascii="宋体" w:hAnsi="宋体"/>
          <w:sz w:val="20"/>
        </w:rPr>
      </w:pPr>
    </w:p>
    <w:p w14:paraId="0CDD0642">
      <w:pPr>
        <w:pStyle w:val="5"/>
        <w:rPr>
          <w:rFonts w:ascii="宋体" w:hAnsi="宋体"/>
          <w:sz w:val="20"/>
        </w:rPr>
      </w:pPr>
    </w:p>
    <w:p w14:paraId="296EC2D9">
      <w:pPr>
        <w:pStyle w:val="5"/>
        <w:rPr>
          <w:rFonts w:ascii="宋体" w:hAnsi="宋体"/>
          <w:sz w:val="20"/>
        </w:rPr>
      </w:pPr>
    </w:p>
    <w:p w14:paraId="2AE6BFC0">
      <w:pPr>
        <w:pStyle w:val="5"/>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3687"/>
      <w:bookmarkStart w:id="6" w:name="_Toc28233"/>
      <w:r>
        <w:rPr>
          <w:rFonts w:hint="eastAsia" w:ascii="宋体" w:hAnsi="宋体" w:eastAsia="方正小标宋简体" w:cs="方正小标宋简体"/>
          <w:b/>
          <w:bCs/>
          <w:sz w:val="52"/>
          <w:szCs w:val="52"/>
          <w:lang w:val="en-US" w:eastAsia="zh-CN"/>
        </w:rPr>
        <w:t>五通桥区综合行政执法局</w:t>
      </w:r>
      <w:bookmarkEnd w:id="5"/>
      <w:r>
        <w:rPr>
          <w:rFonts w:hint="eastAsia" w:ascii="宋体" w:hAnsi="宋体" w:eastAsia="方正小标宋简体" w:cs="方正小标宋简体"/>
          <w:b/>
          <w:bCs/>
          <w:sz w:val="52"/>
          <w:szCs w:val="52"/>
          <w:lang w:val="en-US" w:eastAsia="zh-CN"/>
        </w:rPr>
        <w:t xml:space="preserve"> 2026年部门预算表</w:t>
      </w:r>
      <w:bookmarkEnd w:id="6"/>
    </w:p>
    <w:p w14:paraId="69A10377">
      <w:pPr>
        <w:rPr>
          <w:rFonts w:hint="eastAsia" w:ascii="宋体" w:hAnsi="宋体"/>
          <w:sz w:val="32"/>
          <w:lang w:val="en-US" w:eastAsia="zh-CN"/>
        </w:rPr>
      </w:pPr>
      <w:r>
        <w:rPr>
          <w:rFonts w:ascii="宋体" w:hAnsi="宋体"/>
          <w:color w:val="333333"/>
        </w:rPr>
        <w:br w:type="page"/>
      </w:r>
    </w:p>
    <w:p w14:paraId="7A86B70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7" w:name="_Toc27782"/>
      <w:r>
        <w:rPr>
          <w:rFonts w:hint="eastAsia" w:ascii="宋体" w:hAnsi="宋体"/>
          <w:sz w:val="32"/>
          <w:lang w:val="en-US" w:eastAsia="zh-CN"/>
        </w:rPr>
        <w:t>一</w:t>
      </w:r>
      <w:r>
        <w:rPr>
          <w:rFonts w:hint="eastAsia" w:ascii="仿宋_GB2312" w:hAnsi="仿宋_GB2312" w:eastAsia="仿宋_GB2312" w:cs="仿宋_GB2312"/>
          <w:b w:val="0"/>
          <w:bCs/>
          <w:color w:val="auto"/>
          <w:sz w:val="32"/>
          <w:szCs w:val="32"/>
          <w:lang w:val="en-US" w:eastAsia="zh-CN"/>
        </w:rPr>
        <w:t>、收支预算总表（收支总表1）</w:t>
      </w:r>
      <w:bookmarkEnd w:id="7"/>
    </w:p>
    <w:p w14:paraId="731631D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8" w:name="_Toc5043"/>
      <w:r>
        <w:rPr>
          <w:rFonts w:hint="eastAsia" w:ascii="仿宋_GB2312" w:hAnsi="仿宋_GB2312" w:eastAsia="仿宋_GB2312" w:cs="仿宋_GB2312"/>
          <w:b w:val="0"/>
          <w:bCs/>
          <w:color w:val="auto"/>
          <w:sz w:val="32"/>
          <w:szCs w:val="32"/>
          <w:lang w:val="en-US" w:eastAsia="zh-CN"/>
        </w:rPr>
        <w:t>二、收入预算总表（收入总表2）</w:t>
      </w:r>
      <w:bookmarkEnd w:id="8"/>
    </w:p>
    <w:p w14:paraId="287969C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9" w:name="_Toc8500"/>
      <w:r>
        <w:rPr>
          <w:rFonts w:hint="eastAsia" w:ascii="仿宋_GB2312" w:hAnsi="仿宋_GB2312" w:eastAsia="仿宋_GB2312" w:cs="仿宋_GB2312"/>
          <w:b w:val="0"/>
          <w:bCs/>
          <w:color w:val="auto"/>
          <w:sz w:val="32"/>
          <w:szCs w:val="32"/>
          <w:lang w:val="en-US" w:eastAsia="zh-CN"/>
        </w:rPr>
        <w:t>三、征收预期表（征收预期3）</w:t>
      </w:r>
      <w:bookmarkEnd w:id="9"/>
    </w:p>
    <w:p w14:paraId="1C3162B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0" w:name="_Toc30087"/>
      <w:r>
        <w:rPr>
          <w:rFonts w:hint="eastAsia" w:ascii="仿宋_GB2312" w:hAnsi="仿宋_GB2312" w:eastAsia="仿宋_GB2312" w:cs="仿宋_GB2312"/>
          <w:b w:val="0"/>
          <w:bCs/>
          <w:color w:val="auto"/>
          <w:sz w:val="32"/>
          <w:szCs w:val="32"/>
          <w:lang w:val="en-US" w:eastAsia="zh-CN"/>
        </w:rPr>
        <w:t>四、支出预算总表（支出总表4）</w:t>
      </w:r>
      <w:bookmarkEnd w:id="10"/>
    </w:p>
    <w:p w14:paraId="456EB4B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1" w:name="_Toc12347"/>
      <w:r>
        <w:rPr>
          <w:rFonts w:hint="eastAsia" w:ascii="仿宋_GB2312" w:hAnsi="仿宋_GB2312" w:eastAsia="仿宋_GB2312" w:cs="仿宋_GB2312"/>
          <w:b w:val="0"/>
          <w:bCs/>
          <w:color w:val="auto"/>
          <w:sz w:val="32"/>
          <w:szCs w:val="32"/>
          <w:lang w:val="en-US" w:eastAsia="zh-CN"/>
        </w:rPr>
        <w:t>五、财政拨款预算总表（财拨总表5）</w:t>
      </w:r>
      <w:bookmarkEnd w:id="11"/>
    </w:p>
    <w:p w14:paraId="1D67AE9C">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2" w:name="_Toc3715"/>
      <w:r>
        <w:rPr>
          <w:rFonts w:hint="eastAsia" w:ascii="仿宋_GB2312" w:hAnsi="仿宋_GB2312" w:eastAsia="仿宋_GB2312" w:cs="仿宋_GB2312"/>
          <w:b w:val="0"/>
          <w:bCs/>
          <w:color w:val="auto"/>
          <w:sz w:val="32"/>
          <w:szCs w:val="32"/>
          <w:lang w:val="en-US" w:eastAsia="zh-CN"/>
        </w:rPr>
        <w:t>六、一般公共预算支出表（一般预算支出6）</w:t>
      </w:r>
      <w:bookmarkEnd w:id="12"/>
    </w:p>
    <w:p w14:paraId="2A60A6C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3" w:name="_Toc26671"/>
      <w:r>
        <w:rPr>
          <w:rFonts w:hint="eastAsia" w:ascii="仿宋_GB2312" w:hAnsi="仿宋_GB2312" w:eastAsia="仿宋_GB2312" w:cs="仿宋_GB2312"/>
          <w:b w:val="0"/>
          <w:bCs/>
          <w:color w:val="auto"/>
          <w:sz w:val="32"/>
          <w:szCs w:val="32"/>
          <w:lang w:val="en-US" w:eastAsia="zh-CN"/>
        </w:rPr>
        <w:t>七、一般公共预算基本支出表（基本支出7）</w:t>
      </w:r>
      <w:bookmarkEnd w:id="13"/>
      <w:r>
        <w:rPr>
          <w:rFonts w:hint="eastAsia" w:ascii="仿宋_GB2312" w:hAnsi="仿宋_GB2312" w:eastAsia="仿宋_GB2312" w:cs="仿宋_GB2312"/>
          <w:b w:val="0"/>
          <w:bCs/>
          <w:color w:val="auto"/>
          <w:sz w:val="32"/>
          <w:szCs w:val="32"/>
          <w:lang w:val="en-US" w:eastAsia="zh-CN"/>
        </w:rPr>
        <w:t xml:space="preserve"> </w:t>
      </w:r>
    </w:p>
    <w:p w14:paraId="7FCFF89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4" w:name="_Toc24209"/>
      <w:r>
        <w:rPr>
          <w:rFonts w:hint="eastAsia" w:ascii="仿宋_GB2312" w:hAnsi="仿宋_GB2312" w:eastAsia="仿宋_GB2312" w:cs="仿宋_GB2312"/>
          <w:b w:val="0"/>
          <w:bCs/>
          <w:color w:val="auto"/>
          <w:sz w:val="32"/>
          <w:szCs w:val="32"/>
          <w:lang w:val="en-US" w:eastAsia="zh-CN"/>
        </w:rPr>
        <w:t>八、一般公共预算“三公”经费支出预算表（三公8）</w:t>
      </w:r>
      <w:bookmarkEnd w:id="14"/>
    </w:p>
    <w:p w14:paraId="6D1205F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5" w:name="_Toc3689"/>
      <w:r>
        <w:rPr>
          <w:rFonts w:hint="eastAsia" w:ascii="仿宋_GB2312" w:hAnsi="仿宋_GB2312" w:eastAsia="仿宋_GB2312" w:cs="仿宋_GB2312"/>
          <w:b w:val="0"/>
          <w:bCs/>
          <w:color w:val="auto"/>
          <w:sz w:val="32"/>
          <w:szCs w:val="32"/>
          <w:lang w:val="en-US" w:eastAsia="zh-CN"/>
        </w:rPr>
        <w:t>九、政府性基金预算支出表（基金9）</w:t>
      </w:r>
      <w:bookmarkEnd w:id="15"/>
      <w:r>
        <w:rPr>
          <w:rFonts w:hint="eastAsia" w:ascii="仿宋_GB2312" w:hAnsi="仿宋_GB2312" w:eastAsia="仿宋_GB2312" w:cs="仿宋_GB2312"/>
          <w:b w:val="0"/>
          <w:bCs/>
          <w:color w:val="auto"/>
          <w:sz w:val="32"/>
          <w:szCs w:val="32"/>
          <w:lang w:val="en-US" w:eastAsia="zh-CN"/>
        </w:rPr>
        <w:t xml:space="preserve"> </w:t>
      </w:r>
    </w:p>
    <w:p w14:paraId="1E9CE73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6" w:name="_Toc11860"/>
      <w:r>
        <w:rPr>
          <w:rFonts w:hint="eastAsia" w:ascii="仿宋_GB2312" w:hAnsi="仿宋_GB2312" w:eastAsia="仿宋_GB2312" w:cs="仿宋_GB2312"/>
          <w:b w:val="0"/>
          <w:bCs/>
          <w:color w:val="auto"/>
          <w:sz w:val="32"/>
          <w:szCs w:val="32"/>
          <w:lang w:val="en-US" w:eastAsia="zh-CN"/>
        </w:rPr>
        <w:t>十、国有资本经营预算支出表（国资10）</w:t>
      </w:r>
      <w:bookmarkEnd w:id="16"/>
    </w:p>
    <w:p w14:paraId="71B4071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7" w:name="_Toc18156"/>
      <w:r>
        <w:rPr>
          <w:rFonts w:hint="eastAsia" w:ascii="仿宋_GB2312" w:hAnsi="仿宋_GB2312" w:eastAsia="仿宋_GB2312" w:cs="仿宋_GB2312"/>
          <w:b w:val="0"/>
          <w:bCs/>
          <w:color w:val="auto"/>
          <w:sz w:val="32"/>
          <w:szCs w:val="32"/>
          <w:lang w:val="en-US" w:eastAsia="zh-CN"/>
        </w:rPr>
        <w:t>十一、支出功能分类预算表（支出功能11）</w:t>
      </w:r>
      <w:bookmarkEnd w:id="17"/>
    </w:p>
    <w:p w14:paraId="6925E1C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8" w:name="_Toc16390"/>
      <w:r>
        <w:rPr>
          <w:rFonts w:hint="eastAsia" w:ascii="仿宋_GB2312" w:hAnsi="仿宋_GB2312" w:eastAsia="仿宋_GB2312" w:cs="仿宋_GB2312"/>
          <w:b w:val="0"/>
          <w:bCs/>
          <w:color w:val="auto"/>
          <w:sz w:val="32"/>
          <w:szCs w:val="32"/>
          <w:lang w:val="en-US" w:eastAsia="zh-CN"/>
        </w:rPr>
        <w:t>十二、支出经济分类预算表（支出经济分类12）</w:t>
      </w:r>
      <w:bookmarkEnd w:id="18"/>
    </w:p>
    <w:p w14:paraId="781B78A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19" w:name="_Toc18501"/>
      <w:r>
        <w:rPr>
          <w:rFonts w:hint="eastAsia" w:ascii="仿宋_GB2312" w:hAnsi="仿宋_GB2312" w:eastAsia="仿宋_GB2312" w:cs="仿宋_GB2312"/>
          <w:b w:val="0"/>
          <w:bCs/>
          <w:color w:val="auto"/>
          <w:sz w:val="32"/>
          <w:szCs w:val="32"/>
          <w:lang w:val="en-US" w:eastAsia="zh-CN"/>
        </w:rPr>
        <w:t>十三、上级资金安排情况表（上级资金安排13）</w:t>
      </w:r>
      <w:bookmarkEnd w:id="19"/>
      <w:r>
        <w:rPr>
          <w:rFonts w:hint="eastAsia" w:ascii="仿宋_GB2312" w:hAnsi="仿宋_GB2312" w:eastAsia="仿宋_GB2312" w:cs="仿宋_GB2312"/>
          <w:b w:val="0"/>
          <w:bCs/>
          <w:color w:val="auto"/>
          <w:sz w:val="32"/>
          <w:szCs w:val="32"/>
          <w:lang w:val="en-US" w:eastAsia="zh-CN"/>
        </w:rPr>
        <w:t xml:space="preserve"> </w:t>
      </w:r>
    </w:p>
    <w:p w14:paraId="5BA909E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0" w:name="_Toc24661"/>
      <w:r>
        <w:rPr>
          <w:rFonts w:hint="eastAsia" w:ascii="仿宋_GB2312" w:hAnsi="仿宋_GB2312" w:eastAsia="仿宋_GB2312" w:cs="仿宋_GB2312"/>
          <w:b w:val="0"/>
          <w:bCs/>
          <w:color w:val="auto"/>
          <w:sz w:val="32"/>
          <w:szCs w:val="32"/>
          <w:lang w:val="en-US" w:eastAsia="zh-CN"/>
        </w:rPr>
        <w:t>十四、项目支出表（项目支出14）</w:t>
      </w:r>
      <w:bookmarkEnd w:id="20"/>
    </w:p>
    <w:p w14:paraId="76923BC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1" w:name="_Toc9073"/>
      <w:r>
        <w:rPr>
          <w:rFonts w:hint="eastAsia" w:ascii="仿宋_GB2312" w:hAnsi="仿宋_GB2312" w:eastAsia="仿宋_GB2312" w:cs="仿宋_GB2312"/>
          <w:b w:val="0"/>
          <w:bCs/>
          <w:color w:val="auto"/>
          <w:sz w:val="32"/>
          <w:szCs w:val="32"/>
          <w:lang w:val="en-US" w:eastAsia="zh-CN"/>
        </w:rPr>
        <w:t>十六、政府购买服务预算表（购买服务16）</w:t>
      </w:r>
      <w:bookmarkEnd w:id="21"/>
    </w:p>
    <w:p w14:paraId="2FCD327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2" w:name="_Toc7972"/>
      <w:bookmarkStart w:id="23" w:name="_Toc16458"/>
      <w:r>
        <w:rPr>
          <w:rFonts w:hint="eastAsia" w:ascii="仿宋_GB2312" w:hAnsi="仿宋_GB2312" w:eastAsia="仿宋_GB2312" w:cs="仿宋_GB2312"/>
          <w:b w:val="0"/>
          <w:bCs/>
          <w:color w:val="auto"/>
          <w:sz w:val="32"/>
          <w:szCs w:val="32"/>
          <w:lang w:val="en-US" w:eastAsia="zh-CN"/>
        </w:rPr>
        <w:t>十七、采购需求表（采购需求表17）</w:t>
      </w:r>
      <w:bookmarkEnd w:id="22"/>
    </w:p>
    <w:p w14:paraId="138F31EA">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4" w:name="_Toc26656"/>
      <w:r>
        <w:rPr>
          <w:rFonts w:hint="eastAsia" w:ascii="仿宋_GB2312" w:hAnsi="仿宋_GB2312" w:eastAsia="仿宋_GB2312" w:cs="仿宋_GB2312"/>
          <w:b w:val="0"/>
          <w:bCs/>
          <w:color w:val="auto"/>
          <w:sz w:val="32"/>
          <w:szCs w:val="32"/>
          <w:lang w:val="en-US" w:eastAsia="zh-CN"/>
        </w:rPr>
        <w:t>十八、国有资产配置预算表（资产18）</w:t>
      </w:r>
      <w:bookmarkEnd w:id="24"/>
    </w:p>
    <w:p w14:paraId="6FC3CDC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5" w:name="_Toc30557"/>
      <w:r>
        <w:rPr>
          <w:rFonts w:hint="eastAsia" w:ascii="仿宋_GB2312" w:hAnsi="仿宋_GB2312" w:eastAsia="仿宋_GB2312" w:cs="仿宋_GB2312"/>
          <w:b w:val="0"/>
          <w:bCs/>
          <w:color w:val="auto"/>
          <w:sz w:val="32"/>
          <w:szCs w:val="32"/>
          <w:lang w:val="en-US" w:eastAsia="zh-CN"/>
        </w:rPr>
        <w:t>十九、项目支出绩效表（项目绩效19）</w:t>
      </w:r>
      <w:bookmarkEnd w:id="25"/>
    </w:p>
    <w:p w14:paraId="5E5B747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6" w:name="_Toc28610"/>
      <w:r>
        <w:rPr>
          <w:rFonts w:hint="eastAsia" w:ascii="仿宋_GB2312" w:hAnsi="仿宋_GB2312" w:eastAsia="仿宋_GB2312" w:cs="仿宋_GB2312"/>
          <w:b w:val="0"/>
          <w:bCs/>
          <w:color w:val="auto"/>
          <w:sz w:val="32"/>
          <w:szCs w:val="32"/>
          <w:lang w:val="en-US" w:eastAsia="zh-CN"/>
        </w:rPr>
        <w:t>二十、部门绩效表（部门绩效20）</w:t>
      </w:r>
      <w:bookmarkEnd w:id="26"/>
    </w:p>
    <w:p w14:paraId="76828D7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7" w:name="_Toc9777"/>
      <w:r>
        <w:rPr>
          <w:rFonts w:hint="eastAsia" w:ascii="仿宋_GB2312" w:hAnsi="仿宋_GB2312" w:eastAsia="仿宋_GB2312" w:cs="仿宋_GB2312"/>
          <w:b w:val="0"/>
          <w:bCs/>
          <w:color w:val="auto"/>
          <w:sz w:val="32"/>
          <w:szCs w:val="32"/>
          <w:lang w:val="en-US" w:eastAsia="zh-CN"/>
        </w:rPr>
        <w:t>二十一、年初政府采购项目预算表（政府采购项目预算表21）</w:t>
      </w:r>
      <w:bookmarkEnd w:id="27"/>
    </w:p>
    <w:p w14:paraId="2C716A63">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8" w:name="_Toc11839"/>
      <w:r>
        <w:rPr>
          <w:rFonts w:hint="eastAsia" w:ascii="仿宋_GB2312" w:hAnsi="仿宋_GB2312" w:eastAsia="仿宋_GB2312" w:cs="仿宋_GB2312"/>
          <w:b w:val="0"/>
          <w:bCs/>
          <w:color w:val="auto"/>
          <w:sz w:val="32"/>
          <w:szCs w:val="32"/>
          <w:lang w:val="en-US" w:eastAsia="zh-CN"/>
        </w:rPr>
        <w:t>二十二、2026-2028年支出计划总表（三年计划总表22）</w:t>
      </w:r>
      <w:bookmarkEnd w:id="28"/>
    </w:p>
    <w:p w14:paraId="2DEA2F40">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29" w:name="_Toc13687"/>
      <w:r>
        <w:rPr>
          <w:rFonts w:hint="eastAsia" w:ascii="仿宋_GB2312" w:hAnsi="仿宋_GB2312" w:eastAsia="仿宋_GB2312" w:cs="仿宋_GB2312"/>
          <w:b w:val="0"/>
          <w:bCs/>
          <w:color w:val="auto"/>
          <w:sz w:val="32"/>
          <w:szCs w:val="32"/>
          <w:lang w:val="en-US" w:eastAsia="zh-CN"/>
        </w:rPr>
        <w:t>二十三、2026-2028年支出计划明细表（三年计划明细表23）</w:t>
      </w:r>
      <w:bookmarkEnd w:id="29"/>
    </w:p>
    <w:p w14:paraId="421F545F">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color w:val="auto"/>
          <w:sz w:val="32"/>
          <w:szCs w:val="32"/>
          <w:lang w:val="en-US" w:eastAsia="zh-CN"/>
        </w:rPr>
      </w:pPr>
      <w:bookmarkStart w:id="30" w:name="_Toc7509"/>
      <w:r>
        <w:rPr>
          <w:rFonts w:hint="eastAsia" w:ascii="仿宋_GB2312" w:hAnsi="仿宋_GB2312" w:eastAsia="仿宋_GB2312" w:cs="仿宋_GB2312"/>
          <w:b w:val="0"/>
          <w:bCs/>
          <w:color w:val="auto"/>
          <w:sz w:val="32"/>
          <w:szCs w:val="32"/>
          <w:lang w:val="en-US" w:eastAsia="zh-CN"/>
        </w:rPr>
        <w:t>二十四、人员和车辆基本情况表（人员24）</w:t>
      </w:r>
      <w:bookmarkEnd w:id="30"/>
    </w:p>
    <w:p w14:paraId="37A4386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1" w:name="_Toc6681"/>
      <w:r>
        <w:rPr>
          <w:rFonts w:hint="eastAsia" w:ascii="宋体" w:hAnsi="宋体"/>
          <w:b/>
          <w:bCs/>
          <w:sz w:val="32"/>
          <w:lang w:val="en-US" w:eastAsia="zh-CN"/>
        </w:rPr>
        <w:t>以上所有表格详见部门说明后附件。</w:t>
      </w:r>
      <w:bookmarkEnd w:id="23"/>
      <w:bookmarkEnd w:id="31"/>
    </w:p>
    <w:p w14:paraId="7613332A">
      <w:pPr>
        <w:rPr>
          <w:rFonts w:ascii="宋体" w:hAnsi="宋体"/>
          <w:sz w:val="20"/>
        </w:rPr>
      </w:pPr>
      <w:r>
        <w:rPr>
          <w:rFonts w:ascii="宋体" w:hAnsi="宋体"/>
          <w:sz w:val="20"/>
        </w:rPr>
        <w:br w:type="page"/>
      </w:r>
    </w:p>
    <w:p w14:paraId="597C9E16">
      <w:pPr>
        <w:pStyle w:val="5"/>
        <w:rPr>
          <w:rFonts w:ascii="宋体" w:hAnsi="宋体"/>
          <w:sz w:val="20"/>
        </w:rPr>
      </w:pPr>
    </w:p>
    <w:p w14:paraId="26707F8A">
      <w:pPr>
        <w:pStyle w:val="5"/>
        <w:rPr>
          <w:rFonts w:ascii="宋体" w:hAnsi="宋体"/>
          <w:sz w:val="20"/>
        </w:rPr>
      </w:pPr>
    </w:p>
    <w:p w14:paraId="751CEB7F">
      <w:pPr>
        <w:pStyle w:val="5"/>
        <w:rPr>
          <w:rFonts w:ascii="宋体" w:hAnsi="宋体"/>
          <w:sz w:val="20"/>
        </w:rPr>
      </w:pPr>
    </w:p>
    <w:p w14:paraId="360954C5">
      <w:pPr>
        <w:pStyle w:val="5"/>
        <w:rPr>
          <w:rFonts w:ascii="宋体" w:hAnsi="宋体"/>
          <w:sz w:val="20"/>
        </w:rPr>
      </w:pPr>
    </w:p>
    <w:p w14:paraId="2BFEE0BE">
      <w:pPr>
        <w:pStyle w:val="5"/>
        <w:rPr>
          <w:rFonts w:ascii="宋体" w:hAnsi="宋体"/>
          <w:sz w:val="20"/>
        </w:rPr>
      </w:pPr>
    </w:p>
    <w:p w14:paraId="61EF8C74">
      <w:pPr>
        <w:pStyle w:val="5"/>
        <w:rPr>
          <w:rFonts w:ascii="宋体" w:hAnsi="宋体"/>
          <w:sz w:val="20"/>
        </w:rPr>
      </w:pPr>
    </w:p>
    <w:p w14:paraId="70599959">
      <w:pPr>
        <w:pStyle w:val="5"/>
        <w:rPr>
          <w:rFonts w:ascii="宋体" w:hAnsi="宋体"/>
          <w:sz w:val="20"/>
        </w:rPr>
      </w:pPr>
    </w:p>
    <w:p w14:paraId="42D7D34C">
      <w:pPr>
        <w:pStyle w:val="5"/>
        <w:rPr>
          <w:rFonts w:ascii="宋体" w:hAnsi="宋体"/>
          <w:sz w:val="20"/>
        </w:rPr>
      </w:pPr>
    </w:p>
    <w:p w14:paraId="5B4505E6">
      <w:pPr>
        <w:pStyle w:val="5"/>
        <w:rPr>
          <w:rFonts w:ascii="宋体" w:hAnsi="宋体"/>
          <w:sz w:val="20"/>
        </w:rPr>
      </w:pPr>
    </w:p>
    <w:p w14:paraId="7194600F">
      <w:pPr>
        <w:pStyle w:val="5"/>
        <w:rPr>
          <w:rFonts w:ascii="宋体" w:hAnsi="宋体"/>
          <w:sz w:val="20"/>
        </w:rPr>
      </w:pPr>
    </w:p>
    <w:p w14:paraId="51CBFF0C">
      <w:pPr>
        <w:pStyle w:val="5"/>
        <w:rPr>
          <w:rFonts w:ascii="宋体" w:hAnsi="宋体"/>
          <w:sz w:val="20"/>
        </w:rPr>
      </w:pPr>
    </w:p>
    <w:p w14:paraId="35764DF4">
      <w:pPr>
        <w:pStyle w:val="5"/>
        <w:rPr>
          <w:rFonts w:ascii="宋体" w:hAnsi="宋体"/>
          <w:sz w:val="20"/>
        </w:rPr>
      </w:pPr>
    </w:p>
    <w:p w14:paraId="48C1C344">
      <w:pPr>
        <w:pStyle w:val="5"/>
        <w:rPr>
          <w:rFonts w:ascii="宋体" w:hAnsi="宋体"/>
          <w:sz w:val="20"/>
        </w:rPr>
      </w:pPr>
    </w:p>
    <w:p w14:paraId="21E8CE09">
      <w:pPr>
        <w:pStyle w:val="5"/>
        <w:rPr>
          <w:rFonts w:ascii="宋体" w:hAnsi="宋体"/>
          <w:sz w:val="20"/>
        </w:rPr>
      </w:pPr>
    </w:p>
    <w:p w14:paraId="29169D29">
      <w:pPr>
        <w:pStyle w:val="5"/>
        <w:rPr>
          <w:rFonts w:ascii="宋体" w:hAnsi="宋体"/>
          <w:sz w:val="20"/>
        </w:rPr>
      </w:pPr>
    </w:p>
    <w:p w14:paraId="20BDAB9D">
      <w:pPr>
        <w:pStyle w:val="5"/>
        <w:rPr>
          <w:rFonts w:ascii="宋体" w:hAnsi="宋体"/>
          <w:sz w:val="20"/>
        </w:rPr>
      </w:pPr>
    </w:p>
    <w:p w14:paraId="22F0BCB9">
      <w:pPr>
        <w:pStyle w:val="5"/>
        <w:rPr>
          <w:rFonts w:ascii="宋体" w:hAnsi="宋体"/>
          <w:sz w:val="20"/>
        </w:rPr>
      </w:pPr>
    </w:p>
    <w:p w14:paraId="285DF88A">
      <w:pPr>
        <w:pStyle w:val="5"/>
        <w:rPr>
          <w:rFonts w:ascii="宋体" w:hAnsi="宋体"/>
          <w:sz w:val="20"/>
        </w:rPr>
      </w:pPr>
    </w:p>
    <w:p w14:paraId="1752EC1B">
      <w:pPr>
        <w:pStyle w:val="5"/>
        <w:rPr>
          <w:rFonts w:ascii="宋体" w:hAnsi="宋体"/>
          <w:sz w:val="20"/>
        </w:rPr>
      </w:pPr>
    </w:p>
    <w:p w14:paraId="7C404227">
      <w:pPr>
        <w:pStyle w:val="5"/>
        <w:rPr>
          <w:rFonts w:ascii="宋体" w:hAnsi="宋体"/>
          <w:sz w:val="20"/>
        </w:rPr>
      </w:pPr>
    </w:p>
    <w:p w14:paraId="229F8428">
      <w:pPr>
        <w:pStyle w:val="5"/>
        <w:rPr>
          <w:rFonts w:ascii="宋体" w:hAnsi="宋体"/>
          <w:sz w:val="20"/>
        </w:rPr>
      </w:pPr>
    </w:p>
    <w:p w14:paraId="70A9479D">
      <w:pPr>
        <w:pStyle w:val="5"/>
        <w:rPr>
          <w:rFonts w:ascii="宋体" w:hAnsi="宋体"/>
          <w:sz w:val="20"/>
        </w:rPr>
      </w:pPr>
    </w:p>
    <w:p w14:paraId="208AD95E">
      <w:pPr>
        <w:pStyle w:val="5"/>
        <w:numPr>
          <w:ilvl w:val="0"/>
          <w:numId w:val="2"/>
        </w:numPr>
        <w:spacing w:before="6"/>
        <w:ind w:left="0" w:leftChars="0" w:firstLine="0" w:firstLineChars="0"/>
        <w:jc w:val="center"/>
        <w:outlineLvl w:val="0"/>
        <w:rPr>
          <w:rFonts w:hint="eastAsia" w:ascii="方正小标宋简体" w:hAnsi="方正小标宋简体" w:eastAsia="方正小标宋简体" w:cs="方正小标宋简体"/>
          <w:b w:val="0"/>
          <w:bCs w:val="0"/>
          <w:sz w:val="52"/>
          <w:szCs w:val="52"/>
          <w:lang w:val="en-US"/>
        </w:rPr>
        <w:sectPr>
          <w:headerReference r:id="rId8" w:type="default"/>
          <w:pgSz w:w="11910" w:h="16840"/>
          <w:pgMar w:top="1440" w:right="1800" w:bottom="1440" w:left="1800" w:header="737" w:footer="737" w:gutter="0"/>
          <w:pgNumType w:fmt="decimal"/>
          <w:cols w:space="0" w:num="1"/>
          <w:rtlGutter w:val="0"/>
          <w:docGrid w:linePitch="0" w:charSpace="0"/>
        </w:sectPr>
      </w:pPr>
      <w:bookmarkStart w:id="32" w:name="_Toc16359"/>
      <w:r>
        <w:rPr>
          <w:rFonts w:hint="eastAsia" w:ascii="方正小标宋简体" w:hAnsi="方正小标宋简体" w:eastAsia="方正小标宋简体" w:cs="方正小标宋简体"/>
          <w:b w:val="0"/>
          <w:bCs w:val="0"/>
          <w:sz w:val="52"/>
          <w:szCs w:val="52"/>
          <w:lang w:val="en-US" w:eastAsia="zh-CN"/>
        </w:rPr>
        <w:t>五通桥区综合行政执法局2026年</w:t>
      </w:r>
      <w:bookmarkStart w:id="33" w:name="_Toc1047"/>
      <w:r>
        <w:rPr>
          <w:rFonts w:hint="eastAsia" w:ascii="方正小标宋简体" w:hAnsi="方正小标宋简体" w:eastAsia="方正小标宋简体" w:cs="方正小标宋简体"/>
          <w:b w:val="0"/>
          <w:bCs w:val="0"/>
          <w:sz w:val="52"/>
          <w:szCs w:val="52"/>
          <w:lang w:val="en-US" w:eastAsia="zh-CN"/>
        </w:rPr>
        <w:t>部门预算情况说明</w:t>
      </w:r>
      <w:bookmarkEnd w:id="32"/>
      <w:bookmarkEnd w:id="33"/>
    </w:p>
    <w:p w14:paraId="0AA08803">
      <w:pPr>
        <w:pStyle w:val="5"/>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09A0A81B">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3742"/>
      <w:r>
        <w:rPr>
          <w:rFonts w:hint="eastAsia" w:ascii="宋体" w:hAnsi="宋体" w:eastAsia="黑体"/>
          <w:color w:val="333333"/>
        </w:rPr>
        <w:t>一、收支预算情况说明</w:t>
      </w:r>
      <w:bookmarkEnd w:id="34"/>
    </w:p>
    <w:p w14:paraId="00BC1AB7">
      <w:pPr>
        <w:spacing w:line="360" w:lineRule="auto"/>
        <w:ind w:left="638" w:leftChars="290"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按照综合预算的原则</w:t>
      </w: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部门所有收</w:t>
      </w:r>
    </w:p>
    <w:p w14:paraId="66A9E26B">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lang w:val="en-US" w:eastAsia="zh-CN"/>
        </w:rPr>
        <w:t>入和支出均纳入部门预算管理。收入包括：</w:t>
      </w:r>
      <w:r>
        <w:rPr>
          <w:rFonts w:hint="eastAsia" w:ascii="仿宋_GB2312" w:hAnsi="仿宋_GB2312" w:eastAsia="仿宋_GB2312" w:cs="仿宋_GB2312"/>
          <w:sz w:val="32"/>
          <w:szCs w:val="22"/>
          <w:lang w:val="en-US" w:eastAsia="zh-CN" w:bidi="zh-CN"/>
        </w:rPr>
        <w:t>一般公共预算拨</w:t>
      </w:r>
    </w:p>
    <w:p w14:paraId="1E8087C1">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款收入；支出包括：社会保障和就业支出、卫生健康支出卫生</w:t>
      </w:r>
    </w:p>
    <w:p w14:paraId="706C625F">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健康支出、城乡社区支出、交通运输支出、住房保障支出。五</w:t>
      </w:r>
    </w:p>
    <w:p w14:paraId="4E83899F">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通桥区综合行政执法局部门2026年收支预算总数2,349.67万元,</w:t>
      </w:r>
    </w:p>
    <w:p w14:paraId="2988178B">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比2025年收支预算总数2201.08万元增加148.59万元。主要原</w:t>
      </w:r>
    </w:p>
    <w:p w14:paraId="33D33864">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因：社会保障和就业支出预算比上年增加20.62万元、卫生健康</w:t>
      </w:r>
    </w:p>
    <w:p w14:paraId="7C10D1CB">
      <w:pPr>
        <w:spacing w:line="360" w:lineRule="auto"/>
        <w:ind w:left="638" w:leftChars="290" w:firstLine="0" w:firstLineChars="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支出预算比上年增加3.44万元、城乡社区支出预算比上年增加121.51万元、交通运输支出预算比上年减少6.04万元、住房保</w:t>
      </w:r>
    </w:p>
    <w:p w14:paraId="7759B37C">
      <w:pPr>
        <w:spacing w:line="360" w:lineRule="auto"/>
        <w:ind w:left="638" w:leftChars="290" w:firstLine="0" w:firstLineChars="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障支出预算比上年增加9.06万元所致。</w:t>
      </w:r>
    </w:p>
    <w:p w14:paraId="1C374F0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5797"/>
      <w:r>
        <w:rPr>
          <w:rFonts w:ascii="宋体" w:hAnsi="宋体"/>
        </w:rPr>
        <w:t>（一）收入预算情况</w:t>
      </w:r>
      <w:bookmarkEnd w:id="35"/>
    </w:p>
    <w:p w14:paraId="078E499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收入预算2349.67万元，其中：上年结转0万元，占0%；一般公共预算拨款收入2,249.67万元，占95.74%；政府基金预算拨款收入0万元，占0%；事业收入0万元，占0%；事业单位经营收入0万元，占0%；其他收入100.00万元，占4.26%。</w:t>
      </w:r>
    </w:p>
    <w:p w14:paraId="34C83149">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21336"/>
      <w:r>
        <w:rPr>
          <w:rFonts w:ascii="宋体" w:hAnsi="宋体"/>
        </w:rPr>
        <w:t>（二）支出预算情况</w:t>
      </w:r>
      <w:bookmarkEnd w:id="36"/>
    </w:p>
    <w:p w14:paraId="00B358F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部门2026年支出预算2349.67万元，其中：人员支出1,830.69万元，日常公用支出343.17万元，对个人和家庭的补助支出19.09万元，专项支出156.72万元。</w:t>
      </w:r>
    </w:p>
    <w:p w14:paraId="3A0EBE76">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19639"/>
      <w:r>
        <w:rPr>
          <w:rFonts w:hint="eastAsia" w:ascii="宋体" w:hAnsi="宋体" w:eastAsia="黑体"/>
          <w:color w:val="333333"/>
        </w:rPr>
        <w:t>二、财政拨款收支预算情况说明</w:t>
      </w:r>
      <w:bookmarkEnd w:id="37"/>
    </w:p>
    <w:p w14:paraId="3A241766">
      <w:pPr>
        <w:spacing w:line="360" w:lineRule="auto"/>
        <w:ind w:left="638" w:leftChars="290"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部门2026年财政拨款收支预算</w:t>
      </w:r>
    </w:p>
    <w:p w14:paraId="005B4C54">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lang w:val="en-US" w:eastAsia="zh-CN"/>
        </w:rPr>
        <w:t>总数2,249.67万元,比2025年财政拨款收支预算总数</w:t>
      </w:r>
      <w:r>
        <w:rPr>
          <w:rFonts w:hint="eastAsia" w:ascii="仿宋_GB2312" w:hAnsi="仿宋_GB2312" w:eastAsia="仿宋_GB2312" w:cs="仿宋_GB2312"/>
          <w:sz w:val="32"/>
          <w:szCs w:val="22"/>
          <w:lang w:val="en-US" w:eastAsia="zh-CN" w:bidi="zh-CN"/>
        </w:rPr>
        <w:t>2201.08万</w:t>
      </w:r>
    </w:p>
    <w:p w14:paraId="73A05BF3">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元增加48.59万元。主要原因：社会保障和就业支出预算比</w:t>
      </w:r>
    </w:p>
    <w:p w14:paraId="323FC0E3">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上年增加20.62万元、卫生健康支出预算比上年增加3.44万元、</w:t>
      </w:r>
    </w:p>
    <w:p w14:paraId="02C4C127">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城乡社区支出预算比上年增加21.51万元、交通运输支出预</w:t>
      </w:r>
    </w:p>
    <w:p w14:paraId="08BFB6D5">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算比上年减少6.04万元、住房保障支出预算比上年增加9.06万</w:t>
      </w:r>
    </w:p>
    <w:p w14:paraId="45C84723">
      <w:pPr>
        <w:spacing w:line="360" w:lineRule="auto"/>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元所致。</w:t>
      </w:r>
    </w:p>
    <w:p w14:paraId="021B846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其中：基本支出2,192.95万元，占97.48%；项目支出56.72万元，占2.52%。</w:t>
      </w:r>
      <w:r>
        <w:rPr>
          <w:rFonts w:hint="eastAsia" w:cs="仿宋_GB2312"/>
          <w:sz w:val="32"/>
          <w:lang w:val="en-US" w:eastAsia="zh-CN"/>
        </w:rPr>
        <w:t xml:space="preserve"> </w:t>
      </w:r>
    </w:p>
    <w:p w14:paraId="18DB677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w:t>
      </w:r>
      <w:r>
        <w:rPr>
          <w:rFonts w:hint="eastAsia" w:ascii="宋体" w:hAnsi="宋体" w:eastAsia="仿宋_GB2312" w:cs="仿宋_GB2312"/>
          <w:sz w:val="32"/>
          <w:szCs w:val="22"/>
          <w:lang w:val="en-US" w:eastAsia="zh-CN" w:bidi="zh-CN"/>
        </w:rPr>
        <w:t>五通桥区综合行政执法局</w:t>
      </w:r>
      <w:r>
        <w:rPr>
          <w:rFonts w:hint="eastAsia" w:ascii="宋体" w:hAnsi="宋体"/>
          <w:sz w:val="32"/>
          <w:lang w:val="en-US" w:eastAsia="zh-CN"/>
        </w:rPr>
        <w:t>机关、下属</w:t>
      </w:r>
      <w:r>
        <w:rPr>
          <w:rFonts w:hint="eastAsia" w:ascii="宋体" w:hAnsi="宋体"/>
          <w:sz w:val="32"/>
          <w:highlight w:val="none"/>
          <w:lang w:val="en-US" w:eastAsia="zh-CN"/>
        </w:rPr>
        <w:t>参照公务员法管理的</w:t>
      </w:r>
      <w:r>
        <w:rPr>
          <w:rFonts w:hint="eastAsia" w:ascii="宋体" w:hAnsi="宋体"/>
          <w:sz w:val="32"/>
          <w:lang w:val="en-US" w:eastAsia="zh-CN"/>
        </w:rPr>
        <w:t>事业单位等机构正常运转的日常支出，包括基本工资、津贴补贴等人员经费以及办公费、印刷费、水电费、办公设备购置等日常公用经费。</w:t>
      </w:r>
    </w:p>
    <w:p w14:paraId="386A772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w:t>
      </w:r>
      <w:r>
        <w:rPr>
          <w:rFonts w:hint="eastAsia" w:ascii="宋体" w:hAnsi="宋体" w:eastAsia="仿宋_GB2312" w:cs="仿宋_GB2312"/>
          <w:sz w:val="32"/>
          <w:szCs w:val="22"/>
          <w:lang w:val="en-US" w:eastAsia="zh-CN" w:bidi="zh-CN"/>
        </w:rPr>
        <w:t>五通桥区综合行政执法局</w:t>
      </w:r>
      <w:r>
        <w:rPr>
          <w:rFonts w:hint="eastAsia" w:ascii="宋体" w:hAnsi="宋体"/>
          <w:sz w:val="32"/>
          <w:lang w:val="en-US" w:eastAsia="zh-CN"/>
        </w:rPr>
        <w:t>机关、下属</w:t>
      </w:r>
      <w:r>
        <w:rPr>
          <w:rFonts w:hint="eastAsia" w:ascii="宋体" w:hAnsi="宋体"/>
          <w:sz w:val="32"/>
          <w:highlight w:val="none"/>
          <w:lang w:val="en-US" w:eastAsia="zh-CN"/>
        </w:rPr>
        <w:t>参照公务员法管理的</w:t>
      </w:r>
      <w:r>
        <w:rPr>
          <w:rFonts w:hint="eastAsia" w:ascii="宋体" w:hAnsi="宋体"/>
          <w:sz w:val="32"/>
          <w:lang w:val="en-US" w:eastAsia="zh-CN"/>
        </w:rPr>
        <w:t>事业单位等机构为完成特定的行政工作任务或事业发展目标，用于专项业务工作的经费支出。</w:t>
      </w:r>
    </w:p>
    <w:p w14:paraId="65CB033C">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2245"/>
      <w:r>
        <w:rPr>
          <w:rFonts w:hint="eastAsia" w:ascii="宋体" w:hAnsi="宋体" w:eastAsia="黑体"/>
          <w:color w:val="333333"/>
        </w:rPr>
        <w:t>三、一般公共预算当年拨款情况说明</w:t>
      </w:r>
      <w:bookmarkEnd w:id="38"/>
    </w:p>
    <w:p w14:paraId="79E403C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13770"/>
      <w:r>
        <w:rPr>
          <w:rFonts w:ascii="宋体" w:hAnsi="宋体"/>
        </w:rPr>
        <w:t>（一）一般公共预算当年拨款规模变化情况</w:t>
      </w:r>
      <w:bookmarkEnd w:id="39"/>
    </w:p>
    <w:p w14:paraId="50C4465A">
      <w:pPr>
        <w:spacing w:line="360" w:lineRule="auto"/>
        <w:ind w:firstLine="1280" w:firstLineChars="4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部门2026年一般公共预算当年</w:t>
      </w:r>
    </w:p>
    <w:p w14:paraId="384BDE59">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lang w:val="en-US" w:eastAsia="zh-CN"/>
        </w:rPr>
        <w:t>拨款2,249.67万元，比2025年财政拨款收支预算总数2201.08</w:t>
      </w:r>
    </w:p>
    <w:p w14:paraId="6B9731CE">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万元增加48.59万元。主要原因：社会保障和就业支出预算比</w:t>
      </w:r>
    </w:p>
    <w:p w14:paraId="370BBFF5">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上年增加20.62万元、卫生健康支出预算比上年增加3.44万元、</w:t>
      </w:r>
    </w:p>
    <w:p w14:paraId="7B7AA79B">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城乡社区支出预算比上年增加21.51万元、交通运输支出预</w:t>
      </w:r>
    </w:p>
    <w:p w14:paraId="1E6AFAA2">
      <w:pPr>
        <w:spacing w:line="360" w:lineRule="auto"/>
        <w:ind w:firstLine="640" w:firstLineChars="200"/>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算比上年减少6.04万元、住房保障支出预算比上年增加9.06万</w:t>
      </w:r>
    </w:p>
    <w:p w14:paraId="7613F788">
      <w:pPr>
        <w:spacing w:line="360" w:lineRule="auto"/>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元所致。</w:t>
      </w:r>
    </w:p>
    <w:p w14:paraId="7687B0F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15898"/>
      <w:r>
        <w:rPr>
          <w:rFonts w:ascii="宋体" w:hAnsi="宋体"/>
        </w:rPr>
        <w:t>（二）一般公共预算当年拨款结构情况</w:t>
      </w:r>
      <w:bookmarkEnd w:id="40"/>
    </w:p>
    <w:p w14:paraId="39C873AE">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宋体" w:hAnsi="宋体" w:eastAsia="仿宋_GB2312" w:cs="仿宋_GB2312"/>
          <w:sz w:val="32"/>
          <w:szCs w:val="22"/>
          <w:lang w:val="en-US" w:eastAsia="zh-CN" w:bidi="zh-CN"/>
        </w:rPr>
        <w:t>五</w:t>
      </w:r>
      <w:r>
        <w:rPr>
          <w:rFonts w:hint="eastAsia" w:ascii="仿宋_GB2312" w:hAnsi="仿宋_GB2312" w:eastAsia="仿宋_GB2312" w:cs="仿宋_GB2312"/>
          <w:sz w:val="32"/>
          <w:szCs w:val="22"/>
          <w:lang w:val="en-US" w:eastAsia="zh-CN" w:bidi="zh-CN"/>
        </w:rPr>
        <w:t>通桥区综合行政执法局</w:t>
      </w:r>
      <w:r>
        <w:rPr>
          <w:rFonts w:hint="eastAsia" w:ascii="仿宋_GB2312" w:hAnsi="仿宋_GB2312" w:eastAsia="仿宋_GB2312" w:cs="仿宋_GB2312"/>
          <w:sz w:val="32"/>
          <w:lang w:val="en-US" w:eastAsia="zh-CN"/>
        </w:rPr>
        <w:t>部门2026年一般公共预算支出2,249.67万元，主要包括一般公共服务支出0万元，占0%；外交支出0万元，占0%；国防支出0万元，占0%；公共安全支出0万元，占0%；教育支出0万元，占0%；科学技术支出0万元，占0%；文化旅游体育与传媒支出0万元，占0%；社会保障和就业支出260.23万元，占11.57%；卫生健康支出60.73万元，占2.7%；节能环保支出0万元，占0%；城乡社区支出1792.57万元，占79.68%；农林水支出0万元，占0%；交通运输支出4.2万元，占0.19%；资源勘探工业信息等支出0万元，占0%；商业服务业等支出0万元，占0%；金融支出0万元，占0%；援助其他地区支出0万元，占0%；自然资源海洋气象等支出0万元，占0%；住房保障支出131.94万元，占5.86%；粮油物资储备支出0万元，占0%；灾害防治及应急管理支出0万元，占0%；预备费0万元，占0%；其他支出0万元，占0%；转移性支出0万元，占0%；债务还本支出0万元，占0%；债务付息支出0万元，占0%；债务发行费支出0万元，占0%。</w:t>
      </w:r>
    </w:p>
    <w:p w14:paraId="58D03322">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7739"/>
      <w:r>
        <w:rPr>
          <w:rFonts w:ascii="宋体" w:hAnsi="宋体"/>
        </w:rPr>
        <w:t>（三）一般公共预算当年拨款具体使用情况</w:t>
      </w:r>
      <w:bookmarkEnd w:id="41"/>
    </w:p>
    <w:p w14:paraId="3D11BFF1">
      <w:pPr>
        <w:pStyle w:val="20"/>
        <w:numPr>
          <w:ilvl w:val="0"/>
          <w:numId w:val="0"/>
        </w:numPr>
        <w:ind w:left="638" w:leftChars="290" w:firstLine="640" w:firstLineChars="200"/>
        <w:rPr>
          <w:rFonts w:hint="eastAsia" w:ascii="仿宋_GB2312" w:hAnsi="仿宋_GB2312" w:eastAsia="仿宋_GB2312" w:cs="仿宋_GB2312"/>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rPr>
        <w:t>社会保障和就业（类）行政事业单位离退休（款）</w:t>
      </w:r>
    </w:p>
    <w:p w14:paraId="38E51BC0">
      <w:pPr>
        <w:pStyle w:val="20"/>
        <w:numPr>
          <w:ilvl w:val="0"/>
          <w:numId w:val="0"/>
        </w:numPr>
        <w:ind w:firstLine="640" w:firstLineChars="200"/>
        <w:rPr>
          <w:rFonts w:hint="eastAsia" w:ascii="仿宋_GB2312" w:hAnsi="仿宋_GB2312" w:eastAsia="仿宋_GB2312" w:cs="仿宋_GB2312"/>
        </w:rPr>
      </w:pPr>
      <w:r>
        <w:rPr>
          <w:rFonts w:hint="eastAsia" w:ascii="仿宋_GB2312" w:hAnsi="仿宋_GB2312" w:eastAsia="仿宋_GB2312" w:cs="仿宋_GB2312"/>
        </w:rPr>
        <w:t>机关事业单位基本养老保险缴费支出（项）: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w:t>
      </w:r>
    </w:p>
    <w:p w14:paraId="6601A43F">
      <w:pPr>
        <w:pStyle w:val="20"/>
        <w:numPr>
          <w:ilvl w:val="0"/>
          <w:numId w:val="0"/>
        </w:numPr>
        <w:ind w:firstLine="640" w:firstLineChars="200"/>
        <w:rPr>
          <w:rFonts w:hint="eastAsia" w:ascii="仿宋_GB2312" w:hAnsi="仿宋_GB2312" w:eastAsia="仿宋_GB2312" w:cs="仿宋_GB2312"/>
        </w:rPr>
      </w:pPr>
      <w:r>
        <w:rPr>
          <w:rFonts w:hint="eastAsia" w:ascii="仿宋_GB2312" w:hAnsi="仿宋_GB2312" w:eastAsia="仿宋_GB2312" w:cs="仿宋_GB2312"/>
        </w:rPr>
        <w:t>数为</w:t>
      </w:r>
      <w:r>
        <w:rPr>
          <w:rFonts w:hint="eastAsia" w:ascii="仿宋_GB2312" w:hAnsi="仿宋_GB2312" w:eastAsia="仿宋_GB2312" w:cs="仿宋_GB2312"/>
          <w:lang w:val="en-US" w:eastAsia="zh-CN"/>
        </w:rPr>
        <w:t>159.43</w:t>
      </w:r>
      <w:r>
        <w:rPr>
          <w:rFonts w:hint="eastAsia" w:ascii="仿宋_GB2312" w:hAnsi="仿宋_GB2312" w:eastAsia="仿宋_GB2312" w:cs="仿宋_GB2312"/>
        </w:rPr>
        <w:t>万元，主要用于：实施养老保险制度后，部</w:t>
      </w:r>
    </w:p>
    <w:p w14:paraId="7CFCA484">
      <w:pPr>
        <w:pStyle w:val="20"/>
        <w:numPr>
          <w:ilvl w:val="0"/>
          <w:numId w:val="0"/>
        </w:numPr>
        <w:ind w:firstLine="640" w:firstLineChars="200"/>
        <w:rPr>
          <w:rFonts w:hint="eastAsia" w:ascii="仿宋_GB2312" w:hAnsi="仿宋_GB2312" w:eastAsia="仿宋_GB2312" w:cs="仿宋_GB2312"/>
        </w:rPr>
      </w:pPr>
      <w:r>
        <w:rPr>
          <w:rFonts w:hint="eastAsia" w:ascii="仿宋_GB2312" w:hAnsi="仿宋_GB2312" w:eastAsia="仿宋_GB2312" w:cs="仿宋_GB2312"/>
        </w:rPr>
        <w:t>门按规定由单位缴纳的基本养老保险费支出。</w:t>
      </w:r>
    </w:p>
    <w:p w14:paraId="2B299982">
      <w:pPr>
        <w:pStyle w:val="20"/>
        <w:numPr>
          <w:ilvl w:val="0"/>
          <w:numId w:val="0"/>
        </w:numPr>
        <w:ind w:right="0" w:rightChars="0" w:firstLine="1280" w:firstLineChars="400"/>
        <w:rPr>
          <w:rFonts w:hint="eastAsia" w:ascii="仿宋_GB2312" w:hAnsi="仿宋_GB2312" w:eastAsia="仿宋_GB2312" w:cs="仿宋_GB2312"/>
        </w:rPr>
      </w:pPr>
      <w:r>
        <w:rPr>
          <w:rFonts w:hint="eastAsia" w:ascii="仿宋_GB2312" w:hAnsi="仿宋_GB2312" w:eastAsia="仿宋_GB2312" w:cs="仿宋_GB2312"/>
          <w:lang w:val="en-US" w:eastAsia="zh-CN"/>
        </w:rPr>
        <w:t>2.</w:t>
      </w:r>
      <w:r>
        <w:rPr>
          <w:rFonts w:hint="eastAsia" w:ascii="仿宋_GB2312" w:hAnsi="仿宋_GB2312" w:eastAsia="仿宋_GB2312" w:cs="仿宋_GB2312"/>
        </w:rPr>
        <w:t>社会保障和就业（类）行政事业单位离退休（款）</w:t>
      </w:r>
    </w:p>
    <w:p w14:paraId="242A1DF4">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机关事业单位职业年金缴费支出（项）: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p>
    <w:p w14:paraId="02C9785F">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79.72</w:t>
      </w:r>
      <w:r>
        <w:rPr>
          <w:rFonts w:hint="eastAsia" w:ascii="仿宋_GB2312" w:hAnsi="仿宋_GB2312" w:eastAsia="仿宋_GB2312" w:cs="仿宋_GB2312"/>
        </w:rPr>
        <w:t>万元，主要用于：实施养老保险制度后，部门按规</w:t>
      </w:r>
    </w:p>
    <w:p w14:paraId="796EE09D">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定由单位缴纳的职业年金支出。</w:t>
      </w:r>
    </w:p>
    <w:p w14:paraId="0B43F0F9">
      <w:pPr>
        <w:pStyle w:val="20"/>
        <w:numPr>
          <w:ilvl w:val="0"/>
          <w:numId w:val="3"/>
        </w:numPr>
        <w:ind w:left="638" w:leftChars="290" w:firstLine="640" w:firstLineChars="200"/>
        <w:rPr>
          <w:rFonts w:hint="eastAsia" w:ascii="仿宋_GB2312" w:hAnsi="仿宋_GB2312" w:eastAsia="仿宋_GB2312" w:cs="仿宋_GB2312"/>
        </w:rPr>
      </w:pPr>
      <w:r>
        <w:rPr>
          <w:rFonts w:hint="eastAsia" w:ascii="仿宋_GB2312" w:hAnsi="仿宋_GB2312" w:eastAsia="仿宋_GB2312" w:cs="仿宋_GB2312"/>
        </w:rPr>
        <w:t>社会保障和就业（类）行政事业单位离退休（款）</w:t>
      </w:r>
    </w:p>
    <w:p w14:paraId="6E109771">
      <w:pPr>
        <w:pStyle w:val="20"/>
        <w:numPr>
          <w:ilvl w:val="0"/>
          <w:numId w:val="0"/>
        </w:numPr>
        <w:ind w:right="0" w:rightChars="0"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rPr>
        <w:t>其他行政事业单位养老支出（项）: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19.09</w:t>
      </w:r>
    </w:p>
    <w:p w14:paraId="73F1E03E">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万元，主要用于：保障离退休人员经费支出。</w:t>
      </w:r>
    </w:p>
    <w:p w14:paraId="30C693AE">
      <w:pPr>
        <w:pStyle w:val="20"/>
        <w:numPr>
          <w:ilvl w:val="0"/>
          <w:numId w:val="0"/>
        </w:numPr>
        <w:ind w:right="0" w:rightChars="0" w:firstLine="1280" w:firstLineChars="400"/>
        <w:rPr>
          <w:rFonts w:hint="eastAsia" w:ascii="仿宋_GB2312" w:hAnsi="仿宋_GB2312" w:eastAsia="仿宋_GB2312" w:cs="仿宋_GB2312"/>
        </w:rPr>
      </w:pPr>
      <w:r>
        <w:rPr>
          <w:rFonts w:hint="eastAsia" w:ascii="仿宋_GB2312" w:hAnsi="仿宋_GB2312" w:eastAsia="仿宋_GB2312" w:cs="仿宋_GB2312"/>
          <w:lang w:val="en-US" w:eastAsia="zh-CN"/>
        </w:rPr>
        <w:t>4.</w:t>
      </w:r>
      <w:r>
        <w:rPr>
          <w:rFonts w:hint="eastAsia" w:ascii="仿宋_GB2312" w:hAnsi="仿宋_GB2312" w:eastAsia="仿宋_GB2312" w:cs="仿宋_GB2312"/>
        </w:rPr>
        <w:t>社会保障和就业（类）其他社会保障和就业支出</w:t>
      </w:r>
    </w:p>
    <w:p w14:paraId="56B73116">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（款）其他社会保障和就业支出（项）: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p>
    <w:p w14:paraId="10FBD1B9">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1.99</w:t>
      </w:r>
      <w:r>
        <w:rPr>
          <w:rFonts w:hint="eastAsia" w:ascii="仿宋_GB2312" w:hAnsi="仿宋_GB2312" w:eastAsia="仿宋_GB2312" w:cs="仿宋_GB2312"/>
        </w:rPr>
        <w:t>万元，主要用于：其他社会保障和就业</w:t>
      </w:r>
      <w:r>
        <w:rPr>
          <w:rFonts w:hint="eastAsia" w:ascii="仿宋_GB2312" w:hAnsi="仿宋_GB2312" w:eastAsia="仿宋_GB2312" w:cs="仿宋_GB2312"/>
          <w:lang w:eastAsia="zh-CN"/>
        </w:rPr>
        <w:t>方面的</w:t>
      </w:r>
      <w:r>
        <w:rPr>
          <w:rFonts w:hint="eastAsia" w:ascii="仿宋_GB2312" w:hAnsi="仿宋_GB2312" w:eastAsia="仿宋_GB2312" w:cs="仿宋_GB2312"/>
        </w:rPr>
        <w:t>支出。</w:t>
      </w:r>
    </w:p>
    <w:p w14:paraId="24D75A8F">
      <w:pPr>
        <w:pStyle w:val="20"/>
        <w:numPr>
          <w:ilvl w:val="0"/>
          <w:numId w:val="0"/>
        </w:numPr>
        <w:ind w:leftChars="500" w:right="0" w:rightChars="0" w:firstLine="320" w:firstLineChars="100"/>
        <w:rPr>
          <w:rFonts w:hint="eastAsia" w:ascii="仿宋_GB2312" w:hAnsi="仿宋_GB2312" w:eastAsia="仿宋_GB2312" w:cs="仿宋_GB2312"/>
        </w:rPr>
      </w:pPr>
      <w:r>
        <w:rPr>
          <w:rFonts w:hint="eastAsia" w:ascii="仿宋_GB2312" w:hAnsi="仿宋_GB2312" w:eastAsia="仿宋_GB2312" w:cs="仿宋_GB2312"/>
          <w:lang w:val="en-US" w:eastAsia="zh-CN"/>
        </w:rPr>
        <w:t>5.</w:t>
      </w:r>
      <w:r>
        <w:rPr>
          <w:rFonts w:hint="eastAsia" w:ascii="仿宋_GB2312" w:hAnsi="仿宋_GB2312" w:eastAsia="仿宋_GB2312" w:cs="仿宋_GB2312"/>
        </w:rPr>
        <w:t>卫生健康支出（类）行政事业单位医疗（款）行</w:t>
      </w:r>
    </w:p>
    <w:p w14:paraId="7D63D555">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政单</w:t>
      </w:r>
      <w:r>
        <w:rPr>
          <w:rFonts w:hint="eastAsia" w:ascii="仿宋_GB2312" w:hAnsi="仿宋_GB2312" w:eastAsia="仿宋_GB2312" w:cs="仿宋_GB2312"/>
          <w:lang w:eastAsia="zh-CN"/>
        </w:rPr>
        <w:t>位</w:t>
      </w:r>
      <w:r>
        <w:rPr>
          <w:rFonts w:hint="eastAsia" w:ascii="仿宋_GB2312" w:hAnsi="仿宋_GB2312" w:eastAsia="仿宋_GB2312" w:cs="仿宋_GB2312"/>
        </w:rPr>
        <w:t>医疗（项）: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48.93</w:t>
      </w:r>
      <w:r>
        <w:rPr>
          <w:rFonts w:hint="eastAsia" w:ascii="仿宋_GB2312" w:hAnsi="仿宋_GB2312" w:eastAsia="仿宋_GB2312" w:cs="仿宋_GB2312"/>
        </w:rPr>
        <w:t>万元，主要用于：</w:t>
      </w:r>
    </w:p>
    <w:p w14:paraId="726501FF">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机关单位基本医疗保险缴费支出。</w:t>
      </w:r>
    </w:p>
    <w:p w14:paraId="41729CB5">
      <w:pPr>
        <w:pStyle w:val="20"/>
        <w:numPr>
          <w:ilvl w:val="0"/>
          <w:numId w:val="0"/>
        </w:numPr>
        <w:ind w:left="638" w:leftChars="290"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6.</w:t>
      </w:r>
      <w:r>
        <w:rPr>
          <w:rFonts w:hint="eastAsia" w:ascii="仿宋_GB2312" w:hAnsi="仿宋_GB2312" w:eastAsia="仿宋_GB2312" w:cs="仿宋_GB2312"/>
        </w:rPr>
        <w:t>卫生健康支出（类）行政事业单位医疗（款）</w:t>
      </w:r>
    </w:p>
    <w:p w14:paraId="49492EE4">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 公务员医疗补助（项）: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11.80</w:t>
      </w:r>
      <w:r>
        <w:rPr>
          <w:rFonts w:hint="eastAsia" w:ascii="仿宋_GB2312" w:hAnsi="仿宋_GB2312" w:eastAsia="仿宋_GB2312" w:cs="仿宋_GB2312"/>
        </w:rPr>
        <w:t>万元，主</w:t>
      </w:r>
    </w:p>
    <w:p w14:paraId="5F7EF4F0">
      <w:pPr>
        <w:pStyle w:val="20"/>
        <w:numPr>
          <w:ilvl w:val="0"/>
          <w:numId w:val="0"/>
        </w:numPr>
        <w:ind w:right="0" w:rightChars="0" w:firstLine="64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rPr>
        <w:t>要用于：机关单位 公务员医疗补助保险缴费支出。</w:t>
      </w:r>
    </w:p>
    <w:p w14:paraId="6CF9ABB3">
      <w:pPr>
        <w:pStyle w:val="20"/>
        <w:ind w:left="638" w:leftChars="290" w:firstLine="64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7.</w:t>
      </w:r>
      <w:r>
        <w:rPr>
          <w:rFonts w:hint="eastAsia" w:ascii="仿宋_GB2312" w:hAnsi="仿宋_GB2312" w:eastAsia="仿宋_GB2312" w:cs="仿宋_GB2312"/>
        </w:rPr>
        <w:t>城乡社区支出（类）城乡社区管理事务（款）</w:t>
      </w:r>
    </w:p>
    <w:p w14:paraId="774A7008">
      <w:pPr>
        <w:pStyle w:val="20"/>
        <w:rPr>
          <w:rFonts w:hint="eastAsia" w:ascii="仿宋_GB2312" w:hAnsi="仿宋_GB2312" w:eastAsia="仿宋_GB2312" w:cs="仿宋_GB2312"/>
        </w:rPr>
      </w:pPr>
      <w:r>
        <w:rPr>
          <w:rFonts w:hint="eastAsia" w:ascii="仿宋_GB2312" w:hAnsi="仿宋_GB2312" w:eastAsia="仿宋_GB2312" w:cs="仿宋_GB2312"/>
        </w:rPr>
        <w:t>行政运行（项）: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1,740.05</w:t>
      </w:r>
      <w:r>
        <w:rPr>
          <w:rFonts w:hint="eastAsia" w:ascii="仿宋_GB2312" w:hAnsi="仿宋_GB2312" w:eastAsia="仿宋_GB2312" w:cs="仿宋_GB2312"/>
        </w:rPr>
        <w:t>万元，主要</w:t>
      </w:r>
    </w:p>
    <w:p w14:paraId="1FF5CF0A">
      <w:pPr>
        <w:pStyle w:val="20"/>
        <w:rPr>
          <w:rFonts w:hint="eastAsia" w:ascii="仿宋_GB2312" w:hAnsi="仿宋_GB2312" w:eastAsia="仿宋_GB2312" w:cs="仿宋_GB2312"/>
        </w:rPr>
      </w:pPr>
      <w:r>
        <w:rPr>
          <w:rFonts w:hint="eastAsia" w:ascii="仿宋_GB2312" w:hAnsi="仿宋_GB2312" w:eastAsia="仿宋_GB2312" w:cs="仿宋_GB2312"/>
        </w:rPr>
        <w:t>用于：机关及参公管理事业单位正常运转的基本支出，</w:t>
      </w:r>
    </w:p>
    <w:p w14:paraId="371D20CA">
      <w:pPr>
        <w:pStyle w:val="20"/>
        <w:rPr>
          <w:rFonts w:hint="eastAsia" w:ascii="仿宋_GB2312" w:hAnsi="仿宋_GB2312" w:eastAsia="仿宋_GB2312" w:cs="仿宋_GB2312"/>
        </w:rPr>
      </w:pPr>
      <w:r>
        <w:rPr>
          <w:rFonts w:hint="eastAsia" w:ascii="仿宋_GB2312" w:hAnsi="仿宋_GB2312" w:eastAsia="仿宋_GB2312" w:cs="仿宋_GB2312"/>
        </w:rPr>
        <w:t>包括基本工资、津贴补贴等人员经费以及办公费、印</w:t>
      </w:r>
    </w:p>
    <w:p w14:paraId="112E2115">
      <w:pPr>
        <w:pStyle w:val="20"/>
        <w:rPr>
          <w:rFonts w:hint="eastAsia" w:ascii="仿宋_GB2312" w:hAnsi="仿宋_GB2312" w:eastAsia="仿宋_GB2312" w:cs="仿宋_GB2312"/>
        </w:rPr>
      </w:pPr>
      <w:r>
        <w:rPr>
          <w:rFonts w:hint="eastAsia" w:ascii="仿宋_GB2312" w:hAnsi="仿宋_GB2312" w:eastAsia="仿宋_GB2312" w:cs="仿宋_GB2312"/>
        </w:rPr>
        <w:t>刷费、水电费等日常公用经费。</w:t>
      </w:r>
    </w:p>
    <w:p w14:paraId="4EACA7C9">
      <w:pPr>
        <w:pStyle w:val="20"/>
        <w:numPr>
          <w:ilvl w:val="0"/>
          <w:numId w:val="0"/>
        </w:numPr>
        <w:ind w:right="0" w:rightChars="0" w:firstLine="1280" w:firstLineChars="400"/>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城乡社区支出（类）城乡社区管理事务（款）</w:t>
      </w:r>
    </w:p>
    <w:p w14:paraId="7D1CB333">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eastAsia="zh-CN"/>
        </w:rPr>
        <w:t>城管执法</w:t>
      </w:r>
      <w:r>
        <w:rPr>
          <w:rFonts w:hint="eastAsia" w:ascii="仿宋_GB2312" w:hAnsi="仿宋_GB2312" w:eastAsia="仿宋_GB2312" w:cs="仿宋_GB2312"/>
        </w:rPr>
        <w:t>（项）: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年预算数为</w:t>
      </w:r>
      <w:r>
        <w:rPr>
          <w:rFonts w:hint="eastAsia" w:ascii="仿宋_GB2312" w:hAnsi="仿宋_GB2312" w:eastAsia="仿宋_GB2312" w:cs="仿宋_GB2312"/>
          <w:lang w:val="en-US" w:eastAsia="zh-CN"/>
        </w:rPr>
        <w:t>52.52</w:t>
      </w:r>
      <w:r>
        <w:rPr>
          <w:rFonts w:hint="eastAsia" w:ascii="仿宋_GB2312" w:hAnsi="仿宋_GB2312" w:eastAsia="仿宋_GB2312" w:cs="仿宋_GB2312"/>
        </w:rPr>
        <w:t>万元，主要用</w:t>
      </w:r>
    </w:p>
    <w:p w14:paraId="7F509A8C">
      <w:pPr>
        <w:pStyle w:val="20"/>
        <w:numPr>
          <w:ilvl w:val="0"/>
          <w:numId w:val="0"/>
        </w:numPr>
        <w:ind w:right="0" w:rightChars="0"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rPr>
        <w:t>于：参公管理事业单位正常运转的基本支出</w:t>
      </w:r>
      <w:r>
        <w:rPr>
          <w:rFonts w:hint="eastAsia" w:ascii="仿宋_GB2312" w:hAnsi="仿宋_GB2312" w:eastAsia="仿宋_GB2312" w:cs="仿宋_GB2312"/>
          <w:lang w:eastAsia="zh-CN"/>
        </w:rPr>
        <w:t>和项目支</w:t>
      </w:r>
    </w:p>
    <w:p w14:paraId="495DA84C">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eastAsia="zh-CN"/>
        </w:rPr>
        <w:t>出</w:t>
      </w:r>
      <w:r>
        <w:rPr>
          <w:rFonts w:hint="eastAsia" w:ascii="仿宋_GB2312" w:hAnsi="仿宋_GB2312" w:eastAsia="仿宋_GB2312" w:cs="仿宋_GB2312"/>
        </w:rPr>
        <w:t>，包括基本工资、津贴补贴等人员经费以及办公</w:t>
      </w:r>
    </w:p>
    <w:p w14:paraId="695BEA19">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费、印刷费、水电费等日常公用经费</w:t>
      </w:r>
      <w:r>
        <w:rPr>
          <w:rFonts w:hint="eastAsia" w:ascii="仿宋_GB2312" w:hAnsi="仿宋_GB2312" w:eastAsia="仿宋_GB2312" w:cs="仿宋_GB2312"/>
          <w:lang w:eastAsia="zh-CN"/>
        </w:rPr>
        <w:t>及</w:t>
      </w:r>
      <w:r>
        <w:rPr>
          <w:rFonts w:hint="eastAsia" w:ascii="仿宋_GB2312" w:hAnsi="仿宋_GB2312" w:eastAsia="仿宋_GB2312" w:cs="仿宋_GB2312"/>
        </w:rPr>
        <w:t>开展其他城乡</w:t>
      </w:r>
    </w:p>
    <w:p w14:paraId="7FD545B3">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社区管理事务方面专门性工作任务的项目支出。</w:t>
      </w:r>
    </w:p>
    <w:p w14:paraId="4CECD59E">
      <w:pPr>
        <w:pStyle w:val="20"/>
        <w:numPr>
          <w:ilvl w:val="0"/>
          <w:numId w:val="0"/>
        </w:numPr>
        <w:ind w:right="0" w:rightChars="0" w:firstLine="1280" w:firstLineChars="400"/>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val="en-US" w:eastAsia="zh-CN"/>
        </w:rPr>
        <w:t>9.</w:t>
      </w:r>
      <w:r>
        <w:rPr>
          <w:rFonts w:hint="eastAsia" w:ascii="仿宋_GB2312" w:hAnsi="仿宋_GB2312" w:eastAsia="仿宋_GB2312" w:cs="仿宋_GB2312"/>
          <w:highlight w:val="none"/>
          <w:lang w:eastAsia="zh-CN"/>
        </w:rPr>
        <w:t>交通运输支出（类）公路水路运输（款）公路</w:t>
      </w:r>
    </w:p>
    <w:p w14:paraId="11385B3F">
      <w:pPr>
        <w:pStyle w:val="20"/>
        <w:numPr>
          <w:ilvl w:val="0"/>
          <w:numId w:val="0"/>
        </w:numPr>
        <w:ind w:right="0" w:rightChars="0" w:firstLine="640" w:firstLineChars="200"/>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运输管理（项）2026</w:t>
      </w:r>
      <w:r>
        <w:rPr>
          <w:rFonts w:hint="eastAsia" w:ascii="仿宋_GB2312" w:hAnsi="仿宋_GB2312" w:eastAsia="仿宋_GB2312" w:cs="仿宋_GB2312"/>
          <w:highlight w:val="none"/>
        </w:rPr>
        <w:t>年预算数为</w:t>
      </w:r>
      <w:r>
        <w:rPr>
          <w:rFonts w:hint="eastAsia" w:ascii="仿宋_GB2312" w:hAnsi="仿宋_GB2312" w:eastAsia="仿宋_GB2312" w:cs="仿宋_GB2312"/>
          <w:highlight w:val="none"/>
          <w:lang w:val="en-US" w:eastAsia="zh-CN"/>
        </w:rPr>
        <w:t>4.2</w:t>
      </w:r>
      <w:r>
        <w:rPr>
          <w:rFonts w:hint="eastAsia" w:ascii="仿宋_GB2312" w:hAnsi="仿宋_GB2312" w:eastAsia="仿宋_GB2312" w:cs="仿宋_GB2312"/>
          <w:highlight w:val="none"/>
        </w:rPr>
        <w:t>万元，主要用于：</w:t>
      </w:r>
    </w:p>
    <w:p w14:paraId="0D4C58FE">
      <w:pPr>
        <w:pStyle w:val="20"/>
        <w:numPr>
          <w:ilvl w:val="0"/>
          <w:numId w:val="0"/>
        </w:numPr>
        <w:ind w:right="0" w:rightChars="0" w:firstLine="640" w:firstLineChars="200"/>
        <w:rPr>
          <w:rFonts w:hint="eastAsia" w:ascii="仿宋_GB2312" w:hAnsi="仿宋_GB2312" w:eastAsia="仿宋_GB2312" w:cs="仿宋_GB2312"/>
          <w:highlight w:val="none"/>
          <w:lang w:eastAsia="zh-CN"/>
        </w:rPr>
      </w:pPr>
      <w:r>
        <w:rPr>
          <w:rFonts w:hint="eastAsia" w:ascii="仿宋_GB2312" w:hAnsi="仿宋_GB2312" w:eastAsia="仿宋_GB2312" w:cs="仿宋_GB2312"/>
          <w:highlight w:val="none"/>
          <w:lang w:eastAsia="zh-CN"/>
        </w:rPr>
        <w:t>公路运输管理支出。</w:t>
      </w:r>
    </w:p>
    <w:p w14:paraId="665A16DB">
      <w:pPr>
        <w:pStyle w:val="20"/>
        <w:numPr>
          <w:ilvl w:val="0"/>
          <w:numId w:val="0"/>
        </w:numPr>
        <w:ind w:left="638" w:leftChars="290"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lang w:val="en-US" w:eastAsia="zh-CN"/>
        </w:rPr>
        <w:t>10.</w:t>
      </w:r>
      <w:r>
        <w:rPr>
          <w:rFonts w:hint="eastAsia" w:ascii="仿宋_GB2312" w:hAnsi="仿宋_GB2312" w:eastAsia="仿宋_GB2312" w:cs="仿宋_GB2312"/>
        </w:rPr>
        <w:t>住房保障（类）住房改革支出（款）住房公积</w:t>
      </w:r>
    </w:p>
    <w:p w14:paraId="2D497949">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金（项）:</w:t>
      </w:r>
      <w:r>
        <w:rPr>
          <w:rFonts w:hint="eastAsia" w:ascii="仿宋_GB2312" w:hAnsi="仿宋_GB2312" w:eastAsia="仿宋_GB2312" w:cs="仿宋_GB2312"/>
          <w:lang w:eastAsia="zh-CN"/>
        </w:rPr>
        <w:t>2026</w:t>
      </w:r>
      <w:r>
        <w:rPr>
          <w:rFonts w:hint="eastAsia" w:ascii="仿宋_GB2312" w:hAnsi="仿宋_GB2312" w:eastAsia="仿宋_GB2312" w:cs="仿宋_GB2312"/>
        </w:rPr>
        <w:t>年预算数131.94万元，主要用于：部门</w:t>
      </w:r>
    </w:p>
    <w:p w14:paraId="410A06AC">
      <w:pPr>
        <w:pStyle w:val="20"/>
        <w:numPr>
          <w:ilvl w:val="0"/>
          <w:numId w:val="0"/>
        </w:numPr>
        <w:ind w:right="0" w:rightChars="0" w:firstLine="640" w:firstLineChars="200"/>
        <w:rPr>
          <w:rFonts w:hint="eastAsia" w:ascii="仿宋_GB2312" w:hAnsi="仿宋_GB2312" w:eastAsia="仿宋_GB2312" w:cs="仿宋_GB2312"/>
        </w:rPr>
      </w:pPr>
      <w:r>
        <w:rPr>
          <w:rFonts w:hint="eastAsia" w:ascii="仿宋_GB2312" w:hAnsi="仿宋_GB2312" w:eastAsia="仿宋_GB2312" w:cs="仿宋_GB2312"/>
        </w:rPr>
        <w:t>按人力资源和社会保障部、财政部规定的基本工资和津</w:t>
      </w:r>
    </w:p>
    <w:p w14:paraId="2313733B">
      <w:pPr>
        <w:pStyle w:val="20"/>
        <w:numPr>
          <w:ilvl w:val="0"/>
          <w:numId w:val="0"/>
        </w:numPr>
        <w:ind w:right="0" w:rightChars="0" w:firstLine="640" w:firstLineChars="200"/>
        <w:rPr>
          <w:rFonts w:hint="eastAsia" w:ascii="宋体" w:hAnsi="宋体"/>
          <w:sz w:val="32"/>
          <w:lang w:val="en-US" w:eastAsia="zh-CN"/>
        </w:rPr>
      </w:pPr>
      <w:r>
        <w:rPr>
          <w:rFonts w:hint="eastAsia" w:ascii="仿宋_GB2312" w:hAnsi="仿宋_GB2312" w:eastAsia="仿宋_GB2312" w:cs="仿宋_GB2312"/>
        </w:rPr>
        <w:t>贴补贴以及规定比例为职工缴纳的住房公积金支出。</w:t>
      </w:r>
    </w:p>
    <w:p w14:paraId="1BDE86CC">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23835"/>
      <w:r>
        <w:rPr>
          <w:rFonts w:hint="eastAsia" w:ascii="宋体" w:hAnsi="宋体" w:eastAsia="黑体"/>
          <w:color w:val="333333"/>
        </w:rPr>
        <w:t>四、一般公共预算基本支出情况说明</w:t>
      </w:r>
      <w:bookmarkEnd w:id="42"/>
    </w:p>
    <w:p w14:paraId="502AFA5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部门2026年一般公共预算基本支出2192.95万元，其中：</w:t>
      </w:r>
    </w:p>
    <w:p w14:paraId="06A3145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人员经费1,849.78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51E7453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仿宋_GB2312" w:hAnsi="仿宋_GB2312" w:eastAsia="仿宋_GB2312" w:cs="仿宋_GB2312"/>
          <w:sz w:val="32"/>
          <w:lang w:val="en-US" w:eastAsia="zh-CN"/>
        </w:rPr>
        <w:t>公用经费343.17万元，主要包括：办公费、印刷费、水费、电费、邮电费、差旅费、维修（护）费、会议费、培训费、公务接待费、劳务费、工会经费、福利费、公务用车运行维护费、其他交通费、其他商品和服务支出。</w:t>
      </w:r>
    </w:p>
    <w:p w14:paraId="69DD7050">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25449"/>
      <w:r>
        <w:rPr>
          <w:rFonts w:hint="eastAsia" w:ascii="宋体" w:hAnsi="宋体" w:eastAsia="黑体"/>
          <w:color w:val="333333"/>
        </w:rPr>
        <w:t>五、“三公”经费财政拨款预算安排情况说明</w:t>
      </w:r>
      <w:bookmarkEnd w:id="43"/>
    </w:p>
    <w:p w14:paraId="5EAFD27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w:t>
      </w:r>
      <w:r>
        <w:rPr>
          <w:rFonts w:hint="eastAsia" w:cs="仿宋_GB2312"/>
          <w:sz w:val="32"/>
          <w:lang w:val="en-US" w:eastAsia="zh-CN"/>
        </w:rPr>
        <w:t>2026</w:t>
      </w:r>
      <w:r>
        <w:rPr>
          <w:rFonts w:hint="eastAsia" w:ascii="仿宋_GB2312" w:hAnsi="仿宋_GB2312" w:eastAsia="仿宋_GB2312" w:cs="仿宋_GB2312"/>
          <w:sz w:val="32"/>
          <w:lang w:val="en-US" w:eastAsia="zh-CN"/>
        </w:rPr>
        <w:t>年“三公”经费财政拨款预算数25万元，其中：公务接待费7万元，公务用车购置0万元，公车运行维护费18万元。</w:t>
      </w:r>
    </w:p>
    <w:p w14:paraId="080FD7C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38" w:leftChars="29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2026年公务接待费计划用于日常工作和特定项目的接待事项等。</w:t>
      </w:r>
    </w:p>
    <w:p w14:paraId="0127756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9633"/>
      <w:r>
        <w:rPr>
          <w:rFonts w:ascii="宋体" w:hAnsi="宋体"/>
        </w:rPr>
        <w:t>（一）</w:t>
      </w:r>
      <w:r>
        <w:rPr>
          <w:rFonts w:hint="eastAsia" w:ascii="宋体" w:hAnsi="宋体"/>
          <w:lang w:val="en-US" w:eastAsia="zh-CN"/>
        </w:rPr>
        <w:t>公务接待费变化情况</w:t>
      </w:r>
      <w:bookmarkEnd w:id="44"/>
    </w:p>
    <w:p w14:paraId="4A7B476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仿宋_GB2312" w:hAnsi="仿宋_GB2312" w:eastAsia="仿宋_GB2312" w:cs="仿宋_GB2312"/>
          <w:sz w:val="32"/>
          <w:lang w:val="en-US" w:eastAsia="zh-CN"/>
        </w:rPr>
        <w:t>公务接待费与此同2025年预算7万元持平。主要原因是厉行节约，压缩接待规模和接待费用。</w:t>
      </w:r>
    </w:p>
    <w:p w14:paraId="22E5A2FE">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1785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14:paraId="6D4EFF6B">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公务用车购置及运行维护费较2025预算18万元预算持平。主要原因是厉行节约，规范公务出行，尽量乘坐公共交通工具。</w:t>
      </w:r>
    </w:p>
    <w:p w14:paraId="7BAE9BC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单位实有公务用车</w:t>
      </w:r>
      <w:r>
        <w:rPr>
          <w:rFonts w:hint="eastAsia" w:cs="仿宋_GB2312"/>
          <w:sz w:val="32"/>
          <w:highlight w:val="none"/>
          <w:lang w:val="en-US" w:eastAsia="zh-CN"/>
        </w:rPr>
        <w:t>8</w:t>
      </w:r>
      <w:r>
        <w:rPr>
          <w:rFonts w:hint="eastAsia" w:ascii="仿宋_GB2312" w:hAnsi="仿宋_GB2312" w:eastAsia="仿宋_GB2312" w:cs="仿宋_GB2312"/>
          <w:sz w:val="32"/>
          <w:highlight w:val="none"/>
          <w:lang w:val="en-US" w:eastAsia="zh-CN"/>
        </w:rPr>
        <w:t>辆，其中：轿车</w:t>
      </w:r>
      <w:r>
        <w:rPr>
          <w:rFonts w:hint="eastAsia" w:cs="仿宋_GB2312"/>
          <w:sz w:val="32"/>
          <w:highlight w:val="none"/>
          <w:lang w:val="en-US" w:eastAsia="zh-CN"/>
        </w:rPr>
        <w:t>8</w:t>
      </w:r>
      <w:r>
        <w:rPr>
          <w:rFonts w:hint="eastAsia" w:ascii="仿宋_GB2312" w:hAnsi="仿宋_GB2312" w:eastAsia="仿宋_GB2312" w:cs="仿宋_GB2312"/>
          <w:sz w:val="32"/>
          <w:highlight w:val="none"/>
          <w:lang w:val="en-US" w:eastAsia="zh-CN"/>
        </w:rPr>
        <w:t>辆，多功能乘用车0辆。</w:t>
      </w:r>
    </w:p>
    <w:p w14:paraId="64B8EBC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highlight w:val="none"/>
          <w:lang w:val="en-US" w:eastAsia="zh-CN"/>
        </w:rPr>
      </w:pPr>
      <w:r>
        <w:rPr>
          <w:rFonts w:hint="eastAsia" w:ascii="仿宋_GB2312" w:hAnsi="仿宋_GB2312" w:eastAsia="仿宋_GB2312" w:cs="仿宋_GB2312"/>
          <w:sz w:val="32"/>
          <w:highlight w:val="none"/>
          <w:lang w:val="en-US" w:eastAsia="zh-CN"/>
        </w:rPr>
        <w:t>2026年安排公务用车购置费50万元，拟购置公务用车</w:t>
      </w:r>
      <w:r>
        <w:rPr>
          <w:rFonts w:hint="eastAsia" w:cs="仿宋_GB2312"/>
          <w:sz w:val="32"/>
          <w:highlight w:val="none"/>
          <w:lang w:val="en-US" w:eastAsia="zh-CN"/>
        </w:rPr>
        <w:t>3</w:t>
      </w:r>
      <w:r>
        <w:rPr>
          <w:rFonts w:hint="eastAsia" w:ascii="仿宋_GB2312" w:hAnsi="仿宋_GB2312" w:eastAsia="仿宋_GB2312" w:cs="仿宋_GB2312"/>
          <w:sz w:val="32"/>
          <w:highlight w:val="none"/>
          <w:lang w:val="en-US" w:eastAsia="zh-CN"/>
        </w:rPr>
        <w:t>辆，其中：轿车1辆，旅行车（含商务车）0辆，越野车</w:t>
      </w:r>
      <w:r>
        <w:rPr>
          <w:rFonts w:hint="eastAsia" w:cs="仿宋_GB2312"/>
          <w:sz w:val="32"/>
          <w:highlight w:val="none"/>
          <w:lang w:val="en-US" w:eastAsia="zh-CN"/>
        </w:rPr>
        <w:t>2</w:t>
      </w:r>
      <w:bookmarkStart w:id="54" w:name="_GoBack"/>
      <w:bookmarkEnd w:id="54"/>
      <w:r>
        <w:rPr>
          <w:rFonts w:hint="eastAsia" w:ascii="仿宋_GB2312" w:hAnsi="仿宋_GB2312" w:eastAsia="仿宋_GB2312" w:cs="仿宋_GB2312"/>
          <w:sz w:val="32"/>
          <w:highlight w:val="none"/>
          <w:lang w:val="en-US" w:eastAsia="zh-CN"/>
        </w:rPr>
        <w:t>辆，大型客、货车0辆。</w:t>
      </w:r>
    </w:p>
    <w:p w14:paraId="75F4CF8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38" w:leftChars="29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highlight w:val="none"/>
          <w:lang w:val="en-US" w:eastAsia="zh-CN"/>
        </w:rPr>
        <w:t>2026年安排公务用车运行维护费18万元，用于</w:t>
      </w:r>
      <w:r>
        <w:rPr>
          <w:rFonts w:hint="eastAsia" w:cs="仿宋_GB2312"/>
          <w:sz w:val="32"/>
          <w:highlight w:val="none"/>
          <w:lang w:val="en-US" w:eastAsia="zh-CN"/>
        </w:rPr>
        <w:t>8</w:t>
      </w:r>
      <w:r>
        <w:rPr>
          <w:rFonts w:hint="eastAsia" w:ascii="仿宋_GB2312" w:hAnsi="仿宋_GB2312" w:eastAsia="仿宋_GB2312" w:cs="仿宋_GB2312"/>
          <w:sz w:val="32"/>
          <w:highlight w:val="none"/>
          <w:lang w:val="en-US" w:eastAsia="zh-CN"/>
        </w:rPr>
        <w:t>辆公务用</w:t>
      </w:r>
      <w:r>
        <w:rPr>
          <w:rFonts w:hint="eastAsia" w:ascii="仿宋_GB2312" w:hAnsi="仿宋_GB2312" w:eastAsia="仿宋_GB2312" w:cs="仿宋_GB2312"/>
          <w:sz w:val="32"/>
          <w:lang w:val="en-US" w:eastAsia="zh-CN"/>
        </w:rPr>
        <w:t>车应急保障和执法执勤等工作所需的公务用车汽油费、维修费、过路过桥费、保险费、停车费等支出。</w:t>
      </w:r>
    </w:p>
    <w:p w14:paraId="725C705E">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16012"/>
      <w:r>
        <w:rPr>
          <w:rFonts w:hint="eastAsia" w:ascii="宋体" w:hAnsi="宋体" w:eastAsia="黑体"/>
          <w:color w:val="333333"/>
        </w:rPr>
        <w:t>六、政府性基金预算支出情况说明</w:t>
      </w:r>
      <w:bookmarkEnd w:id="46"/>
    </w:p>
    <w:p w14:paraId="71128CD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eastAsia="仿宋_GB2312" w:cs="仿宋_GB2312"/>
          <w:sz w:val="32"/>
          <w:szCs w:val="22"/>
          <w:lang w:val="en-US" w:eastAsia="zh-CN" w:bidi="zh-CN"/>
        </w:rPr>
        <w:t>五通桥区综合行政执法局</w:t>
      </w:r>
      <w:r>
        <w:rPr>
          <w:rFonts w:hint="default" w:ascii="宋体" w:hAnsi="宋体"/>
          <w:sz w:val="32"/>
          <w:lang w:val="en-US" w:eastAsia="zh-CN"/>
        </w:rPr>
        <w:t>部门</w:t>
      </w:r>
      <w:r>
        <w:rPr>
          <w:rFonts w:hint="eastAsia" w:ascii="宋体" w:hAnsi="宋体"/>
          <w:sz w:val="32"/>
          <w:lang w:val="en-US" w:eastAsia="zh-CN"/>
        </w:rPr>
        <w:t>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44C713D9">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24680"/>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14:paraId="41A381C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部门2026年国有资本经营预算拨款安排支出0万元,较上年预算数持平。</w:t>
      </w:r>
    </w:p>
    <w:p w14:paraId="3BA07D11">
      <w:pPr>
        <w:pStyle w:val="5"/>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20200"/>
      <w:r>
        <w:rPr>
          <w:rFonts w:hint="eastAsia" w:ascii="宋体" w:hAnsi="宋体" w:eastAsia="黑体"/>
          <w:color w:val="333333"/>
          <w:lang w:val="en-US" w:eastAsia="zh-CN"/>
        </w:rPr>
        <w:t>八、其他重要事项的情况说明</w:t>
      </w:r>
      <w:bookmarkEnd w:id="48"/>
    </w:p>
    <w:p w14:paraId="3649CCC2">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23646"/>
      <w:r>
        <w:rPr>
          <w:rFonts w:ascii="宋体" w:hAnsi="宋体"/>
        </w:rPr>
        <w:t>（一）机关运行经费情况</w:t>
      </w:r>
      <w:bookmarkEnd w:id="49"/>
    </w:p>
    <w:p w14:paraId="517D0AF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38" w:leftChars="29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highlight w:val="none"/>
          <w:lang w:val="en-US" w:eastAsia="zh-CN"/>
        </w:rPr>
        <w:t>2026年，五通桥区综合行政执法局部门下属五通桥区综合行政执法局机关、五通桥区城市管理监察大队1家行政单位、1家参公管理事业单位以及0家事业单位的机关运行经费财政拨款预算为343.17万元，比2025年预算331.62万元增加11.55万元，增长3.48%。主要原因是其他商品和服务支出等比上</w:t>
      </w:r>
      <w:r>
        <w:rPr>
          <w:rFonts w:hint="eastAsia" w:ascii="仿宋_GB2312" w:hAnsi="仿宋_GB2312" w:eastAsia="仿宋_GB2312" w:cs="仿宋_GB2312"/>
          <w:sz w:val="32"/>
          <w:lang w:val="en-US" w:eastAsia="zh-CN"/>
        </w:rPr>
        <w:t>年增加收所致。</w:t>
      </w:r>
    </w:p>
    <w:p w14:paraId="2FFA690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27019"/>
      <w:r>
        <w:rPr>
          <w:rFonts w:ascii="宋体" w:hAnsi="宋体"/>
        </w:rPr>
        <w:t>（二）政府采购情况</w:t>
      </w:r>
      <w:bookmarkEnd w:id="50"/>
    </w:p>
    <w:p w14:paraId="0B94807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w:t>
      </w: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部门政府采购项目0万元。其中，政府采购货物预算0万元；政府采购工程预算0万元；政府采购服务预算0万元。</w:t>
      </w:r>
    </w:p>
    <w:p w14:paraId="067AD97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8197"/>
      <w:r>
        <w:rPr>
          <w:rFonts w:ascii="宋体" w:hAnsi="宋体"/>
        </w:rPr>
        <w:t>（三）国有资产占有使用情况</w:t>
      </w:r>
      <w:bookmarkEnd w:id="51"/>
    </w:p>
    <w:p w14:paraId="3B90E286">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截至2026年底，</w:t>
      </w:r>
      <w:r>
        <w:rPr>
          <w:rFonts w:hint="eastAsia" w:ascii="仿宋_GB2312" w:hAnsi="仿宋_GB2312" w:eastAsia="仿宋_GB2312" w:cs="仿宋_GB2312"/>
          <w:sz w:val="32"/>
          <w:szCs w:val="22"/>
          <w:lang w:val="en-US" w:eastAsia="zh-CN" w:bidi="zh-CN"/>
        </w:rPr>
        <w:t>五通桥区综合行政执法局</w:t>
      </w:r>
      <w:r>
        <w:rPr>
          <w:rFonts w:hint="eastAsia" w:ascii="仿宋_GB2312" w:hAnsi="仿宋_GB2312" w:eastAsia="仿宋_GB2312" w:cs="仿宋_GB2312"/>
          <w:sz w:val="32"/>
          <w:lang w:val="en-US" w:eastAsia="zh-CN"/>
        </w:rPr>
        <w:t>部门所属各预算单位共有车辆</w:t>
      </w:r>
      <w:r>
        <w:rPr>
          <w:rFonts w:hint="eastAsia" w:cs="仿宋_GB2312"/>
          <w:sz w:val="32"/>
          <w:lang w:val="en-US" w:eastAsia="zh-CN"/>
        </w:rPr>
        <w:t>19</w:t>
      </w:r>
      <w:r>
        <w:rPr>
          <w:rFonts w:hint="eastAsia" w:ascii="仿宋_GB2312" w:hAnsi="仿宋_GB2312" w:eastAsia="仿宋_GB2312" w:cs="仿宋_GB2312"/>
          <w:sz w:val="32"/>
          <w:lang w:val="en-US" w:eastAsia="zh-CN"/>
        </w:rPr>
        <w:t>辆。单位价值100万元以上大型设备0套。</w:t>
      </w:r>
    </w:p>
    <w:p w14:paraId="5F471552">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2026年部门预算安排车辆购置费0万元。未安排购置单位价值100万元以上大型设备。</w:t>
      </w:r>
    </w:p>
    <w:p w14:paraId="2BDCAA0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9862"/>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14:paraId="375EC02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highlight w:val="none"/>
          <w:lang w:val="en-US" w:eastAsia="zh-CN"/>
        </w:rPr>
        <w:t>2026年</w:t>
      </w:r>
      <w:r>
        <w:rPr>
          <w:rFonts w:hint="eastAsia" w:ascii="仿宋_GB2312" w:hAnsi="仿宋_GB2312" w:eastAsia="仿宋_GB2312" w:cs="仿宋_GB2312"/>
          <w:sz w:val="32"/>
          <w:szCs w:val="32"/>
          <w:highlight w:val="none"/>
          <w:lang w:val="en-US" w:eastAsia="zh-CN" w:bidi="zh-CN"/>
        </w:rPr>
        <w:t>五</w:t>
      </w:r>
      <w:r>
        <w:rPr>
          <w:rFonts w:hint="eastAsia" w:ascii="仿宋_GB2312" w:hAnsi="仿宋_GB2312" w:eastAsia="仿宋_GB2312" w:cs="仿宋_GB2312"/>
          <w:sz w:val="32"/>
          <w:szCs w:val="32"/>
          <w:lang w:val="en-US" w:eastAsia="zh-CN" w:bidi="zh-CN"/>
        </w:rPr>
        <w:t>通桥区综合行政执法局</w:t>
      </w:r>
      <w:r>
        <w:rPr>
          <w:rFonts w:hint="eastAsia" w:ascii="仿宋_GB2312" w:hAnsi="仿宋_GB2312" w:eastAsia="仿宋_GB2312" w:cs="仿宋_GB2312"/>
          <w:sz w:val="32"/>
          <w:szCs w:val="32"/>
          <w:lang w:val="en-US" w:eastAsia="zh-CN"/>
        </w:rPr>
        <w:t>开展绩效目标管理的项目24个，涉及预算2349.67万元。其中：人员类项目10个，涉及预算1849.78万元；运转类项目6个，涉及预算343.17万元；特定目标类项目 8个，涉及预算156.72万元。</w:t>
      </w:r>
    </w:p>
    <w:p w14:paraId="07FD4BDD">
      <w:pPr>
        <w:pStyle w:val="5"/>
        <w:spacing w:before="0"/>
        <w:ind w:right="0"/>
        <w:jc w:val="both"/>
        <w:rPr>
          <w:rFonts w:hint="eastAsia" w:ascii="仿宋_GB2312" w:hAnsi="仿宋_GB2312" w:eastAsia="仿宋_GB2312" w:cs="仿宋_GB2312"/>
          <w:spacing w:val="6"/>
          <w:sz w:val="32"/>
          <w:szCs w:val="32"/>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7F07FF0E">
      <w:pPr>
        <w:rPr>
          <w:rFonts w:ascii="宋体" w:hAnsi="宋体"/>
        </w:rPr>
      </w:pPr>
    </w:p>
    <w:p w14:paraId="248E011F">
      <w:pPr>
        <w:pStyle w:val="5"/>
        <w:rPr>
          <w:rFonts w:ascii="宋体" w:hAnsi="宋体"/>
          <w:sz w:val="20"/>
        </w:rPr>
      </w:pPr>
    </w:p>
    <w:p w14:paraId="03E23869">
      <w:pPr>
        <w:pStyle w:val="5"/>
        <w:rPr>
          <w:rFonts w:ascii="宋体" w:hAnsi="宋体"/>
          <w:sz w:val="20"/>
        </w:rPr>
      </w:pPr>
    </w:p>
    <w:p w14:paraId="52507747">
      <w:pPr>
        <w:pStyle w:val="5"/>
        <w:rPr>
          <w:rFonts w:ascii="宋体" w:hAnsi="宋体"/>
          <w:sz w:val="20"/>
        </w:rPr>
      </w:pPr>
    </w:p>
    <w:p w14:paraId="16A45318">
      <w:pPr>
        <w:pStyle w:val="5"/>
        <w:rPr>
          <w:rFonts w:ascii="宋体" w:hAnsi="宋体"/>
          <w:sz w:val="20"/>
        </w:rPr>
      </w:pPr>
    </w:p>
    <w:p w14:paraId="4856063A">
      <w:pPr>
        <w:pStyle w:val="5"/>
        <w:rPr>
          <w:rFonts w:ascii="宋体" w:hAnsi="宋体"/>
          <w:sz w:val="20"/>
        </w:rPr>
      </w:pPr>
    </w:p>
    <w:p w14:paraId="0CB7F5DE">
      <w:pPr>
        <w:pStyle w:val="5"/>
        <w:rPr>
          <w:rFonts w:ascii="宋体" w:hAnsi="宋体"/>
          <w:sz w:val="20"/>
        </w:rPr>
      </w:pPr>
    </w:p>
    <w:p w14:paraId="32CFBDFF">
      <w:pPr>
        <w:pStyle w:val="5"/>
        <w:rPr>
          <w:rFonts w:ascii="宋体" w:hAnsi="宋体"/>
          <w:sz w:val="20"/>
        </w:rPr>
      </w:pPr>
    </w:p>
    <w:p w14:paraId="4B2BD816">
      <w:pPr>
        <w:pStyle w:val="5"/>
        <w:rPr>
          <w:rFonts w:ascii="宋体" w:hAnsi="宋体"/>
          <w:sz w:val="20"/>
        </w:rPr>
      </w:pPr>
    </w:p>
    <w:p w14:paraId="38AAF397">
      <w:pPr>
        <w:pStyle w:val="5"/>
        <w:rPr>
          <w:rFonts w:ascii="宋体" w:hAnsi="宋体"/>
          <w:sz w:val="20"/>
        </w:rPr>
      </w:pPr>
    </w:p>
    <w:p w14:paraId="65F2477E">
      <w:pPr>
        <w:pStyle w:val="5"/>
        <w:rPr>
          <w:rFonts w:ascii="宋体" w:hAnsi="宋体"/>
          <w:sz w:val="20"/>
        </w:rPr>
      </w:pPr>
    </w:p>
    <w:p w14:paraId="432A7747">
      <w:pPr>
        <w:pStyle w:val="5"/>
        <w:rPr>
          <w:rFonts w:ascii="宋体" w:hAnsi="宋体"/>
          <w:sz w:val="20"/>
        </w:rPr>
      </w:pPr>
    </w:p>
    <w:p w14:paraId="12AF9A2E">
      <w:pPr>
        <w:pStyle w:val="5"/>
        <w:rPr>
          <w:rFonts w:ascii="宋体" w:hAnsi="宋体"/>
          <w:sz w:val="20"/>
        </w:rPr>
      </w:pPr>
    </w:p>
    <w:p w14:paraId="1563B395">
      <w:pPr>
        <w:pStyle w:val="5"/>
        <w:rPr>
          <w:rFonts w:ascii="宋体" w:hAnsi="宋体"/>
          <w:sz w:val="20"/>
        </w:rPr>
      </w:pPr>
    </w:p>
    <w:p w14:paraId="3B3BEEBE">
      <w:pPr>
        <w:pStyle w:val="5"/>
        <w:rPr>
          <w:rFonts w:ascii="宋体" w:hAnsi="宋体"/>
          <w:sz w:val="20"/>
        </w:rPr>
      </w:pPr>
    </w:p>
    <w:p w14:paraId="49278F08">
      <w:pPr>
        <w:pStyle w:val="5"/>
        <w:rPr>
          <w:rFonts w:ascii="宋体" w:hAnsi="宋体"/>
          <w:sz w:val="20"/>
        </w:rPr>
      </w:pPr>
    </w:p>
    <w:p w14:paraId="1C5955EC">
      <w:pPr>
        <w:pStyle w:val="5"/>
        <w:rPr>
          <w:rFonts w:ascii="宋体" w:hAnsi="宋体"/>
          <w:sz w:val="20"/>
        </w:rPr>
      </w:pPr>
    </w:p>
    <w:p w14:paraId="23184791">
      <w:pPr>
        <w:pStyle w:val="5"/>
        <w:rPr>
          <w:rFonts w:ascii="宋体" w:hAnsi="宋体"/>
          <w:sz w:val="20"/>
        </w:rPr>
      </w:pPr>
    </w:p>
    <w:p w14:paraId="3601A2FA">
      <w:pPr>
        <w:pStyle w:val="5"/>
        <w:rPr>
          <w:rFonts w:ascii="宋体" w:hAnsi="宋体"/>
          <w:sz w:val="20"/>
        </w:rPr>
      </w:pPr>
    </w:p>
    <w:p w14:paraId="2F0947C4">
      <w:pPr>
        <w:pStyle w:val="5"/>
        <w:rPr>
          <w:rFonts w:ascii="宋体" w:hAnsi="宋体"/>
          <w:sz w:val="20"/>
        </w:rPr>
      </w:pPr>
    </w:p>
    <w:p w14:paraId="7B0B2F41">
      <w:pPr>
        <w:pStyle w:val="5"/>
        <w:rPr>
          <w:rFonts w:ascii="宋体" w:hAnsi="宋体"/>
          <w:sz w:val="20"/>
        </w:rPr>
      </w:pPr>
    </w:p>
    <w:p w14:paraId="28B44F7F">
      <w:pPr>
        <w:pStyle w:val="5"/>
        <w:rPr>
          <w:rFonts w:ascii="宋体" w:hAnsi="宋体"/>
          <w:sz w:val="20"/>
        </w:rPr>
      </w:pPr>
    </w:p>
    <w:p w14:paraId="60BD7718">
      <w:pPr>
        <w:pStyle w:val="5"/>
        <w:jc w:val="center"/>
        <w:outlineLvl w:val="0"/>
        <w:rPr>
          <w:rFonts w:hint="eastAsia" w:ascii="宋体" w:hAnsi="宋体" w:eastAsia="方正小标宋简体" w:cs="方正小标宋简体"/>
          <w:sz w:val="52"/>
          <w:szCs w:val="52"/>
          <w:lang w:val="en-US" w:eastAsia="zh-CN"/>
        </w:rPr>
      </w:pPr>
      <w:bookmarkStart w:id="53" w:name="_Toc2406"/>
      <w:r>
        <w:rPr>
          <w:rFonts w:hint="eastAsia" w:ascii="宋体" w:hAnsi="宋体" w:eastAsia="方正小标宋简体" w:cs="方正小标宋简体"/>
          <w:sz w:val="52"/>
          <w:szCs w:val="52"/>
          <w:lang w:val="en-US" w:eastAsia="zh-CN"/>
        </w:rPr>
        <w:t>第四部分  名词解释</w:t>
      </w:r>
      <w:bookmarkEnd w:id="53"/>
    </w:p>
    <w:p w14:paraId="11ADED20">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397F4FD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1.财政拨款收支情况：是指一般公共预算、政府性基金预算、国有资本经营预算拨款收支情况。</w:t>
      </w:r>
    </w:p>
    <w:p w14:paraId="2A64CFF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2.一般公共预算拨款收入：指区级财政当年拨付的资金。</w:t>
      </w:r>
    </w:p>
    <w:p w14:paraId="4AA29E20">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3.事业收入：指事业单位开展专业业务活动及辅助活动所取得的收入。</w:t>
      </w:r>
    </w:p>
    <w:p w14:paraId="64B73D6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4.事业单位经营收入：指事业单位在专业业务活动及其辅助活动之外开展非独立核算经营活动取得的收入。</w:t>
      </w:r>
    </w:p>
    <w:p w14:paraId="3E5FD39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5.其他收入：指除上述“一般公共预算拨款收入”、“事业收入”、“事业单位经营收入”等以外的收入。主要是利息收入、国有资产出租收入等。</w:t>
      </w:r>
    </w:p>
    <w:p w14:paraId="60BDA648">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435F2A1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7.上年结转：指以前年度尚未完成，结转到本年仍按原规定用途继续使用的资金。</w:t>
      </w:r>
    </w:p>
    <w:p w14:paraId="1CA5DD3F">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8.社会保障和就业（类）行政事业单位离退休（款）事业单位离退休（项）：指离退休人员的支出。</w:t>
      </w:r>
    </w:p>
    <w:p w14:paraId="5903A62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9.社会保障和就业（类）行政事业单位离退休（款）未归口管理的行政单位离退休（项）：指离退休人员的支出。</w:t>
      </w:r>
    </w:p>
    <w:p w14:paraId="6DFD456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10.社会保障和就业（类）行政事业单位离退休（款）机关事业单位基本养老保险缴费支出（项）：指部门实施养老保险制度由单位缴纳的养老保险费的支出。</w:t>
      </w:r>
    </w:p>
    <w:p w14:paraId="78B9D58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11.社会保障和就业（类）行政事业单位离退休（款）机关事业单位职业年金缴费支出（项）：指部门实施养老保险制度由单位缴纳的职业年金的支出。</w:t>
      </w:r>
    </w:p>
    <w:p w14:paraId="53E0664A">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12.社会保障和就业（类）其他社会保障和就业（款）其他社会保障和就业支出（项）：指除上述项目外，其他用于行政事业单位离退休方面的支出。</w:t>
      </w:r>
    </w:p>
    <w:p w14:paraId="3AC75414">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13.卫生健康（类）行政事业单位医疗（款）行政单位医疗（项）：指行政单位及参公管理事业单位用于缴纳单位基本医疗保险支出。</w:t>
      </w:r>
    </w:p>
    <w:p w14:paraId="4C55E5C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14.卫生健康（类）行政事业单位医疗（款）事业单位医疗（项）：指事业单位用于缴纳单位基本医疗保险支出。</w:t>
      </w:r>
    </w:p>
    <w:p w14:paraId="38EA3EC1">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15.卫生健康（类）行政事业单位医疗（款）公务员医疗补助（项）：指行政单位及参公管理事业单位用于集中缴纳公务员医疗补助支出。</w:t>
      </w:r>
    </w:p>
    <w:p w14:paraId="62C267B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16.住房保障（类）住房改革支出（款）住房公积金（项）：指由单位及其在职职工按规定缴存的住房公积金支出。</w:t>
      </w:r>
    </w:p>
    <w:p w14:paraId="2AD6539D">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17.基本支出：指为保证机构正常运转，完成日常工作任务而发生的人员支出和公用支出。</w:t>
      </w:r>
    </w:p>
    <w:p w14:paraId="4DFFAC1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18.项目支出：指在基本支出之外为完成特定行政任务和事业发展目标所发生的支出。</w:t>
      </w:r>
    </w:p>
    <w:p w14:paraId="0DE9C295">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3255153">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lang w:val="en-US" w:eastAsia="zh-CN"/>
        </w:rPr>
        <w:t>20.城乡社区支出（类）城乡社区管理事务（款）行政运行（项）是指行政单位（包括实行公务员管理的事业单位）在城乡</w:t>
      </w:r>
      <w:r>
        <w:rPr>
          <w:rFonts w:hint="eastAsia" w:ascii="仿宋_GB2312" w:hAnsi="仿宋_GB2312" w:eastAsia="仿宋_GB2312" w:cs="仿宋_GB2312"/>
          <w:sz w:val="32"/>
          <w:szCs w:val="22"/>
          <w:lang w:val="en-US" w:eastAsia="zh-CN" w:bidi="zh-CN"/>
        </w:rPr>
        <w:t>社区管理事务中的基本支出。</w:t>
      </w:r>
    </w:p>
    <w:p w14:paraId="04761BD7">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szCs w:val="22"/>
          <w:lang w:val="en-US" w:eastAsia="zh-CN" w:bidi="zh-CN"/>
        </w:rPr>
      </w:pPr>
      <w:r>
        <w:rPr>
          <w:rFonts w:hint="eastAsia" w:ascii="仿宋_GB2312" w:hAnsi="仿宋_GB2312" w:eastAsia="仿宋_GB2312" w:cs="仿宋_GB2312"/>
          <w:sz w:val="32"/>
          <w:szCs w:val="22"/>
          <w:lang w:val="en-US" w:eastAsia="zh-CN" w:bidi="zh-CN"/>
        </w:rPr>
        <w:t>21.城乡社区支出（类）城乡社区管理事务（款）城管执法（项）是指用于城市管理综合行政执法、加强城市市容和环境卫生管理方面的支出。</w:t>
      </w:r>
    </w:p>
    <w:p w14:paraId="79B04AAC">
      <w:pPr>
        <w:pStyle w:val="15"/>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szCs w:val="22"/>
          <w:lang w:val="en-US" w:eastAsia="zh-CN" w:bidi="zh-CN"/>
        </w:rPr>
        <w:t>22.交通运输支出（类）反映交通运输和邮政业方面的支出。公路水路运输（款）：反映公路水路运输</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032C91-7927-423E-A8F5-A4359CBA4D8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embedRegular r:id="rId2" w:fontKey="{C6FC94F5-D97F-4164-A52A-07B5DE5D3785}"/>
  </w:font>
  <w:font w:name="仿宋_GB2312">
    <w:panose1 w:val="02010609030101010101"/>
    <w:charset w:val="86"/>
    <w:family w:val="modern"/>
    <w:pitch w:val="default"/>
    <w:sig w:usb0="00000001" w:usb1="080E0000" w:usb2="00000000" w:usb3="00000000" w:csb0="00040000" w:csb1="00000000"/>
    <w:embedRegular r:id="rId3" w:fontKey="{C271056A-2F86-496D-B9C5-A05406D4190C}"/>
  </w:font>
  <w:font w:name="方正小标宋简体">
    <w:panose1 w:val="03000509000000000000"/>
    <w:charset w:val="86"/>
    <w:family w:val="script"/>
    <w:pitch w:val="default"/>
    <w:sig w:usb0="00000001" w:usb1="080E0000" w:usb2="00000000" w:usb3="00000000" w:csb0="00040000" w:csb1="00000000"/>
    <w:embedRegular r:id="rId4" w:fontKey="{019416AC-4F46-4B7B-8B57-41727C107635}"/>
  </w:font>
  <w:font w:name="楷体_GB2312">
    <w:panose1 w:val="02010609030101010101"/>
    <w:charset w:val="86"/>
    <w:family w:val="modern"/>
    <w:pitch w:val="default"/>
    <w:sig w:usb0="00000001" w:usb1="080E0000" w:usb2="00000000" w:usb3="00000000" w:csb0="00040000" w:csb1="00000000"/>
    <w:embedRegular r:id="rId5" w:fontKey="{91A1FB6C-538A-4F29-8CD2-5FD73DF0D6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642C8">
    <w:pPr>
      <w:pStyle w:val="5"/>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DDFC5B">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9DDFC5B">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80E7F">
    <w:pPr>
      <w:pStyle w:val="5"/>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17B8F6">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717B8F6">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F3C6A">
    <w:pPr>
      <w:pStyle w:val="5"/>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A9033">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B6A9033">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195FB">
    <w:pPr>
      <w:pStyle w:val="5"/>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86BEE">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C86BEE">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B42C9">
    <w:pPr>
      <w:pStyle w:val="5"/>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C1C14">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28C1C14">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75337">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6B2B6">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FBABB">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65F19">
    <w:pPr>
      <w:pStyle w:val="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38537">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abstractNum w:abstractNumId="2">
    <w:nsid w:val="70D20D9D"/>
    <w:multiLevelType w:val="singleLevel"/>
    <w:tmpl w:val="70D20D9D"/>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2FlMGQyNDEzM2Q3ODNlYmRhZTM0YmMzNGFlY2MifQ=="/>
    <w:docVar w:name="KSO_WPS_MARK_KEY" w:val="48d2c7c5-5ca7-4a62-94c0-78ba1c7e0ebc"/>
  </w:docVars>
  <w:rsids>
    <w:rsidRoot w:val="00000000"/>
    <w:rsid w:val="00905275"/>
    <w:rsid w:val="026305F6"/>
    <w:rsid w:val="02ED1707"/>
    <w:rsid w:val="02F925FF"/>
    <w:rsid w:val="04D2672A"/>
    <w:rsid w:val="07714F40"/>
    <w:rsid w:val="08F93370"/>
    <w:rsid w:val="0A953925"/>
    <w:rsid w:val="0B064214"/>
    <w:rsid w:val="0B3E687F"/>
    <w:rsid w:val="0BF47E87"/>
    <w:rsid w:val="0DBA7ED3"/>
    <w:rsid w:val="0E5928AD"/>
    <w:rsid w:val="0E625C06"/>
    <w:rsid w:val="0E8A0CB9"/>
    <w:rsid w:val="10F839AE"/>
    <w:rsid w:val="13B861FD"/>
    <w:rsid w:val="13CB5FFB"/>
    <w:rsid w:val="14841FFF"/>
    <w:rsid w:val="15F47891"/>
    <w:rsid w:val="169A1131"/>
    <w:rsid w:val="18D94D16"/>
    <w:rsid w:val="19F16090"/>
    <w:rsid w:val="1A1F76BE"/>
    <w:rsid w:val="1B810768"/>
    <w:rsid w:val="1BC33A5C"/>
    <w:rsid w:val="1C4565B4"/>
    <w:rsid w:val="1E9115A9"/>
    <w:rsid w:val="1EA221E7"/>
    <w:rsid w:val="1FE35080"/>
    <w:rsid w:val="205A54FB"/>
    <w:rsid w:val="20D9567F"/>
    <w:rsid w:val="21091F11"/>
    <w:rsid w:val="21211D8E"/>
    <w:rsid w:val="21724B6C"/>
    <w:rsid w:val="22602F00"/>
    <w:rsid w:val="240622C9"/>
    <w:rsid w:val="247F2477"/>
    <w:rsid w:val="28B22E8E"/>
    <w:rsid w:val="2A241B69"/>
    <w:rsid w:val="2AD53EA1"/>
    <w:rsid w:val="2B29196D"/>
    <w:rsid w:val="2BD66371"/>
    <w:rsid w:val="2E3F357F"/>
    <w:rsid w:val="312B1A2F"/>
    <w:rsid w:val="3170631D"/>
    <w:rsid w:val="31A25D25"/>
    <w:rsid w:val="32E03AEE"/>
    <w:rsid w:val="34802092"/>
    <w:rsid w:val="348A3A1B"/>
    <w:rsid w:val="3789258E"/>
    <w:rsid w:val="39057D83"/>
    <w:rsid w:val="3AD04499"/>
    <w:rsid w:val="3CF26F83"/>
    <w:rsid w:val="3FE64B44"/>
    <w:rsid w:val="4081341A"/>
    <w:rsid w:val="41487F73"/>
    <w:rsid w:val="423E334E"/>
    <w:rsid w:val="433F136A"/>
    <w:rsid w:val="44024872"/>
    <w:rsid w:val="45B15B1B"/>
    <w:rsid w:val="45C64457"/>
    <w:rsid w:val="46577392"/>
    <w:rsid w:val="47705F96"/>
    <w:rsid w:val="47A6578C"/>
    <w:rsid w:val="484A5135"/>
    <w:rsid w:val="496E4757"/>
    <w:rsid w:val="49AB1508"/>
    <w:rsid w:val="4A001853"/>
    <w:rsid w:val="4D3C563B"/>
    <w:rsid w:val="54BB49E6"/>
    <w:rsid w:val="54C30EEA"/>
    <w:rsid w:val="5543046B"/>
    <w:rsid w:val="56206BB9"/>
    <w:rsid w:val="566075AC"/>
    <w:rsid w:val="56D55170"/>
    <w:rsid w:val="56EC5EB2"/>
    <w:rsid w:val="58EE6347"/>
    <w:rsid w:val="595D270D"/>
    <w:rsid w:val="595E3E2E"/>
    <w:rsid w:val="5AE90F4A"/>
    <w:rsid w:val="5B65451D"/>
    <w:rsid w:val="5DE16B8F"/>
    <w:rsid w:val="607839F0"/>
    <w:rsid w:val="60BD2413"/>
    <w:rsid w:val="63FD2D91"/>
    <w:rsid w:val="65475B45"/>
    <w:rsid w:val="6BEA1BF9"/>
    <w:rsid w:val="6FC435F9"/>
    <w:rsid w:val="72031631"/>
    <w:rsid w:val="7209340F"/>
    <w:rsid w:val="72296778"/>
    <w:rsid w:val="76A30804"/>
    <w:rsid w:val="76C05D43"/>
    <w:rsid w:val="799847CF"/>
    <w:rsid w:val="7C6130B2"/>
    <w:rsid w:val="7D6035F5"/>
    <w:rsid w:val="7DB85A24"/>
    <w:rsid w:val="7FE42A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Body Text"/>
    <w:basedOn w:val="1"/>
    <w:qFormat/>
    <w:uiPriority w:val="1"/>
    <w:rPr>
      <w:rFonts w:ascii="仿宋_GB2312" w:hAnsi="仿宋_GB2312" w:eastAsia="仿宋_GB2312" w:cs="仿宋_GB2312"/>
      <w:sz w:val="32"/>
      <w:szCs w:val="32"/>
      <w:lang w:val="zh-CN" w:eastAsia="zh-CN" w:bidi="zh-CN"/>
    </w:rPr>
  </w:style>
  <w:style w:type="paragraph" w:styleId="6">
    <w:name w:val="Body Text Indent"/>
    <w:basedOn w:val="1"/>
    <w:qFormat/>
    <w:uiPriority w:val="99"/>
    <w:pPr>
      <w:spacing w:after="120"/>
      <w:ind w:left="420" w:leftChars="200"/>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2"/>
    <w:basedOn w:val="1"/>
    <w:next w:val="1"/>
    <w:autoRedefine/>
    <w:qFormat/>
    <w:uiPriority w:val="0"/>
    <w:pPr>
      <w:ind w:left="420" w:leftChars="200"/>
    </w:pPr>
  </w:style>
  <w:style w:type="paragraph" w:styleId="11">
    <w:name w:val="Body Text First Indent 2"/>
    <w:basedOn w:val="6"/>
    <w:next w:val="5"/>
    <w:autoRedefine/>
    <w:qFormat/>
    <w:uiPriority w:val="99"/>
    <w:pPr>
      <w:ind w:firstLine="420" w:firstLineChars="200"/>
    </w:pPr>
  </w:style>
  <w:style w:type="table" w:customStyle="1" w:styleId="14">
    <w:name w:val="Table Normal"/>
    <w:autoRedefine/>
    <w:semiHidden/>
    <w:unhideWhenUsed/>
    <w:qFormat/>
    <w:uiPriority w:val="2"/>
    <w:tblPr>
      <w:tblCellMar>
        <w:top w:w="0" w:type="dxa"/>
        <w:left w:w="0" w:type="dxa"/>
        <w:bottom w:w="0" w:type="dxa"/>
        <w:right w:w="0" w:type="dxa"/>
      </w:tblCellMar>
    </w:tblPr>
  </w:style>
  <w:style w:type="paragraph" w:styleId="15">
    <w:name w:val="List Paragraph"/>
    <w:basedOn w:val="1"/>
    <w:autoRedefine/>
    <w:qFormat/>
    <w:uiPriority w:val="1"/>
    <w:pPr>
      <w:ind w:left="280" w:firstLine="640"/>
      <w:jc w:val="both"/>
    </w:pPr>
    <w:rPr>
      <w:rFonts w:ascii="仿宋_GB2312" w:hAnsi="仿宋_GB2312" w:eastAsia="仿宋_GB2312" w:cs="仿宋_GB2312"/>
      <w:lang w:val="zh-CN" w:eastAsia="zh-CN" w:bidi="zh-CN"/>
    </w:rPr>
  </w:style>
  <w:style w:type="paragraph" w:customStyle="1" w:styleId="16">
    <w:name w:val="Table Paragraph"/>
    <w:basedOn w:val="1"/>
    <w:autoRedefine/>
    <w:qFormat/>
    <w:uiPriority w:val="1"/>
    <w:rPr>
      <w:rFonts w:ascii="宋体" w:hAnsi="宋体" w:eastAsia="宋体" w:cs="宋体"/>
      <w:lang w:val="zh-CN" w:eastAsia="zh-CN" w:bidi="zh-CN"/>
    </w:rPr>
  </w:style>
  <w:style w:type="paragraph" w:customStyle="1" w:styleId="17">
    <w:name w:val="WPSOffice手动目录 1"/>
    <w:autoRedefine/>
    <w:qFormat/>
    <w:uiPriority w:val="0"/>
    <w:pPr>
      <w:ind w:leftChars="0"/>
    </w:pPr>
    <w:rPr>
      <w:rFonts w:asciiTheme="minorHAnsi" w:hAnsiTheme="minorHAnsi" w:eastAsiaTheme="minorHAnsi" w:cstheme="minorBidi"/>
      <w:sz w:val="20"/>
      <w:szCs w:val="20"/>
    </w:rPr>
  </w:style>
  <w:style w:type="paragraph" w:customStyle="1" w:styleId="18">
    <w:name w:val="WPSOffice手动目录 2"/>
    <w:autoRedefine/>
    <w:qFormat/>
    <w:uiPriority w:val="0"/>
    <w:pPr>
      <w:ind w:leftChars="200"/>
    </w:pPr>
    <w:rPr>
      <w:rFonts w:asciiTheme="minorHAnsi" w:hAnsiTheme="minorHAnsi" w:eastAsiaTheme="minorHAnsi" w:cstheme="minorBidi"/>
      <w:sz w:val="20"/>
      <w:szCs w:val="20"/>
    </w:rPr>
  </w:style>
  <w:style w:type="paragraph" w:customStyle="1" w:styleId="19">
    <w:name w:val="WPSOffice手动目录 3"/>
    <w:autoRedefine/>
    <w:qFormat/>
    <w:uiPriority w:val="0"/>
    <w:pPr>
      <w:ind w:leftChars="400"/>
    </w:pPr>
    <w:rPr>
      <w:rFonts w:asciiTheme="minorHAnsi" w:hAnsiTheme="minorHAnsi" w:eastAsiaTheme="minorHAnsi" w:cstheme="minorBidi"/>
      <w:sz w:val="20"/>
      <w:szCs w:val="20"/>
    </w:rPr>
  </w:style>
  <w:style w:type="paragraph" w:customStyle="1" w:styleId="20">
    <w:name w:val="〖C01〗正文"/>
    <w:basedOn w:val="1"/>
    <w:autoRedefine/>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6861</Words>
  <Characters>7496</Characters>
  <TotalTime>235</TotalTime>
  <ScaleCrop>false</ScaleCrop>
  <LinksUpToDate>false</LinksUpToDate>
  <CharactersWithSpaces>7682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潘瑾</cp:lastModifiedBy>
  <dcterms:modified xsi:type="dcterms:W3CDTF">2026-02-27T08:46:45Z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32DD82465CFB490787C8DDACF3BD78A1_13</vt:lpwstr>
  </property>
  <property fmtid="{D5CDD505-2E9C-101B-9397-08002B2CF9AE}" pid="7" name="KSOTemplateDocerSaveRecord">
    <vt:lpwstr>eyJoZGlkIjoiYzY0ZWI1NTg0NDQ4NTQ4N2ExZDZlNzlkNzQ5MDg3ODQiLCJ1c2VySWQiOiIxNDg0MjAxNDAzIn0=</vt:lpwstr>
  </property>
</Properties>
</file>