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ascii="宋体" w:hAnsi="宋体" w:eastAsia="宋体" w:cs="宋体"/>
          <w:b/>
          <w:bCs/>
          <w:sz w:val="52"/>
          <w:szCs w:val="52"/>
          <w:lang w:val="en-US"/>
        </w:rPr>
      </w:pPr>
      <w:bookmarkStart w:id="57" w:name="_GoBack"/>
      <w:bookmarkEnd w:id="57"/>
    </w:p>
    <w:p>
      <w:pPr>
        <w:pStyle w:val="5"/>
        <w:jc w:val="center"/>
        <w:rPr>
          <w:rFonts w:ascii="宋体" w:hAnsi="宋体" w:eastAsia="宋体" w:cs="宋体"/>
          <w:b/>
          <w:bCs/>
          <w:sz w:val="52"/>
          <w:szCs w:val="52"/>
          <w:lang w:val="en-US"/>
        </w:rPr>
      </w:pPr>
    </w:p>
    <w:p>
      <w:pPr>
        <w:pStyle w:val="5"/>
        <w:jc w:val="center"/>
        <w:rPr>
          <w:rFonts w:ascii="宋体" w:hAnsi="宋体" w:eastAsia="宋体" w:cs="宋体"/>
          <w:b/>
          <w:bCs/>
          <w:sz w:val="52"/>
          <w:szCs w:val="52"/>
          <w:lang w:val="en-US"/>
        </w:rPr>
      </w:pPr>
    </w:p>
    <w:p>
      <w:pPr>
        <w:pStyle w:val="5"/>
        <w:jc w:val="center"/>
        <w:rPr>
          <w:rFonts w:ascii="宋体" w:hAnsi="宋体" w:eastAsia="宋体" w:cs="宋体"/>
          <w:b/>
          <w:bCs/>
          <w:sz w:val="52"/>
          <w:szCs w:val="52"/>
          <w:lang w:val="en-US"/>
        </w:rPr>
      </w:pPr>
    </w:p>
    <w:p>
      <w:pPr>
        <w:pStyle w:val="5"/>
        <w:jc w:val="center"/>
        <w:rPr>
          <w:rFonts w:ascii="宋体" w:hAnsi="宋体" w:eastAsia="宋体" w:cs="宋体"/>
          <w:b/>
          <w:bCs/>
          <w:sz w:val="52"/>
          <w:szCs w:val="52"/>
          <w:lang w:val="en-US"/>
        </w:rPr>
      </w:pPr>
    </w:p>
    <w:p>
      <w:pPr>
        <w:pStyle w:val="5"/>
        <w:jc w:val="center"/>
        <w:rPr>
          <w:rFonts w:ascii="宋体" w:hAnsi="宋体" w:eastAsia="宋体" w:cs="宋体"/>
          <w:b/>
          <w:bCs/>
          <w:sz w:val="52"/>
          <w:szCs w:val="52"/>
          <w:lang w:val="en-US"/>
        </w:rPr>
      </w:pPr>
    </w:p>
    <w:p>
      <w:pPr>
        <w:pStyle w:val="5"/>
        <w:jc w:val="center"/>
        <w:rPr>
          <w:rFonts w:ascii="宋体" w:hAnsi="宋体" w:eastAsia="宋体" w:cs="宋体"/>
          <w:b/>
          <w:bCs/>
          <w:sz w:val="52"/>
          <w:szCs w:val="52"/>
          <w:lang w:val="en-US"/>
        </w:rPr>
      </w:pPr>
    </w:p>
    <w:p>
      <w:pPr>
        <w:pStyle w:val="5"/>
        <w:jc w:val="center"/>
        <w:rPr>
          <w:rFonts w:ascii="宋体" w:hAnsi="宋体" w:eastAsia="宋体" w:cs="宋体"/>
          <w:b/>
          <w:bCs/>
          <w:sz w:val="52"/>
          <w:szCs w:val="52"/>
          <w:lang w:val="en-US"/>
        </w:rPr>
      </w:pPr>
    </w:p>
    <w:p>
      <w:pPr>
        <w:pStyle w:val="5"/>
        <w:spacing w:line="800" w:lineRule="exact"/>
        <w:jc w:val="center"/>
        <w:rPr>
          <w:rFonts w:ascii="宋体" w:hAnsi="宋体" w:eastAsia="方正小标宋简体" w:cs="方正小标宋简体"/>
          <w:sz w:val="52"/>
          <w:szCs w:val="52"/>
          <w:lang w:val="en-US"/>
        </w:rPr>
      </w:pPr>
      <w:r>
        <w:rPr>
          <w:rFonts w:hint="eastAsia" w:ascii="宋体" w:hAnsi="宋体" w:eastAsia="方正小标宋简体" w:cs="方正小标宋简体"/>
          <w:sz w:val="52"/>
          <w:szCs w:val="52"/>
          <w:lang w:val="en-US"/>
        </w:rPr>
        <w:t>乐山市五通桥区信访局</w:t>
      </w:r>
    </w:p>
    <w:p>
      <w:pPr>
        <w:pStyle w:val="5"/>
        <w:spacing w:line="800" w:lineRule="exact"/>
        <w:jc w:val="center"/>
        <w:rPr>
          <w:rFonts w:ascii="宋体" w:hAnsi="宋体" w:eastAsia="方正小标宋简体" w:cs="方正小标宋简体"/>
          <w:sz w:val="52"/>
          <w:szCs w:val="52"/>
          <w:lang w:val="en-US"/>
        </w:rPr>
      </w:pPr>
      <w:r>
        <w:rPr>
          <w:rFonts w:hint="eastAsia" w:ascii="宋体" w:hAnsi="宋体" w:eastAsia="方正小标宋简体" w:cs="方正小标宋简体"/>
          <w:sz w:val="52"/>
          <w:szCs w:val="52"/>
          <w:lang w:val="en-US"/>
        </w:rPr>
        <w:t>2026部门预算编制说明</w:t>
      </w:r>
    </w:p>
    <w:p/>
    <w:p>
      <w:pPr>
        <w:rPr>
          <w:sz w:val="4"/>
        </w:rPr>
      </w:pPr>
      <w:r>
        <w:rPr>
          <w:sz w:val="4"/>
        </w:rPr>
        <w:br w:type="page"/>
      </w:r>
    </w:p>
    <w:p>
      <w:pPr>
        <w:rPr>
          <w:sz w:val="4"/>
        </w:rPr>
      </w:pPr>
    </w:p>
    <w:p>
      <w:pPr>
        <w:pStyle w:val="5"/>
        <w:spacing w:before="2"/>
        <w:rPr>
          <w:rFonts w:ascii="宋体" w:hAnsi="宋体"/>
          <w:sz w:val="4"/>
        </w:rPr>
      </w:pPr>
    </w:p>
    <w:p>
      <w:pPr>
        <w:pStyle w:val="5"/>
        <w:tabs>
          <w:tab w:val="left" w:pos="4798"/>
        </w:tabs>
        <w:jc w:val="center"/>
        <w:rPr>
          <w:rFonts w:ascii="宋体" w:hAnsi="宋体" w:eastAsia="方正小标宋简体" w:cs="方正小标宋简体"/>
          <w:b/>
          <w:bCs/>
          <w:sz w:val="48"/>
          <w:szCs w:val="48"/>
          <w:lang w:val="en-US"/>
        </w:rPr>
      </w:pPr>
      <w:r>
        <w:rPr>
          <w:rFonts w:hint="eastAsia" w:ascii="宋体" w:hAnsi="宋体" w:eastAsia="方正小标宋简体" w:cs="方正小标宋简体"/>
          <w:b/>
          <w:bCs/>
          <w:sz w:val="48"/>
          <w:szCs w:val="48"/>
          <w:lang w:val="en-US"/>
        </w:rPr>
        <w:t>目  录</w:t>
      </w:r>
    </w:p>
    <w:sdt>
      <w:sdtPr>
        <w:rPr>
          <w:rFonts w:ascii="仿宋_GB2312" w:hAnsi="仿宋_GB2312" w:eastAsia="仿宋_GB2312" w:cs="仿宋_GB2312"/>
          <w:sz w:val="21"/>
          <w:szCs w:val="32"/>
        </w:rPr>
        <w:id w:val="147453385"/>
        <w:docPartObj>
          <w:docPartGallery w:val="Table of Contents"/>
          <w:docPartUnique/>
        </w:docPartObj>
      </w:sdtPr>
      <w:sdtEndPr>
        <w:rPr>
          <w:rFonts w:hint="eastAsia" w:ascii="仿宋_GB2312" w:hAnsi="仿宋_GB2312" w:eastAsia="方正小标宋简体" w:cs="方正小标宋简体"/>
          <w:bCs/>
          <w:sz w:val="32"/>
          <w:szCs w:val="48"/>
          <w:lang w:val="en-US"/>
        </w:rPr>
      </w:sdtEndPr>
      <w:sdtContent>
        <w:p>
          <w:pPr>
            <w:jc w:val="center"/>
          </w:pPr>
        </w:p>
        <w:p>
          <w:pPr>
            <w:pStyle w:val="10"/>
            <w:tabs>
              <w:tab w:val="right" w:leader="dot" w:pos="9812"/>
            </w:tabs>
          </w:pPr>
          <w:r>
            <w:rPr>
              <w:rFonts w:hint="eastAsia" w:eastAsia="方正小标宋简体" w:cs="方正小标宋简体"/>
              <w:b/>
              <w:bCs/>
              <w:sz w:val="48"/>
              <w:szCs w:val="48"/>
              <w:lang w:val="en-US"/>
            </w:rPr>
            <w:fldChar w:fldCharType="begin"/>
          </w:r>
          <w:r>
            <w:rPr>
              <w:rFonts w:hint="eastAsia" w:eastAsia="方正小标宋简体" w:cs="方正小标宋简体"/>
              <w:b/>
              <w:bCs/>
              <w:sz w:val="48"/>
              <w:szCs w:val="48"/>
              <w:lang w:val="en-US"/>
            </w:rPr>
            <w:instrText xml:space="preserve">TOC \o "1-3" \h \u </w:instrText>
          </w:r>
          <w:r>
            <w:rPr>
              <w:rFonts w:hint="eastAsia" w:eastAsia="方正小标宋简体" w:cs="方正小标宋简体"/>
              <w:b/>
              <w:bCs/>
              <w:sz w:val="48"/>
              <w:szCs w:val="48"/>
              <w:lang w:val="en-US"/>
            </w:rPr>
            <w:fldChar w:fldCharType="separate"/>
          </w:r>
          <w:r>
            <w:fldChar w:fldCharType="begin"/>
          </w:r>
          <w:r>
            <w:instrText xml:space="preserve"> HYPERLINK \l "_Toc27553" </w:instrText>
          </w:r>
          <w:r>
            <w:fldChar w:fldCharType="separate"/>
          </w:r>
          <w:r>
            <w:rPr>
              <w:rFonts w:hint="eastAsia" w:eastAsia="方正小标宋简体" w:cs="方正小标宋简体"/>
              <w:bCs/>
              <w:szCs w:val="52"/>
              <w:lang w:val="en-US"/>
            </w:rPr>
            <w:t>第一部分 部门概况</w:t>
          </w:r>
          <w:r>
            <w:tab/>
          </w:r>
          <w:r>
            <w:fldChar w:fldCharType="begin"/>
          </w:r>
          <w:r>
            <w:instrText xml:space="preserve"> PAGEREF _Toc27553 \h </w:instrText>
          </w:r>
          <w:r>
            <w:fldChar w:fldCharType="separate"/>
          </w:r>
          <w:r>
            <w:t>1</w:t>
          </w:r>
          <w:r>
            <w:fldChar w:fldCharType="end"/>
          </w:r>
          <w:r>
            <w:fldChar w:fldCharType="end"/>
          </w:r>
        </w:p>
        <w:p>
          <w:pPr>
            <w:pStyle w:val="11"/>
            <w:tabs>
              <w:tab w:val="right" w:leader="dot" w:pos="9812"/>
            </w:tabs>
            <w:ind w:left="440"/>
          </w:pPr>
          <w:r>
            <w:fldChar w:fldCharType="begin"/>
          </w:r>
          <w:r>
            <w:instrText xml:space="preserve"> HYPERLINK \l "_Toc32044" </w:instrText>
          </w:r>
          <w:r>
            <w:fldChar w:fldCharType="separate"/>
          </w:r>
          <w:r>
            <w:rPr>
              <w:rFonts w:hint="eastAsia" w:eastAsia="黑体"/>
            </w:rPr>
            <w:t>一、基本职能及主要工作</w:t>
          </w:r>
          <w:r>
            <w:tab/>
          </w:r>
          <w:r>
            <w:fldChar w:fldCharType="begin"/>
          </w:r>
          <w:r>
            <w:instrText xml:space="preserve"> PAGEREF _Toc32044 \h </w:instrText>
          </w:r>
          <w:r>
            <w:fldChar w:fldCharType="separate"/>
          </w:r>
          <w:r>
            <w:t>2</w:t>
          </w:r>
          <w:r>
            <w:fldChar w:fldCharType="end"/>
          </w:r>
          <w:r>
            <w:fldChar w:fldCharType="end"/>
          </w:r>
        </w:p>
        <w:p>
          <w:pPr>
            <w:pStyle w:val="7"/>
            <w:tabs>
              <w:tab w:val="right" w:leader="dot" w:pos="9812"/>
            </w:tabs>
            <w:ind w:left="880"/>
          </w:pPr>
          <w:r>
            <w:fldChar w:fldCharType="begin"/>
          </w:r>
          <w:r>
            <w:instrText xml:space="preserve"> HYPERLINK \l "_Toc8601" </w:instrText>
          </w:r>
          <w:r>
            <w:fldChar w:fldCharType="separate"/>
          </w:r>
          <w:r>
            <w:t>（一）部门职能简介</w:t>
          </w:r>
          <w:r>
            <w:tab/>
          </w:r>
          <w:r>
            <w:fldChar w:fldCharType="begin"/>
          </w:r>
          <w:r>
            <w:instrText xml:space="preserve"> PAGEREF _Toc8601 \h </w:instrText>
          </w:r>
          <w:r>
            <w:fldChar w:fldCharType="separate"/>
          </w:r>
          <w:r>
            <w:t>2</w:t>
          </w:r>
          <w:r>
            <w:fldChar w:fldCharType="end"/>
          </w:r>
          <w:r>
            <w:fldChar w:fldCharType="end"/>
          </w:r>
        </w:p>
        <w:p>
          <w:pPr>
            <w:pStyle w:val="7"/>
            <w:tabs>
              <w:tab w:val="right" w:leader="dot" w:pos="9812"/>
            </w:tabs>
            <w:ind w:left="880"/>
          </w:pPr>
          <w:r>
            <w:fldChar w:fldCharType="begin"/>
          </w:r>
          <w:r>
            <w:instrText xml:space="preserve"> HYPERLINK \l "_Toc10837" </w:instrText>
          </w:r>
          <w:r>
            <w:fldChar w:fldCharType="separate"/>
          </w:r>
          <w:r>
            <w:t>（二）部门</w:t>
          </w:r>
          <w:r>
            <w:rPr>
              <w:rFonts w:hint="eastAsia"/>
              <w:lang w:val="en-US"/>
            </w:rPr>
            <w:t>2026</w:t>
          </w:r>
          <w:r>
            <w:t>年重点工</w:t>
          </w:r>
          <w:r>
            <w:rPr>
              <w:rFonts w:hint="eastAsia"/>
            </w:rPr>
            <w:t>作</w:t>
          </w:r>
          <w:r>
            <w:tab/>
          </w:r>
          <w:r>
            <w:fldChar w:fldCharType="begin"/>
          </w:r>
          <w:r>
            <w:instrText xml:space="preserve"> PAGEREF _Toc10837 \h </w:instrText>
          </w:r>
          <w:r>
            <w:fldChar w:fldCharType="separate"/>
          </w:r>
          <w:r>
            <w:t>3</w:t>
          </w:r>
          <w:r>
            <w:fldChar w:fldCharType="end"/>
          </w:r>
          <w:r>
            <w:fldChar w:fldCharType="end"/>
          </w:r>
        </w:p>
        <w:p>
          <w:pPr>
            <w:pStyle w:val="11"/>
            <w:tabs>
              <w:tab w:val="right" w:leader="dot" w:pos="9812"/>
            </w:tabs>
            <w:ind w:left="440"/>
          </w:pPr>
          <w:r>
            <w:fldChar w:fldCharType="begin"/>
          </w:r>
          <w:r>
            <w:instrText xml:space="preserve"> HYPERLINK \l "_Toc27269" </w:instrText>
          </w:r>
          <w:r>
            <w:fldChar w:fldCharType="separate"/>
          </w:r>
          <w:r>
            <w:rPr>
              <w:rFonts w:hint="eastAsia" w:eastAsia="黑体"/>
            </w:rPr>
            <w:t>二、部门预算单位构成</w:t>
          </w:r>
          <w:r>
            <w:tab/>
          </w:r>
          <w:r>
            <w:fldChar w:fldCharType="begin"/>
          </w:r>
          <w:r>
            <w:instrText xml:space="preserve"> PAGEREF _Toc27269 \h </w:instrText>
          </w:r>
          <w:r>
            <w:fldChar w:fldCharType="separate"/>
          </w:r>
          <w:r>
            <w:t>4</w:t>
          </w:r>
          <w:r>
            <w:fldChar w:fldCharType="end"/>
          </w:r>
          <w:r>
            <w:fldChar w:fldCharType="end"/>
          </w:r>
        </w:p>
        <w:p>
          <w:pPr>
            <w:pStyle w:val="10"/>
            <w:tabs>
              <w:tab w:val="right" w:leader="dot" w:pos="9812"/>
            </w:tabs>
          </w:pPr>
          <w:r>
            <w:fldChar w:fldCharType="begin"/>
          </w:r>
          <w:r>
            <w:instrText xml:space="preserve"> HYPERLINK \l "_Toc9595" </w:instrText>
          </w:r>
          <w:r>
            <w:fldChar w:fldCharType="separate"/>
          </w:r>
          <w:r>
            <w:rPr>
              <w:rFonts w:hint="eastAsia" w:eastAsia="方正小标宋简体" w:cs="方正小标宋简体"/>
              <w:bCs/>
              <w:szCs w:val="52"/>
              <w:lang w:val="en-US"/>
            </w:rPr>
            <w:t>第二部分 乐山市五通桥区信访局</w:t>
          </w:r>
          <w:r>
            <w:tab/>
          </w:r>
          <w:r>
            <w:fldChar w:fldCharType="begin"/>
          </w:r>
          <w:r>
            <w:instrText xml:space="preserve"> PAGEREF _Toc9595 \h </w:instrText>
          </w:r>
          <w:r>
            <w:fldChar w:fldCharType="separate"/>
          </w:r>
          <w:r>
            <w:t>6</w:t>
          </w:r>
          <w:r>
            <w:fldChar w:fldCharType="end"/>
          </w:r>
          <w:r>
            <w:fldChar w:fldCharType="end"/>
          </w:r>
        </w:p>
        <w:p>
          <w:pPr>
            <w:pStyle w:val="10"/>
            <w:tabs>
              <w:tab w:val="right" w:leader="dot" w:pos="9812"/>
            </w:tabs>
          </w:pPr>
          <w:r>
            <w:fldChar w:fldCharType="begin"/>
          </w:r>
          <w:r>
            <w:instrText xml:space="preserve"> HYPERLINK \l "_Toc8691" </w:instrText>
          </w:r>
          <w:r>
            <w:fldChar w:fldCharType="separate"/>
          </w:r>
          <w:r>
            <w:rPr>
              <w:rFonts w:hint="eastAsia" w:eastAsia="方正小标宋简体" w:cs="方正小标宋简体"/>
              <w:bCs/>
              <w:szCs w:val="52"/>
              <w:lang w:val="en-US"/>
            </w:rPr>
            <w:t>2026年部门预算表</w:t>
          </w:r>
          <w:r>
            <w:tab/>
          </w:r>
          <w:r>
            <w:fldChar w:fldCharType="begin"/>
          </w:r>
          <w:r>
            <w:instrText xml:space="preserve"> PAGEREF _Toc8691 \h </w:instrText>
          </w:r>
          <w:r>
            <w:fldChar w:fldCharType="separate"/>
          </w:r>
          <w:r>
            <w:t>6</w:t>
          </w:r>
          <w:r>
            <w:fldChar w:fldCharType="end"/>
          </w:r>
          <w:r>
            <w:fldChar w:fldCharType="end"/>
          </w:r>
        </w:p>
        <w:p>
          <w:pPr>
            <w:pStyle w:val="11"/>
            <w:tabs>
              <w:tab w:val="right" w:leader="dot" w:pos="9812"/>
            </w:tabs>
            <w:ind w:left="440"/>
          </w:pPr>
          <w:r>
            <w:fldChar w:fldCharType="begin"/>
          </w:r>
          <w:r>
            <w:instrText xml:space="preserve"> HYPERLINK \l "_Toc1197" </w:instrText>
          </w:r>
          <w:r>
            <w:fldChar w:fldCharType="separate"/>
          </w:r>
          <w:r>
            <w:rPr>
              <w:rFonts w:hint="eastAsia"/>
              <w:lang w:val="en-US"/>
            </w:rPr>
            <w:t>一、收支预算总表（收支总表1）</w:t>
          </w:r>
          <w:r>
            <w:tab/>
          </w:r>
          <w:r>
            <w:fldChar w:fldCharType="begin"/>
          </w:r>
          <w:r>
            <w:instrText xml:space="preserve"> PAGEREF _Toc1197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"_Toc29582" </w:instrText>
          </w:r>
          <w:r>
            <w:fldChar w:fldCharType="separate"/>
          </w:r>
          <w:r>
            <w:rPr>
              <w:rFonts w:hint="eastAsia"/>
              <w:lang w:val="en-US"/>
            </w:rPr>
            <w:t>二、收入预算总表（收入总表2）</w:t>
          </w:r>
          <w:r>
            <w:tab/>
          </w:r>
          <w:r>
            <w:fldChar w:fldCharType="begin"/>
          </w:r>
          <w:r>
            <w:instrText xml:space="preserve"> PAGEREF _Toc29582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"_Toc17268" </w:instrText>
          </w:r>
          <w:r>
            <w:fldChar w:fldCharType="separate"/>
          </w:r>
          <w:r>
            <w:rPr>
              <w:rFonts w:hint="eastAsia"/>
              <w:lang w:val="en-US"/>
            </w:rPr>
            <w:t>三、征收预期表（征收预期3）</w:t>
          </w:r>
          <w:r>
            <w:tab/>
          </w:r>
          <w:r>
            <w:fldChar w:fldCharType="begin"/>
          </w:r>
          <w:r>
            <w:instrText xml:space="preserve"> PAGEREF _Toc17268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"_Toc6419" </w:instrText>
          </w:r>
          <w:r>
            <w:fldChar w:fldCharType="separate"/>
          </w:r>
          <w:r>
            <w:rPr>
              <w:rFonts w:hint="eastAsia"/>
              <w:lang w:val="en-US"/>
            </w:rPr>
            <w:t>四、支出预算总表（支出总表4）</w:t>
          </w:r>
          <w:r>
            <w:tab/>
          </w:r>
          <w:r>
            <w:fldChar w:fldCharType="begin"/>
          </w:r>
          <w:r>
            <w:instrText xml:space="preserve"> PAGEREF _Toc6419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"_Toc14191" </w:instrText>
          </w:r>
          <w:r>
            <w:fldChar w:fldCharType="separate"/>
          </w:r>
          <w:r>
            <w:rPr>
              <w:rFonts w:hint="eastAsia"/>
              <w:lang w:val="en-US"/>
            </w:rPr>
            <w:t>五、财政拨款预算总表（财拨总表5）</w:t>
          </w:r>
          <w:r>
            <w:tab/>
          </w:r>
          <w:r>
            <w:fldChar w:fldCharType="begin"/>
          </w:r>
          <w:r>
            <w:instrText xml:space="preserve"> PAGEREF _Toc14191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"_Toc28959" </w:instrText>
          </w:r>
          <w:r>
            <w:fldChar w:fldCharType="separate"/>
          </w:r>
          <w:r>
            <w:rPr>
              <w:rFonts w:hint="eastAsia"/>
              <w:lang w:val="en-US"/>
            </w:rPr>
            <w:t>六、一般公共预算支出表（一般预算支出6）</w:t>
          </w:r>
          <w:r>
            <w:tab/>
          </w:r>
          <w:r>
            <w:fldChar w:fldCharType="begin"/>
          </w:r>
          <w:r>
            <w:instrText xml:space="preserve"> PAGEREF _Toc28959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"_Toc28280" </w:instrText>
          </w:r>
          <w:r>
            <w:fldChar w:fldCharType="separate"/>
          </w:r>
          <w:r>
            <w:rPr>
              <w:rFonts w:hint="eastAsia"/>
              <w:lang w:val="en-US"/>
            </w:rPr>
            <w:t>七、一般公共预算基本支出表（基本支出7）</w:t>
          </w:r>
          <w:r>
            <w:tab/>
          </w:r>
          <w:r>
            <w:fldChar w:fldCharType="begin"/>
          </w:r>
          <w:r>
            <w:instrText xml:space="preserve"> PAGEREF _Toc28280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"_Toc32033" </w:instrText>
          </w:r>
          <w:r>
            <w:fldChar w:fldCharType="separate"/>
          </w:r>
          <w:r>
            <w:rPr>
              <w:rFonts w:hint="eastAsia"/>
              <w:lang w:val="en-US"/>
            </w:rPr>
            <w:t>八、一般公共预算“三公”经费支出预算表（三公8）</w:t>
          </w:r>
          <w:r>
            <w:tab/>
          </w:r>
          <w:r>
            <w:fldChar w:fldCharType="begin"/>
          </w:r>
          <w:r>
            <w:instrText xml:space="preserve"> PAGEREF _Toc32033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"_Toc27446" </w:instrText>
          </w:r>
          <w:r>
            <w:fldChar w:fldCharType="separate"/>
          </w:r>
          <w:r>
            <w:rPr>
              <w:rFonts w:hint="eastAsia"/>
              <w:lang w:val="en-US"/>
            </w:rPr>
            <w:t>九、政府性基金预算支出表（基金9）</w:t>
          </w:r>
          <w:r>
            <w:tab/>
          </w:r>
          <w:r>
            <w:fldChar w:fldCharType="begin"/>
          </w:r>
          <w:r>
            <w:instrText xml:space="preserve"> PAGEREF _Toc27446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"_Toc2108" </w:instrText>
          </w:r>
          <w:r>
            <w:fldChar w:fldCharType="separate"/>
          </w:r>
          <w:r>
            <w:rPr>
              <w:rFonts w:hint="eastAsia"/>
              <w:lang w:val="en-US"/>
            </w:rPr>
            <w:t>十、国有资本经营预算支出表（国资10）</w:t>
          </w:r>
          <w:r>
            <w:tab/>
          </w:r>
          <w:r>
            <w:fldChar w:fldCharType="begin"/>
          </w:r>
          <w:r>
            <w:instrText xml:space="preserve"> PAGEREF _Toc2108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"_Toc6926" </w:instrText>
          </w:r>
          <w:r>
            <w:fldChar w:fldCharType="separate"/>
          </w:r>
          <w:r>
            <w:rPr>
              <w:rFonts w:hint="eastAsia"/>
              <w:lang w:val="en-US"/>
            </w:rPr>
            <w:t>十一、支出功能分类预算表（支出功能11）</w:t>
          </w:r>
          <w:r>
            <w:tab/>
          </w:r>
          <w:r>
            <w:fldChar w:fldCharType="begin"/>
          </w:r>
          <w:r>
            <w:instrText xml:space="preserve"> PAGEREF _Toc6926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"_Toc1501" </w:instrText>
          </w:r>
          <w:r>
            <w:fldChar w:fldCharType="separate"/>
          </w:r>
          <w:r>
            <w:rPr>
              <w:rFonts w:hint="eastAsia"/>
              <w:lang w:val="en-US"/>
            </w:rPr>
            <w:t>十二、支出经济分类预算表（支出经济分类12）</w:t>
          </w:r>
          <w:r>
            <w:tab/>
          </w:r>
          <w:r>
            <w:fldChar w:fldCharType="begin"/>
          </w:r>
          <w:r>
            <w:instrText xml:space="preserve"> PAGEREF _Toc1501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"_Toc30927" </w:instrText>
          </w:r>
          <w:r>
            <w:fldChar w:fldCharType="separate"/>
          </w:r>
          <w:r>
            <w:rPr>
              <w:rFonts w:hint="eastAsia"/>
              <w:lang w:val="en-US"/>
            </w:rPr>
            <w:t>十三、上级资金安排情况表（上级资金安排13）</w:t>
          </w:r>
          <w:r>
            <w:tab/>
          </w:r>
          <w:r>
            <w:fldChar w:fldCharType="begin"/>
          </w:r>
          <w:r>
            <w:instrText xml:space="preserve"> PAGEREF _Toc30927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"_Toc28235" </w:instrText>
          </w:r>
          <w:r>
            <w:fldChar w:fldCharType="separate"/>
          </w:r>
          <w:r>
            <w:rPr>
              <w:rFonts w:hint="eastAsia"/>
              <w:lang w:val="en-US"/>
            </w:rPr>
            <w:t>十四、项目支出表（项目支出14）</w:t>
          </w:r>
          <w:r>
            <w:tab/>
          </w:r>
          <w:r>
            <w:fldChar w:fldCharType="begin"/>
          </w:r>
          <w:r>
            <w:instrText xml:space="preserve"> PAGEREF _Toc28235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"_Toc10639" </w:instrText>
          </w:r>
          <w:r>
            <w:fldChar w:fldCharType="separate"/>
          </w:r>
          <w:r>
            <w:rPr>
              <w:rFonts w:hint="eastAsia"/>
              <w:lang w:val="en-US"/>
            </w:rPr>
            <w:t>十六、政府购买服务预算表（购买服务16）</w:t>
          </w:r>
          <w:r>
            <w:tab/>
          </w:r>
          <w:r>
            <w:fldChar w:fldCharType="begin"/>
          </w:r>
          <w:r>
            <w:instrText xml:space="preserve"> PAGEREF _Toc10639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"_Toc20613" </w:instrText>
          </w:r>
          <w:r>
            <w:fldChar w:fldCharType="separate"/>
          </w:r>
          <w:r>
            <w:rPr>
              <w:rFonts w:hint="eastAsia"/>
              <w:lang w:val="en-US"/>
            </w:rPr>
            <w:t>十七、采购需求表（采购需求表17）</w:t>
          </w:r>
          <w:r>
            <w:tab/>
          </w:r>
          <w:r>
            <w:fldChar w:fldCharType="begin"/>
          </w:r>
          <w:r>
            <w:instrText xml:space="preserve"> PAGEREF _Toc20613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"_Toc3471" </w:instrText>
          </w:r>
          <w:r>
            <w:fldChar w:fldCharType="separate"/>
          </w:r>
          <w:r>
            <w:rPr>
              <w:rFonts w:hint="eastAsia"/>
              <w:lang w:val="en-US"/>
            </w:rPr>
            <w:t>十八、国有资产配置预算表（资产18）</w:t>
          </w:r>
          <w:r>
            <w:tab/>
          </w:r>
          <w:r>
            <w:fldChar w:fldCharType="begin"/>
          </w:r>
          <w:r>
            <w:instrText xml:space="preserve"> PAGEREF _Toc3471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"_Toc19484" </w:instrText>
          </w:r>
          <w:r>
            <w:fldChar w:fldCharType="separate"/>
          </w:r>
          <w:r>
            <w:rPr>
              <w:rFonts w:hint="eastAsia"/>
              <w:lang w:val="en-US"/>
            </w:rPr>
            <w:t>十九、项目支出绩效表（项目绩效19）</w:t>
          </w:r>
          <w:r>
            <w:tab/>
          </w:r>
          <w:r>
            <w:fldChar w:fldCharType="begin"/>
          </w:r>
          <w:r>
            <w:instrText xml:space="preserve"> PAGEREF _Toc19484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"_Toc19747" </w:instrText>
          </w:r>
          <w:r>
            <w:fldChar w:fldCharType="separate"/>
          </w:r>
          <w:r>
            <w:rPr>
              <w:rFonts w:hint="eastAsia"/>
              <w:lang w:val="en-US"/>
            </w:rPr>
            <w:t>二十、部门绩效表（部门绩效20）</w:t>
          </w:r>
          <w:r>
            <w:tab/>
          </w:r>
          <w:r>
            <w:fldChar w:fldCharType="begin"/>
          </w:r>
          <w:r>
            <w:instrText xml:space="preserve"> PAGEREF _Toc19747 \h </w:instrText>
          </w:r>
          <w:r>
            <w:fldChar w:fldCharType="separate"/>
          </w:r>
          <w:r>
            <w:t>7</w:t>
          </w:r>
          <w:r>
            <w:fldChar w:fldCharType="end"/>
          </w:r>
          <w:r>
            <w:fldChar w:fldCharType="end"/>
          </w:r>
        </w:p>
        <w:p>
          <w:pPr>
            <w:pStyle w:val="11"/>
            <w:tabs>
              <w:tab w:val="right" w:leader="dot" w:pos="9812"/>
            </w:tabs>
            <w:ind w:left="440"/>
          </w:pPr>
          <w:r>
            <w:fldChar w:fldCharType="begin"/>
          </w:r>
          <w:r>
            <w:instrText xml:space="preserve"> HYPERLINK \l "_Toc31481" </w:instrText>
          </w:r>
          <w:r>
            <w:fldChar w:fldCharType="separate"/>
          </w:r>
          <w:r>
            <w:rPr>
              <w:rFonts w:hint="eastAsia"/>
              <w:lang w:val="en-US"/>
            </w:rPr>
            <w:t>二十一、年初政府采购项目预算表（政府采购项目预算表21）</w:t>
          </w:r>
          <w:r>
            <w:tab/>
          </w:r>
          <w:r>
            <w:fldChar w:fldCharType="begin"/>
          </w:r>
          <w:r>
            <w:instrText xml:space="preserve"> PAGEREF _Toc31481 \h </w:instrText>
          </w:r>
          <w:r>
            <w:fldChar w:fldCharType="separate"/>
          </w:r>
          <w:r>
            <w:t>8</w:t>
          </w:r>
          <w:r>
            <w:fldChar w:fldCharType="end"/>
          </w:r>
          <w:r>
            <w:fldChar w:fldCharType="end"/>
          </w:r>
        </w:p>
        <w:p>
          <w:pPr>
            <w:pStyle w:val="11"/>
            <w:tabs>
              <w:tab w:val="right" w:leader="dot" w:pos="9812"/>
            </w:tabs>
            <w:ind w:left="440"/>
          </w:pPr>
          <w:r>
            <w:fldChar w:fldCharType="begin"/>
          </w:r>
          <w:r>
            <w:instrText xml:space="preserve"> HYPERLINK \l "_Toc27114" </w:instrText>
          </w:r>
          <w:r>
            <w:fldChar w:fldCharType="separate"/>
          </w:r>
          <w:r>
            <w:rPr>
              <w:rFonts w:hint="eastAsia"/>
              <w:lang w:val="en-US"/>
            </w:rPr>
            <w:t>二十二、2026-2028年支出计划总表（三年计划总表22）</w:t>
          </w:r>
          <w:r>
            <w:tab/>
          </w:r>
          <w:r>
            <w:fldChar w:fldCharType="begin"/>
          </w:r>
          <w:r>
            <w:instrText xml:space="preserve"> PAGEREF _Toc27114 \h </w:instrText>
          </w:r>
          <w:r>
            <w:fldChar w:fldCharType="separate"/>
          </w:r>
          <w:r>
            <w:t>8</w:t>
          </w:r>
          <w:r>
            <w:fldChar w:fldCharType="end"/>
          </w:r>
          <w:r>
            <w:fldChar w:fldCharType="end"/>
          </w:r>
        </w:p>
        <w:p>
          <w:pPr>
            <w:pStyle w:val="11"/>
            <w:tabs>
              <w:tab w:val="right" w:leader="dot" w:pos="9812"/>
            </w:tabs>
            <w:ind w:left="440"/>
          </w:pPr>
          <w:r>
            <w:fldChar w:fldCharType="begin"/>
          </w:r>
          <w:r>
            <w:instrText xml:space="preserve"> HYPERLINK \l "_Toc21032" </w:instrText>
          </w:r>
          <w:r>
            <w:fldChar w:fldCharType="separate"/>
          </w:r>
          <w:r>
            <w:rPr>
              <w:rFonts w:hint="eastAsia"/>
              <w:lang w:val="en-US"/>
            </w:rPr>
            <w:t>二十三、2026-2028年支出计划明细表（三年计划明细表23）</w:t>
          </w:r>
          <w:r>
            <w:tab/>
          </w:r>
          <w:r>
            <w:fldChar w:fldCharType="begin"/>
          </w:r>
          <w:r>
            <w:instrText xml:space="preserve"> PAGEREF _Toc21032 \h </w:instrText>
          </w:r>
          <w:r>
            <w:fldChar w:fldCharType="separate"/>
          </w:r>
          <w:r>
            <w:t>8</w:t>
          </w:r>
          <w:r>
            <w:fldChar w:fldCharType="end"/>
          </w:r>
          <w:r>
            <w:fldChar w:fldCharType="end"/>
          </w:r>
        </w:p>
        <w:p>
          <w:pPr>
            <w:pStyle w:val="11"/>
            <w:tabs>
              <w:tab w:val="right" w:leader="dot" w:pos="9812"/>
            </w:tabs>
            <w:ind w:left="440"/>
          </w:pPr>
          <w:r>
            <w:fldChar w:fldCharType="begin"/>
          </w:r>
          <w:r>
            <w:instrText xml:space="preserve"> HYPERLINK \l "_Toc24299" </w:instrText>
          </w:r>
          <w:r>
            <w:fldChar w:fldCharType="separate"/>
          </w:r>
          <w:r>
            <w:rPr>
              <w:rFonts w:hint="eastAsia"/>
              <w:lang w:val="en-US"/>
            </w:rPr>
            <w:t>二十四、人员和车辆基本情况表（人员24）</w:t>
          </w:r>
          <w:r>
            <w:tab/>
          </w:r>
          <w:r>
            <w:fldChar w:fldCharType="begin"/>
          </w:r>
          <w:r>
            <w:instrText xml:space="preserve"> PAGEREF _Toc24299 \h </w:instrText>
          </w:r>
          <w:r>
            <w:fldChar w:fldCharType="separate"/>
          </w:r>
          <w:r>
            <w:t>8</w:t>
          </w:r>
          <w:r>
            <w:fldChar w:fldCharType="end"/>
          </w:r>
          <w:r>
            <w:fldChar w:fldCharType="end"/>
          </w:r>
        </w:p>
        <w:p>
          <w:pPr>
            <w:pStyle w:val="10"/>
            <w:tabs>
              <w:tab w:val="right" w:leader="dot" w:pos="9812"/>
            </w:tabs>
          </w:pPr>
          <w:r>
            <w:fldChar w:fldCharType="begin"/>
          </w:r>
          <w:r>
            <w:instrText xml:space="preserve"> HYPERLINK \l "_Toc28226" </w:instrText>
          </w:r>
          <w:r>
            <w:fldChar w:fldCharType="separate"/>
          </w:r>
          <w:r>
            <w:rPr>
              <w:rFonts w:hint="eastAsia" w:eastAsia="方正小标宋简体" w:cs="方正小标宋简体"/>
              <w:bCs/>
              <w:szCs w:val="52"/>
              <w:lang w:val="en-US"/>
            </w:rPr>
            <w:t>第三部分 乐山市五通桥区信访局</w:t>
          </w:r>
          <w:r>
            <w:tab/>
          </w:r>
          <w:r>
            <w:fldChar w:fldCharType="begin"/>
          </w:r>
          <w:r>
            <w:instrText xml:space="preserve"> PAGEREF _Toc28226 \h </w:instrText>
          </w:r>
          <w:r>
            <w:fldChar w:fldCharType="separate"/>
          </w:r>
          <w:r>
            <w:t>9</w:t>
          </w:r>
          <w:r>
            <w:fldChar w:fldCharType="end"/>
          </w:r>
          <w:r>
            <w:fldChar w:fldCharType="end"/>
          </w:r>
        </w:p>
        <w:p>
          <w:pPr>
            <w:pStyle w:val="10"/>
            <w:tabs>
              <w:tab w:val="right" w:leader="dot" w:pos="9812"/>
            </w:tabs>
          </w:pPr>
          <w:r>
            <w:fldChar w:fldCharType="begin"/>
          </w:r>
          <w:r>
            <w:instrText xml:space="preserve"> HYPERLINK \l "_Toc25110" </w:instrText>
          </w:r>
          <w:r>
            <w:fldChar w:fldCharType="separate"/>
          </w:r>
          <w:r>
            <w:rPr>
              <w:rFonts w:hint="eastAsia" w:eastAsia="方正小标宋简体" w:cs="方正小标宋简体"/>
              <w:szCs w:val="52"/>
              <w:lang w:val="en-US"/>
            </w:rPr>
            <w:t>2026年部门预算情况说明</w:t>
          </w:r>
          <w:r>
            <w:tab/>
          </w:r>
          <w:r>
            <w:fldChar w:fldCharType="begin"/>
          </w:r>
          <w:r>
            <w:instrText xml:space="preserve"> PAGEREF _Toc25110 \h </w:instrText>
          </w:r>
          <w:r>
            <w:fldChar w:fldCharType="separate"/>
          </w:r>
          <w:r>
            <w:t>9</w:t>
          </w:r>
          <w:r>
            <w:fldChar w:fldCharType="end"/>
          </w:r>
          <w:r>
            <w:fldChar w:fldCharType="end"/>
          </w:r>
        </w:p>
        <w:p>
          <w:pPr>
            <w:pStyle w:val="11"/>
            <w:tabs>
              <w:tab w:val="right" w:leader="dot" w:pos="9812"/>
            </w:tabs>
            <w:ind w:left="440"/>
          </w:pPr>
          <w:r>
            <w:fldChar w:fldCharType="begin"/>
          </w:r>
          <w:r>
            <w:instrText xml:space="preserve"> HYPERLINK \l "_Toc29056" </w:instrText>
          </w:r>
          <w:r>
            <w:fldChar w:fldCharType="separate"/>
          </w:r>
          <w:r>
            <w:rPr>
              <w:rFonts w:hint="eastAsia" w:eastAsia="黑体"/>
            </w:rPr>
            <w:t>一、收支预算情况说明</w:t>
          </w:r>
          <w:r>
            <w:tab/>
          </w:r>
          <w:r>
            <w:fldChar w:fldCharType="begin"/>
          </w:r>
          <w:r>
            <w:instrText xml:space="preserve"> PAGEREF _Toc29056 \h </w:instrText>
          </w:r>
          <w:r>
            <w:fldChar w:fldCharType="separate"/>
          </w:r>
          <w:r>
            <w:t>10</w:t>
          </w:r>
          <w:r>
            <w:fldChar w:fldCharType="end"/>
          </w:r>
          <w:r>
            <w:fldChar w:fldCharType="end"/>
          </w:r>
        </w:p>
        <w:p>
          <w:pPr>
            <w:pStyle w:val="7"/>
            <w:tabs>
              <w:tab w:val="right" w:leader="dot" w:pos="9812"/>
            </w:tabs>
            <w:ind w:left="880"/>
          </w:pPr>
          <w:r>
            <w:fldChar w:fldCharType="begin"/>
          </w:r>
          <w:r>
            <w:instrText xml:space="preserve"> HYPERLINK \l "_Toc12159" </w:instrText>
          </w:r>
          <w:r>
            <w:fldChar w:fldCharType="separate"/>
          </w:r>
          <w:r>
            <w:t>（一）收入预算情况</w:t>
          </w:r>
          <w:r>
            <w:tab/>
          </w:r>
          <w:r>
            <w:fldChar w:fldCharType="begin"/>
          </w:r>
          <w:r>
            <w:instrText xml:space="preserve"> PAGEREF _Toc12159 \h </w:instrText>
          </w:r>
          <w:r>
            <w:fldChar w:fldCharType="separate"/>
          </w:r>
          <w:r>
            <w:t>10</w:t>
          </w:r>
          <w:r>
            <w:fldChar w:fldCharType="end"/>
          </w:r>
          <w:r>
            <w:fldChar w:fldCharType="end"/>
          </w:r>
        </w:p>
        <w:p>
          <w:pPr>
            <w:pStyle w:val="7"/>
            <w:tabs>
              <w:tab w:val="right" w:leader="dot" w:pos="9812"/>
            </w:tabs>
            <w:ind w:left="880"/>
          </w:pPr>
          <w:r>
            <w:fldChar w:fldCharType="begin"/>
          </w:r>
          <w:r>
            <w:instrText xml:space="preserve"> HYPERLINK \l "_Toc27133" </w:instrText>
          </w:r>
          <w:r>
            <w:fldChar w:fldCharType="separate"/>
          </w:r>
          <w:r>
            <w:t>（二）支出预算情况</w:t>
          </w:r>
          <w:r>
            <w:tab/>
          </w:r>
          <w:r>
            <w:fldChar w:fldCharType="begin"/>
          </w:r>
          <w:r>
            <w:instrText xml:space="preserve"> PAGEREF _Toc27133 \h </w:instrText>
          </w:r>
          <w:r>
            <w:fldChar w:fldCharType="separate"/>
          </w:r>
          <w:r>
            <w:t>10</w:t>
          </w:r>
          <w:r>
            <w:fldChar w:fldCharType="end"/>
          </w:r>
          <w:r>
            <w:fldChar w:fldCharType="end"/>
          </w:r>
        </w:p>
        <w:p>
          <w:pPr>
            <w:pStyle w:val="11"/>
            <w:tabs>
              <w:tab w:val="right" w:leader="dot" w:pos="9812"/>
            </w:tabs>
            <w:ind w:left="440"/>
          </w:pPr>
          <w:r>
            <w:fldChar w:fldCharType="begin"/>
          </w:r>
          <w:r>
            <w:instrText xml:space="preserve"> HYPERLINK \l "_Toc29060" </w:instrText>
          </w:r>
          <w:r>
            <w:fldChar w:fldCharType="separate"/>
          </w:r>
          <w:r>
            <w:rPr>
              <w:rFonts w:hint="eastAsia" w:eastAsia="黑体"/>
            </w:rPr>
            <w:t>二、财政拨款收支预算情况说明</w:t>
          </w:r>
          <w:r>
            <w:tab/>
          </w:r>
          <w:r>
            <w:fldChar w:fldCharType="begin"/>
          </w:r>
          <w:r>
            <w:instrText xml:space="preserve"> PAGEREF _Toc29060 \h </w:instrText>
          </w:r>
          <w:r>
            <w:fldChar w:fldCharType="separate"/>
          </w:r>
          <w:r>
            <w:t>10</w:t>
          </w:r>
          <w:r>
            <w:fldChar w:fldCharType="end"/>
          </w:r>
          <w:r>
            <w:fldChar w:fldCharType="end"/>
          </w:r>
        </w:p>
        <w:p>
          <w:pPr>
            <w:pStyle w:val="11"/>
            <w:tabs>
              <w:tab w:val="right" w:leader="dot" w:pos="9812"/>
            </w:tabs>
            <w:ind w:left="440"/>
          </w:pPr>
          <w:r>
            <w:fldChar w:fldCharType="begin"/>
          </w:r>
          <w:r>
            <w:instrText xml:space="preserve"> HYPERLINK \l "_Toc14493" </w:instrText>
          </w:r>
          <w:r>
            <w:fldChar w:fldCharType="separate"/>
          </w:r>
          <w:r>
            <w:rPr>
              <w:rFonts w:hint="eastAsia" w:eastAsia="黑体"/>
            </w:rPr>
            <w:t>三、一般公共预算当年拨款情况说明</w:t>
          </w:r>
          <w:r>
            <w:tab/>
          </w:r>
          <w:r>
            <w:fldChar w:fldCharType="begin"/>
          </w:r>
          <w:r>
            <w:instrText xml:space="preserve"> PAGEREF _Toc14493 \h </w:instrText>
          </w:r>
          <w:r>
            <w:fldChar w:fldCharType="separate"/>
          </w:r>
          <w:r>
            <w:t>11</w:t>
          </w:r>
          <w:r>
            <w:fldChar w:fldCharType="end"/>
          </w:r>
          <w:r>
            <w:fldChar w:fldCharType="end"/>
          </w:r>
        </w:p>
        <w:p>
          <w:pPr>
            <w:pStyle w:val="7"/>
            <w:tabs>
              <w:tab w:val="right" w:leader="dot" w:pos="9812"/>
            </w:tabs>
            <w:ind w:left="880"/>
          </w:pPr>
          <w:r>
            <w:fldChar w:fldCharType="begin"/>
          </w:r>
          <w:r>
            <w:instrText xml:space="preserve"> HYPERLINK \l "_Toc570" </w:instrText>
          </w:r>
          <w:r>
            <w:fldChar w:fldCharType="separate"/>
          </w:r>
          <w:r>
            <w:t>（一）一般公共预算当年拨款规模变化情况</w:t>
          </w:r>
          <w:r>
            <w:tab/>
          </w:r>
          <w:r>
            <w:fldChar w:fldCharType="begin"/>
          </w:r>
          <w:r>
            <w:instrText xml:space="preserve"> PAGEREF _Toc570 \h </w:instrText>
          </w:r>
          <w:r>
            <w:fldChar w:fldCharType="separate"/>
          </w:r>
          <w:r>
            <w:t>11</w:t>
          </w:r>
          <w:r>
            <w:fldChar w:fldCharType="end"/>
          </w:r>
          <w:r>
            <w:fldChar w:fldCharType="end"/>
          </w:r>
        </w:p>
        <w:p>
          <w:pPr>
            <w:pStyle w:val="7"/>
            <w:tabs>
              <w:tab w:val="right" w:leader="dot" w:pos="9812"/>
            </w:tabs>
            <w:ind w:left="880"/>
          </w:pPr>
          <w:r>
            <w:fldChar w:fldCharType="begin"/>
          </w:r>
          <w:r>
            <w:instrText xml:space="preserve"> HYPERLINK \l "_Toc24794" </w:instrText>
          </w:r>
          <w:r>
            <w:fldChar w:fldCharType="separate"/>
          </w:r>
          <w:r>
            <w:t>（二）一般公共预算当年拨款结构情况</w:t>
          </w:r>
          <w:r>
            <w:tab/>
          </w:r>
          <w:r>
            <w:fldChar w:fldCharType="begin"/>
          </w:r>
          <w:r>
            <w:instrText xml:space="preserve"> PAGEREF _Toc24794 \h </w:instrText>
          </w:r>
          <w:r>
            <w:fldChar w:fldCharType="separate"/>
          </w:r>
          <w:r>
            <w:t>11</w:t>
          </w:r>
          <w:r>
            <w:fldChar w:fldCharType="end"/>
          </w:r>
          <w:r>
            <w:fldChar w:fldCharType="end"/>
          </w:r>
        </w:p>
        <w:p>
          <w:pPr>
            <w:pStyle w:val="7"/>
            <w:tabs>
              <w:tab w:val="right" w:leader="dot" w:pos="9812"/>
            </w:tabs>
            <w:ind w:left="880"/>
          </w:pPr>
          <w:r>
            <w:fldChar w:fldCharType="begin"/>
          </w:r>
          <w:r>
            <w:instrText xml:space="preserve"> HYPERLINK \l "_Toc2563" </w:instrText>
          </w:r>
          <w:r>
            <w:fldChar w:fldCharType="separate"/>
          </w:r>
          <w:r>
            <w:t>（三）一般公共预算当年拨款具体使用情况</w:t>
          </w:r>
          <w:r>
            <w:tab/>
          </w:r>
          <w:r>
            <w:fldChar w:fldCharType="begin"/>
          </w:r>
          <w:r>
            <w:instrText xml:space="preserve"> PAGEREF _Toc2563 \h </w:instrText>
          </w:r>
          <w:r>
            <w:fldChar w:fldCharType="separate"/>
          </w:r>
          <w:r>
            <w:t>12</w:t>
          </w:r>
          <w:r>
            <w:fldChar w:fldCharType="end"/>
          </w:r>
          <w:r>
            <w:fldChar w:fldCharType="end"/>
          </w:r>
        </w:p>
        <w:p>
          <w:pPr>
            <w:pStyle w:val="11"/>
            <w:tabs>
              <w:tab w:val="right" w:leader="dot" w:pos="9812"/>
            </w:tabs>
            <w:ind w:left="440"/>
          </w:pPr>
          <w:r>
            <w:fldChar w:fldCharType="begin"/>
          </w:r>
          <w:r>
            <w:instrText xml:space="preserve"> HYPERLINK \l "_Toc6424" </w:instrText>
          </w:r>
          <w:r>
            <w:fldChar w:fldCharType="separate"/>
          </w:r>
          <w:r>
            <w:rPr>
              <w:rFonts w:hint="eastAsia" w:eastAsia="黑体"/>
            </w:rPr>
            <w:t>四、一般公共预算基本支出情况说明</w:t>
          </w:r>
          <w:r>
            <w:tab/>
          </w:r>
          <w:r>
            <w:fldChar w:fldCharType="begin"/>
          </w:r>
          <w:r>
            <w:instrText xml:space="preserve"> PAGEREF _Toc6424 \h </w:instrText>
          </w:r>
          <w:r>
            <w:fldChar w:fldCharType="separate"/>
          </w:r>
          <w:r>
            <w:t>14</w:t>
          </w:r>
          <w:r>
            <w:fldChar w:fldCharType="end"/>
          </w:r>
          <w:r>
            <w:fldChar w:fldCharType="end"/>
          </w:r>
        </w:p>
        <w:p>
          <w:pPr>
            <w:pStyle w:val="11"/>
            <w:tabs>
              <w:tab w:val="right" w:leader="dot" w:pos="9812"/>
            </w:tabs>
            <w:ind w:left="440"/>
          </w:pPr>
          <w:r>
            <w:fldChar w:fldCharType="begin"/>
          </w:r>
          <w:r>
            <w:instrText xml:space="preserve"> HYPERLINK \l "_Toc32538" </w:instrText>
          </w:r>
          <w:r>
            <w:fldChar w:fldCharType="separate"/>
          </w:r>
          <w:r>
            <w:rPr>
              <w:rFonts w:hint="eastAsia" w:eastAsia="黑体"/>
            </w:rPr>
            <w:t>五、“三公”经费财政拨款预算安排情况说明</w:t>
          </w:r>
          <w:r>
            <w:tab/>
          </w:r>
          <w:r>
            <w:fldChar w:fldCharType="begin"/>
          </w:r>
          <w:r>
            <w:instrText xml:space="preserve"> PAGEREF _Toc32538 \h </w:instrText>
          </w:r>
          <w:r>
            <w:fldChar w:fldCharType="separate"/>
          </w:r>
          <w:r>
            <w:t>15</w:t>
          </w:r>
          <w:r>
            <w:fldChar w:fldCharType="end"/>
          </w:r>
          <w:r>
            <w:fldChar w:fldCharType="end"/>
          </w:r>
        </w:p>
        <w:p>
          <w:pPr>
            <w:pStyle w:val="7"/>
            <w:tabs>
              <w:tab w:val="right" w:leader="dot" w:pos="9812"/>
            </w:tabs>
            <w:ind w:left="880"/>
          </w:pPr>
          <w:r>
            <w:fldChar w:fldCharType="begin"/>
          </w:r>
          <w:r>
            <w:instrText xml:space="preserve"> HYPERLINK \l "_Toc14981" </w:instrText>
          </w:r>
          <w:r>
            <w:fldChar w:fldCharType="separate"/>
          </w:r>
          <w:r>
            <w:t>（一）</w:t>
          </w:r>
          <w:r>
            <w:rPr>
              <w:rFonts w:hint="eastAsia"/>
              <w:lang w:val="en-US"/>
            </w:rPr>
            <w:t>公务接待费变化情况</w:t>
          </w:r>
          <w:r>
            <w:tab/>
          </w:r>
          <w:r>
            <w:fldChar w:fldCharType="begin"/>
          </w:r>
          <w:r>
            <w:instrText xml:space="preserve"> PAGEREF _Toc14981 \h </w:instrText>
          </w:r>
          <w:r>
            <w:fldChar w:fldCharType="separate"/>
          </w:r>
          <w:r>
            <w:t>15</w:t>
          </w:r>
          <w:r>
            <w:fldChar w:fldCharType="end"/>
          </w:r>
          <w:r>
            <w:fldChar w:fldCharType="end"/>
          </w:r>
        </w:p>
        <w:p>
          <w:pPr>
            <w:pStyle w:val="7"/>
            <w:tabs>
              <w:tab w:val="right" w:leader="dot" w:pos="9812"/>
            </w:tabs>
            <w:ind w:left="880"/>
          </w:pPr>
          <w:r>
            <w:fldChar w:fldCharType="begin"/>
          </w:r>
          <w:r>
            <w:instrText xml:space="preserve"> HYPERLINK \l "_Toc2659" </w:instrText>
          </w:r>
          <w:r>
            <w:fldChar w:fldCharType="separate"/>
          </w:r>
          <w:r>
            <w:t>（</w:t>
          </w:r>
          <w:r>
            <w:rPr>
              <w:rFonts w:hint="eastAsia"/>
              <w:lang w:val="en-US"/>
            </w:rPr>
            <w:t>二</w:t>
          </w:r>
          <w:r>
            <w:t>）</w:t>
          </w:r>
          <w:r>
            <w:rPr>
              <w:rFonts w:hint="eastAsia"/>
              <w:lang w:val="en-US"/>
            </w:rPr>
            <w:t>公务用车购置及运行维护费变化情况</w:t>
          </w:r>
          <w:r>
            <w:tab/>
          </w:r>
          <w:r>
            <w:fldChar w:fldCharType="begin"/>
          </w:r>
          <w:r>
            <w:instrText xml:space="preserve"> PAGEREF _Toc2659 \h </w:instrText>
          </w:r>
          <w:r>
            <w:fldChar w:fldCharType="separate"/>
          </w:r>
          <w:r>
            <w:t>15</w:t>
          </w:r>
          <w:r>
            <w:fldChar w:fldCharType="end"/>
          </w:r>
          <w:r>
            <w:fldChar w:fldCharType="end"/>
          </w:r>
        </w:p>
        <w:p>
          <w:pPr>
            <w:pStyle w:val="11"/>
            <w:tabs>
              <w:tab w:val="right" w:leader="dot" w:pos="9812"/>
            </w:tabs>
            <w:ind w:left="440"/>
          </w:pPr>
          <w:r>
            <w:fldChar w:fldCharType="begin"/>
          </w:r>
          <w:r>
            <w:instrText xml:space="preserve"> HYPERLINK \l "_Toc17408" </w:instrText>
          </w:r>
          <w:r>
            <w:fldChar w:fldCharType="separate"/>
          </w:r>
          <w:r>
            <w:rPr>
              <w:rFonts w:hint="eastAsia" w:eastAsia="黑体"/>
            </w:rPr>
            <w:t>六、政府性基金预算支出情况说明</w:t>
          </w:r>
          <w:r>
            <w:tab/>
          </w:r>
          <w:r>
            <w:fldChar w:fldCharType="begin"/>
          </w:r>
          <w:r>
            <w:instrText xml:space="preserve"> PAGEREF _Toc17408 \h </w:instrText>
          </w:r>
          <w:r>
            <w:fldChar w:fldCharType="separate"/>
          </w:r>
          <w:r>
            <w:t>16</w:t>
          </w:r>
          <w:r>
            <w:fldChar w:fldCharType="end"/>
          </w:r>
          <w:r>
            <w:fldChar w:fldCharType="end"/>
          </w:r>
        </w:p>
        <w:p>
          <w:pPr>
            <w:pStyle w:val="11"/>
            <w:tabs>
              <w:tab w:val="right" w:leader="dot" w:pos="9812"/>
            </w:tabs>
            <w:ind w:left="440"/>
          </w:pPr>
          <w:r>
            <w:fldChar w:fldCharType="begin"/>
          </w:r>
          <w:r>
            <w:instrText xml:space="preserve"> HYPERLINK \l "_Toc4201" </w:instrText>
          </w:r>
          <w:r>
            <w:fldChar w:fldCharType="separate"/>
          </w:r>
          <w:r>
            <w:rPr>
              <w:rFonts w:hint="eastAsia" w:eastAsia="黑体"/>
              <w:lang w:val="en-US"/>
            </w:rPr>
            <w:t>七、</w:t>
          </w:r>
          <w:r>
            <w:rPr>
              <w:rFonts w:hint="eastAsia" w:eastAsia="黑体"/>
            </w:rPr>
            <w:t>国有资本经营预算情况说明</w:t>
          </w:r>
          <w:r>
            <w:tab/>
          </w:r>
          <w:r>
            <w:fldChar w:fldCharType="begin"/>
          </w:r>
          <w:r>
            <w:instrText xml:space="preserve"> PAGEREF _Toc4201 \h </w:instrText>
          </w:r>
          <w:r>
            <w:fldChar w:fldCharType="separate"/>
          </w:r>
          <w:r>
            <w:t>16</w:t>
          </w:r>
          <w:r>
            <w:fldChar w:fldCharType="end"/>
          </w:r>
          <w:r>
            <w:fldChar w:fldCharType="end"/>
          </w:r>
        </w:p>
        <w:p>
          <w:pPr>
            <w:pStyle w:val="11"/>
            <w:tabs>
              <w:tab w:val="right" w:leader="dot" w:pos="9812"/>
            </w:tabs>
            <w:ind w:left="440"/>
          </w:pPr>
          <w:r>
            <w:fldChar w:fldCharType="begin"/>
          </w:r>
          <w:r>
            <w:instrText xml:space="preserve"> HYPERLINK \l "_Toc3378" </w:instrText>
          </w:r>
          <w:r>
            <w:fldChar w:fldCharType="separate"/>
          </w:r>
          <w:r>
            <w:rPr>
              <w:rFonts w:hint="eastAsia" w:eastAsia="黑体"/>
              <w:lang w:val="en-US"/>
            </w:rPr>
            <w:t>八、其他重要事项的情况说明</w:t>
          </w:r>
          <w:r>
            <w:tab/>
          </w:r>
          <w:r>
            <w:fldChar w:fldCharType="begin"/>
          </w:r>
          <w:r>
            <w:instrText xml:space="preserve"> PAGEREF _Toc3378 \h </w:instrText>
          </w:r>
          <w:r>
            <w:fldChar w:fldCharType="separate"/>
          </w:r>
          <w:r>
            <w:t>16</w:t>
          </w:r>
          <w:r>
            <w:fldChar w:fldCharType="end"/>
          </w:r>
          <w:r>
            <w:fldChar w:fldCharType="end"/>
          </w:r>
        </w:p>
        <w:p>
          <w:pPr>
            <w:pStyle w:val="7"/>
            <w:tabs>
              <w:tab w:val="right" w:leader="dot" w:pos="9812"/>
            </w:tabs>
            <w:ind w:left="880"/>
          </w:pPr>
          <w:r>
            <w:fldChar w:fldCharType="begin"/>
          </w:r>
          <w:r>
            <w:instrText xml:space="preserve"> HYPERLINK \l "_Toc2176" </w:instrText>
          </w:r>
          <w:r>
            <w:fldChar w:fldCharType="separate"/>
          </w:r>
          <w:r>
            <w:t>（一）机关运行经费情况</w:t>
          </w:r>
          <w:r>
            <w:tab/>
          </w:r>
          <w:r>
            <w:fldChar w:fldCharType="begin"/>
          </w:r>
          <w:r>
            <w:instrText xml:space="preserve"> PAGEREF _Toc2176 \h </w:instrText>
          </w:r>
          <w:r>
            <w:fldChar w:fldCharType="separate"/>
          </w:r>
          <w:r>
            <w:t>16</w:t>
          </w:r>
          <w:r>
            <w:fldChar w:fldCharType="end"/>
          </w:r>
          <w:r>
            <w:fldChar w:fldCharType="end"/>
          </w:r>
        </w:p>
        <w:p>
          <w:pPr>
            <w:pStyle w:val="7"/>
            <w:tabs>
              <w:tab w:val="right" w:leader="dot" w:pos="9812"/>
            </w:tabs>
            <w:ind w:left="880"/>
          </w:pPr>
          <w:r>
            <w:fldChar w:fldCharType="begin"/>
          </w:r>
          <w:r>
            <w:instrText xml:space="preserve"> HYPERLINK \l "_Toc14984" </w:instrText>
          </w:r>
          <w:r>
            <w:fldChar w:fldCharType="separate"/>
          </w:r>
          <w:r>
            <w:t>（二）政府采购情况</w:t>
          </w:r>
          <w:r>
            <w:tab/>
          </w:r>
          <w:r>
            <w:fldChar w:fldCharType="begin"/>
          </w:r>
          <w:r>
            <w:instrText xml:space="preserve"> PAGEREF _Toc14984 \h </w:instrText>
          </w:r>
          <w:r>
            <w:fldChar w:fldCharType="separate"/>
          </w:r>
          <w:r>
            <w:t>16</w:t>
          </w:r>
          <w:r>
            <w:fldChar w:fldCharType="end"/>
          </w:r>
          <w:r>
            <w:fldChar w:fldCharType="end"/>
          </w:r>
        </w:p>
        <w:p>
          <w:pPr>
            <w:pStyle w:val="7"/>
            <w:tabs>
              <w:tab w:val="right" w:leader="dot" w:pos="9812"/>
            </w:tabs>
            <w:ind w:left="880"/>
          </w:pPr>
          <w:r>
            <w:fldChar w:fldCharType="begin"/>
          </w:r>
          <w:r>
            <w:instrText xml:space="preserve"> HYPERLINK \l "_Toc3525" </w:instrText>
          </w:r>
          <w:r>
            <w:fldChar w:fldCharType="separate"/>
          </w:r>
          <w:r>
            <w:t>（三）国有资产占有使用情况</w:t>
          </w:r>
          <w:r>
            <w:tab/>
          </w:r>
          <w:r>
            <w:fldChar w:fldCharType="begin"/>
          </w:r>
          <w:r>
            <w:instrText xml:space="preserve"> PAGEREF _Toc3525 \h </w:instrText>
          </w:r>
          <w:r>
            <w:fldChar w:fldCharType="separate"/>
          </w:r>
          <w:r>
            <w:t>17</w:t>
          </w:r>
          <w:r>
            <w:fldChar w:fldCharType="end"/>
          </w:r>
          <w:r>
            <w:fldChar w:fldCharType="end"/>
          </w:r>
        </w:p>
        <w:p>
          <w:pPr>
            <w:pStyle w:val="7"/>
            <w:tabs>
              <w:tab w:val="right" w:leader="dot" w:pos="9812"/>
            </w:tabs>
            <w:ind w:left="880"/>
          </w:pPr>
          <w:r>
            <w:fldChar w:fldCharType="begin"/>
          </w:r>
          <w:r>
            <w:instrText xml:space="preserve"> HYPERLINK \l "_Toc6271" </w:instrText>
          </w:r>
          <w:r>
            <w:fldChar w:fldCharType="separate"/>
          </w:r>
          <w:r>
            <w:rPr>
              <w:rFonts w:hint="eastAsia"/>
            </w:rPr>
            <w:t>（</w:t>
          </w:r>
          <w:r>
            <w:rPr>
              <w:rFonts w:hint="eastAsia"/>
              <w:lang w:val="en-US"/>
            </w:rPr>
            <w:t>四</w:t>
          </w:r>
          <w:r>
            <w:rPr>
              <w:rFonts w:hint="eastAsia"/>
            </w:rPr>
            <w:t>）</w:t>
          </w:r>
          <w:r>
            <w:t>预算绩效情况</w:t>
          </w:r>
          <w:r>
            <w:tab/>
          </w:r>
          <w:r>
            <w:fldChar w:fldCharType="begin"/>
          </w:r>
          <w:r>
            <w:instrText xml:space="preserve"> PAGEREF _Toc6271 \h </w:instrText>
          </w:r>
          <w:r>
            <w:fldChar w:fldCharType="separate"/>
          </w:r>
          <w:r>
            <w:t>17</w:t>
          </w:r>
          <w:r>
            <w:fldChar w:fldCharType="end"/>
          </w:r>
          <w:r>
            <w:fldChar w:fldCharType="end"/>
          </w:r>
        </w:p>
        <w:p>
          <w:pPr>
            <w:pStyle w:val="10"/>
            <w:tabs>
              <w:tab w:val="right" w:leader="dot" w:pos="9812"/>
            </w:tabs>
          </w:pPr>
          <w:r>
            <w:fldChar w:fldCharType="begin"/>
          </w:r>
          <w:r>
            <w:instrText xml:space="preserve"> HYPERLINK \l "_Toc27057" </w:instrText>
          </w:r>
          <w:r>
            <w:fldChar w:fldCharType="separate"/>
          </w:r>
          <w:r>
            <w:rPr>
              <w:rFonts w:hint="eastAsia" w:eastAsia="方正小标宋简体" w:cs="方正小标宋简体"/>
              <w:szCs w:val="52"/>
              <w:lang w:val="en-US"/>
            </w:rPr>
            <w:t>第四部分  名词解释</w:t>
          </w:r>
          <w:r>
            <w:tab/>
          </w:r>
          <w:r>
            <w:fldChar w:fldCharType="begin"/>
          </w:r>
          <w:r>
            <w:instrText xml:space="preserve"> PAGEREF _Toc27057 \h </w:instrText>
          </w:r>
          <w:r>
            <w:fldChar w:fldCharType="separate"/>
          </w:r>
          <w:r>
            <w:t>18</w:t>
          </w:r>
          <w:r>
            <w:fldChar w:fldCharType="end"/>
          </w:r>
          <w:r>
            <w:fldChar w:fldCharType="end"/>
          </w:r>
        </w:p>
        <w:p>
          <w:pPr>
            <w:pStyle w:val="5"/>
            <w:tabs>
              <w:tab w:val="left" w:pos="4798"/>
            </w:tabs>
            <w:jc w:val="both"/>
            <w:rPr>
              <w:rFonts w:ascii="宋体" w:hAnsi="宋体" w:eastAsia="方正小标宋简体" w:cs="方正小标宋简体"/>
              <w:b/>
              <w:bCs/>
              <w:sz w:val="48"/>
              <w:szCs w:val="48"/>
              <w:lang w:val="en-US"/>
            </w:rPr>
          </w:pPr>
          <w:r>
            <w:rPr>
              <w:rFonts w:hint="eastAsia" w:ascii="宋体" w:hAnsi="宋体" w:eastAsia="方正小标宋简体" w:cs="方正小标宋简体"/>
              <w:bCs/>
              <w:szCs w:val="48"/>
              <w:lang w:val="en-US"/>
            </w:rPr>
            <w:fldChar w:fldCharType="end"/>
          </w:r>
        </w:p>
      </w:sdtContent>
    </w:sdt>
    <w:p>
      <w:pPr>
        <w:pStyle w:val="5"/>
        <w:rPr>
          <w:rFonts w:ascii="宋体" w:hAnsi="宋体"/>
          <w:sz w:val="20"/>
        </w:rPr>
        <w:sectPr>
          <w:headerReference r:id="rId3" w:type="default"/>
          <w:footerReference r:id="rId4" w:type="default"/>
          <w:pgSz w:w="11910" w:h="16840"/>
          <w:pgMar w:top="1587" w:right="964" w:bottom="1701" w:left="1134" w:header="737" w:footer="737" w:gutter="0"/>
          <w:pgNumType w:start="1"/>
          <w:cols w:space="0" w:num="1"/>
        </w:sect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spacing w:before="3"/>
        <w:rPr>
          <w:rFonts w:ascii="宋体" w:hAnsi="宋体"/>
          <w:sz w:val="28"/>
        </w:rPr>
      </w:pPr>
    </w:p>
    <w:p>
      <w:pPr>
        <w:pStyle w:val="5"/>
        <w:numPr>
          <w:ilvl w:val="0"/>
          <w:numId w:val="1"/>
        </w:numPr>
        <w:jc w:val="center"/>
        <w:outlineLvl w:val="0"/>
        <w:rPr>
          <w:rFonts w:ascii="宋体" w:hAnsi="宋体" w:eastAsia="方正小标宋简体" w:cs="方正小标宋简体"/>
          <w:b/>
          <w:bCs/>
          <w:sz w:val="52"/>
          <w:szCs w:val="52"/>
          <w:lang w:val="en-US"/>
        </w:rPr>
      </w:pPr>
      <w:bookmarkStart w:id="0" w:name="_Toc27553"/>
      <w:r>
        <w:rPr>
          <w:rFonts w:hint="eastAsia" w:ascii="宋体" w:hAnsi="宋体" w:eastAsia="方正小标宋简体" w:cs="方正小标宋简体"/>
          <w:b/>
          <w:bCs/>
          <w:sz w:val="52"/>
          <w:szCs w:val="52"/>
          <w:lang w:val="en-US"/>
        </w:rPr>
        <w:t>部门概况</w:t>
      </w:r>
      <w:bookmarkEnd w:id="0"/>
    </w:p>
    <w:p>
      <w:pPr>
        <w:pStyle w:val="5"/>
        <w:spacing w:before="40" w:afterLines="50"/>
        <w:ind w:firstLine="640" w:firstLineChars="200"/>
        <w:rPr>
          <w:rFonts w:ascii="宋体" w:hAnsi="宋体" w:eastAsia="黑体"/>
          <w:color w:val="333333"/>
        </w:rPr>
      </w:pPr>
    </w:p>
    <w:p>
      <w:pPr>
        <w:pStyle w:val="5"/>
        <w:spacing w:before="40" w:afterLines="50"/>
        <w:ind w:firstLine="640" w:firstLineChars="200"/>
        <w:rPr>
          <w:rFonts w:ascii="宋体" w:hAnsi="宋体" w:eastAsia="黑体"/>
          <w:color w:val="333333"/>
        </w:rPr>
      </w:pPr>
    </w:p>
    <w:p>
      <w:pPr>
        <w:pStyle w:val="5"/>
        <w:spacing w:before="40" w:afterLines="50"/>
        <w:ind w:firstLine="640" w:firstLineChars="200"/>
        <w:rPr>
          <w:rFonts w:ascii="宋体" w:hAnsi="宋体" w:eastAsia="黑体"/>
          <w:color w:val="333333"/>
        </w:rPr>
        <w:sectPr>
          <w:footerReference r:id="rId5" w:type="default"/>
          <w:pgSz w:w="11910" w:h="16840"/>
          <w:pgMar w:top="1587" w:right="964" w:bottom="1701" w:left="1134" w:header="737" w:footer="737" w:gutter="0"/>
          <w:pgNumType w:start="1"/>
          <w:cols w:space="0" w:num="1"/>
        </w:sectPr>
      </w:pPr>
    </w:p>
    <w:p>
      <w:pPr>
        <w:pStyle w:val="5"/>
        <w:spacing w:before="40" w:afterLines="50"/>
        <w:ind w:firstLine="640" w:firstLineChars="200"/>
        <w:outlineLvl w:val="1"/>
        <w:rPr>
          <w:rFonts w:ascii="宋体" w:hAnsi="宋体" w:eastAsia="黑体"/>
          <w:color w:val="333333"/>
        </w:rPr>
      </w:pPr>
      <w:bookmarkStart w:id="1" w:name="_Toc32044"/>
      <w:r>
        <w:rPr>
          <w:rFonts w:hint="eastAsia" w:ascii="宋体" w:hAnsi="宋体" w:eastAsia="黑体"/>
          <w:color w:val="333333"/>
        </w:rPr>
        <w:t>一、基本职能及主要工作</w:t>
      </w:r>
      <w:bookmarkEnd w:id="1"/>
    </w:p>
    <w:p>
      <w:pPr>
        <w:pStyle w:val="4"/>
        <w:spacing w:before="100" w:afterLines="50"/>
        <w:ind w:left="0" w:firstLine="964" w:firstLineChars="300"/>
        <w:rPr>
          <w:rFonts w:ascii="宋体" w:hAnsi="宋体"/>
        </w:rPr>
      </w:pPr>
      <w:bookmarkStart w:id="2" w:name="_Toc8601"/>
      <w:r>
        <w:rPr>
          <w:rFonts w:ascii="宋体" w:hAnsi="宋体"/>
        </w:rPr>
        <w:t>（一）部门职能简介</w:t>
      </w:r>
      <w:bookmarkEnd w:id="2"/>
    </w:p>
    <w:p>
      <w:pPr>
        <w:pStyle w:val="21"/>
        <w:ind w:left="638" w:leftChars="290"/>
        <w:rPr>
          <w:rFonts w:ascii="宋体" w:hAnsi="宋体" w:cs="仿宋_GB2312"/>
          <w:szCs w:val="22"/>
          <w:lang w:val="en-US"/>
        </w:rPr>
      </w:pPr>
      <w:r>
        <w:rPr>
          <w:rFonts w:hint="eastAsia" w:ascii="宋体" w:hAnsi="宋体" w:cs="仿宋_GB2312"/>
          <w:szCs w:val="22"/>
          <w:lang w:val="en-US"/>
        </w:rPr>
        <w:t>1.负责处理区内外群众给区委、区政府的来信、来电、网上信访，接待群众来访，保证信访渠道畅通；及时、准确地向区委、区政府领导反映来信来访中提出的重要建议、意见和问题；综合分析信访信息，开展调查研究，提出完善政策的建议。2．承办上级领导机关及其所属部门、单位和市委、市政府领导交办的信访事项。督促检查领导同志有关批示件的落实情况；根据领导同志意见，向区级有关部门、镇（乡）交办、转办信访事项，督促检查重要信访事项的处理和落实。3．协调处理跨地区、跨部门的重要信访问题；应急协调处理群众到市到省赴京上访和异常、突发新信访事件；协调处理信访积案。4．检查、指导、协调区级各部门、各单位的信访工作；负责组织实施对全区信访工作的目标管理；总结推广信访工作的经验，提出加强和改进信访工作的意见和建议。5．负责收集人民群众提出的建议意见，为区委、区政府提供参考；对带全局性的或涉及面较大的重要信访问题开展调查研究，提出解决问题的方案或建议。6．负责全区信访工作队伍建设，组织信访干部的培训。7．依据政策规定，认真做好来访群众的思想疏导工作。8.负责职责范围内的安全生产和职业健康、生态环境等工作。9.负责心连心服务热线交办事项的办理和上报，协调督促事项办理并开展考评，及时更新涉及本地知识库。10.完成区委、区政府交办的其他任务。</w:t>
      </w:r>
    </w:p>
    <w:p>
      <w:pPr>
        <w:pStyle w:val="4"/>
        <w:spacing w:before="190"/>
        <w:ind w:left="0" w:firstLine="964" w:firstLineChars="300"/>
        <w:rPr>
          <w:rFonts w:ascii="宋体" w:hAnsi="宋体"/>
        </w:rPr>
      </w:pPr>
      <w:bookmarkStart w:id="3" w:name="_Toc10837"/>
      <w:r>
        <w:rPr>
          <w:rFonts w:ascii="宋体" w:hAnsi="宋体"/>
        </w:rPr>
        <w:t>（二）部门</w:t>
      </w:r>
      <w:r>
        <w:rPr>
          <w:rFonts w:hint="eastAsia" w:ascii="宋体" w:hAnsi="宋体"/>
          <w:lang w:val="en-US"/>
        </w:rPr>
        <w:t>2026</w:t>
      </w:r>
      <w:r>
        <w:rPr>
          <w:rFonts w:ascii="宋体" w:hAnsi="宋体"/>
        </w:rPr>
        <w:t>年重点工</w:t>
      </w:r>
      <w:r>
        <w:rPr>
          <w:rFonts w:hint="eastAsia" w:ascii="宋体" w:hAnsi="宋体"/>
        </w:rPr>
        <w:t>作</w:t>
      </w:r>
      <w:bookmarkEnd w:id="3"/>
    </w:p>
    <w:p>
      <w:pPr>
        <w:pStyle w:val="22"/>
        <w:spacing w:line="576" w:lineRule="exact"/>
        <w:ind w:firstLine="640" w:firstLineChars="200"/>
        <w:jc w:val="both"/>
        <w:rPr>
          <w:rFonts w:ascii="宋体" w:hAnsi="宋体" w:eastAsia="仿宋_GB2312" w:cs="仿宋_GB2312"/>
          <w:color w:val="auto"/>
          <w:sz w:val="32"/>
          <w:szCs w:val="22"/>
          <w:lang w:bidi="zh-CN"/>
        </w:rPr>
      </w:pPr>
      <w:r>
        <w:rPr>
          <w:rFonts w:hint="eastAsia" w:ascii="宋体" w:hAnsi="宋体" w:eastAsia="仿宋_GB2312" w:cs="仿宋_GB2312"/>
          <w:color w:val="auto"/>
          <w:sz w:val="32"/>
          <w:szCs w:val="22"/>
          <w:lang w:bidi="zh-CN"/>
        </w:rPr>
        <w:t>1.着力推进信访工作法治化。聚焦信访法治化目标要求，全面推进信访工作预防法治化、受理法治化、办理法治化、监督追责法治化、维护秩序法治化。以《信访工作条例》为遵循，以业务规范化为基础，以职能部门履职尽责为重点，以强化监督追责为关键，以信息化建设为保障，确保群众的每一项诉求都有人办理，群众的每一项诉求都依法推进。严格按照法律程序进行规范登记、分类、转办、督办等，确保每一个信访事项都能得到依法、及时、有效处理。</w:t>
      </w:r>
    </w:p>
    <w:p>
      <w:pPr>
        <w:pStyle w:val="22"/>
        <w:spacing w:line="576" w:lineRule="exact"/>
        <w:ind w:firstLine="640" w:firstLineChars="200"/>
        <w:jc w:val="both"/>
        <w:rPr>
          <w:rFonts w:ascii="宋体" w:hAnsi="宋体" w:eastAsia="仿宋_GB2312" w:cs="仿宋_GB2312"/>
          <w:color w:val="auto"/>
          <w:sz w:val="32"/>
          <w:szCs w:val="22"/>
          <w:lang w:bidi="zh-CN"/>
        </w:rPr>
      </w:pPr>
      <w:r>
        <w:rPr>
          <w:rFonts w:hint="eastAsia" w:ascii="宋体" w:hAnsi="宋体" w:eastAsia="仿宋_GB2312" w:cs="仿宋_GB2312"/>
          <w:color w:val="auto"/>
          <w:sz w:val="32"/>
          <w:szCs w:val="22"/>
          <w:lang w:bidi="zh-CN"/>
        </w:rPr>
        <w:t>2.深化信访问题源头治理和积案化解。坚持和发展新时代“枫桥经验”,聚焦预防在前、调解优先、运用法治、就地解决实践要求，深入推进信访问题源头治理三年攻坚行动，最大限度把矛盾问题解决在基层和萌芽状态，落实各类群访涉政涉稳预警机制。及时了解、发现、掌握各类矛盾纠纷和信访苗头，落实责任、细化目标、明确措施、动态监管。树牢“解决”比解释更重要的工作理念，坚持把信访工作的落脚点放在“事要解决上”，认真践行“四下基层”优良传统，常态化开展开门接访、现场办公。积极做好信访积案化解，最大限度减少问题积累，防止信访上行。</w:t>
      </w:r>
    </w:p>
    <w:p>
      <w:pPr>
        <w:pStyle w:val="22"/>
        <w:spacing w:line="576" w:lineRule="exact"/>
        <w:ind w:firstLine="640" w:firstLineChars="200"/>
        <w:jc w:val="both"/>
        <w:rPr>
          <w:rFonts w:ascii="宋体" w:hAnsi="宋体" w:eastAsia="仿宋_GB2312" w:cs="仿宋_GB2312"/>
          <w:color w:val="auto"/>
          <w:sz w:val="32"/>
          <w:szCs w:val="22"/>
          <w:lang w:bidi="zh-CN"/>
        </w:rPr>
      </w:pPr>
      <w:r>
        <w:rPr>
          <w:rFonts w:hint="eastAsia" w:ascii="宋体" w:hAnsi="宋体" w:eastAsia="仿宋_GB2312" w:cs="仿宋_GB2312"/>
          <w:color w:val="auto"/>
          <w:sz w:val="32"/>
          <w:szCs w:val="22"/>
          <w:lang w:bidi="zh-CN"/>
        </w:rPr>
        <w:t>3.强化集访预防与处置工作。做好信访群体的问题解决、矛盾化解、教育疏导、信息预警，推动精准施策，分类化解。围绕控增、减存、防变，加强苗头性倾向性群体性问题分析研判，抓实抓细信息预警、现场处置、劝返接回、教育稳控、问题化解、依法处置等关键环节工作。</w:t>
      </w:r>
    </w:p>
    <w:p>
      <w:pPr>
        <w:pStyle w:val="22"/>
        <w:spacing w:line="576" w:lineRule="exact"/>
        <w:ind w:firstLine="640" w:firstLineChars="200"/>
        <w:jc w:val="both"/>
        <w:rPr>
          <w:rFonts w:ascii="宋体" w:hAnsi="宋体" w:eastAsia="仿宋_GB2312" w:cs="仿宋_GB2312"/>
          <w:color w:val="auto"/>
          <w:sz w:val="32"/>
          <w:szCs w:val="22"/>
          <w:lang w:bidi="zh-CN"/>
        </w:rPr>
      </w:pPr>
      <w:r>
        <w:rPr>
          <w:rFonts w:hint="eastAsia" w:ascii="宋体" w:hAnsi="宋体" w:eastAsia="仿宋_GB2312" w:cs="仿宋_GB2312"/>
          <w:color w:val="auto"/>
          <w:sz w:val="32"/>
          <w:szCs w:val="22"/>
          <w:lang w:bidi="zh-CN"/>
        </w:rPr>
        <w:t>4.持续提升热线工作办理质效。充分发挥各级党组织在接诉即办改革中的统揽作用，探索构建自下而上接诉即办和自上而下未诉先办治理体系，推动五通桥区基层治理体系和治理能力现代化，提质打造新时代“枫桥经验”五通桥区实践。督促承办单位指导经办人切实提高政治站位，注重工作方式方法，从切实为民服务角度出发，依法、依规、依理、依情开展工单办理，提升工单办理效率，注重问题解决质效，切实把矛盾化解在萌芽状态。</w:t>
      </w:r>
    </w:p>
    <w:p>
      <w:pPr>
        <w:pStyle w:val="22"/>
        <w:spacing w:line="576" w:lineRule="exact"/>
        <w:ind w:firstLine="640" w:firstLineChars="200"/>
        <w:jc w:val="both"/>
        <w:rPr>
          <w:rFonts w:ascii="宋体" w:hAnsi="宋体" w:eastAsia="黑体"/>
          <w:color w:val="333333"/>
        </w:rPr>
      </w:pPr>
      <w:r>
        <w:rPr>
          <w:rFonts w:hint="eastAsia" w:ascii="宋体" w:hAnsi="宋体" w:eastAsia="仿宋_GB2312" w:cs="仿宋_GB2312"/>
          <w:color w:val="auto"/>
          <w:sz w:val="32"/>
          <w:szCs w:val="22"/>
          <w:lang w:bidi="zh-CN"/>
        </w:rPr>
        <w:t>5.加强信访安全稳定保障。认真贯彻落实各级决策部署，提高政治站位，强化使命担当，狠抓工作落实。对影响社会安全稳定的苗头性、行动性、预警性信息，及时搜集梳理、跟踪分析、预警通报、落地核查，严防风险外溢、矛盾上行。紧盯重要敏感时段，完善应急处置预案，抓实跟踪分析、通报预警、落地核实，坚决守住“三个不发生”工作底线。</w:t>
      </w:r>
    </w:p>
    <w:p>
      <w:pPr>
        <w:pStyle w:val="5"/>
        <w:spacing w:before="40" w:afterLines="50"/>
        <w:ind w:firstLine="640" w:firstLineChars="200"/>
        <w:outlineLvl w:val="1"/>
        <w:rPr>
          <w:rFonts w:ascii="宋体" w:hAnsi="宋体" w:eastAsia="黑体"/>
          <w:color w:val="333333"/>
        </w:rPr>
      </w:pPr>
      <w:bookmarkStart w:id="4" w:name="_Toc27269"/>
      <w:r>
        <w:rPr>
          <w:rFonts w:hint="eastAsia" w:ascii="宋体" w:hAnsi="宋体" w:eastAsia="黑体"/>
          <w:color w:val="333333"/>
        </w:rPr>
        <w:t>二、部门预算单位构成</w:t>
      </w:r>
      <w:bookmarkEnd w:id="4"/>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区信访局部门下属预算单位2个（含局机关），其中行政单位1个，参照公务员法管理的事业单位0个，其他事业单位1个。主要包括：</w:t>
      </w:r>
    </w:p>
    <w:p>
      <w:pPr>
        <w:pStyle w:val="16"/>
        <w:tabs>
          <w:tab w:val="left" w:pos="1784"/>
        </w:tabs>
        <w:spacing w:beforeLines="100" w:afterLines="50" w:line="560" w:lineRule="exact"/>
        <w:ind w:left="0" w:right="660" w:rightChars="300" w:firstLine="0"/>
        <w:rPr>
          <w:rFonts w:ascii="宋体" w:hAnsi="宋体"/>
          <w:sz w:val="32"/>
          <w:lang w:val="en-US"/>
        </w:rPr>
      </w:pPr>
    </w:p>
    <w:tbl>
      <w:tblPr>
        <w:tblStyle w:val="13"/>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7"/>
              <w:spacing w:before="159"/>
              <w:ind w:left="748"/>
              <w:rPr>
                <w:rFonts w:eastAsia="仿宋_GB2312"/>
                <w:sz w:val="32"/>
              </w:rPr>
            </w:pPr>
            <w:r>
              <w:rPr>
                <w:rFonts w:hint="eastAsia" w:eastAsia="仿宋_GB2312"/>
                <w:color w:val="333333"/>
                <w:sz w:val="32"/>
              </w:rPr>
              <w:t>序号</w:t>
            </w:r>
          </w:p>
        </w:tc>
        <w:tc>
          <w:tcPr>
            <w:tcW w:w="6282" w:type="dxa"/>
          </w:tcPr>
          <w:p>
            <w:pPr>
              <w:pStyle w:val="17"/>
              <w:spacing w:before="159"/>
              <w:ind w:left="2498"/>
              <w:rPr>
                <w:rFonts w:eastAsia="仿宋_GB2312"/>
                <w:sz w:val="32"/>
              </w:rPr>
            </w:pPr>
            <w:r>
              <w:rPr>
                <w:rFonts w:hint="eastAsia"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7"/>
              <w:spacing w:before="181"/>
              <w:ind w:left="748"/>
              <w:rPr>
                <w:sz w:val="32"/>
              </w:rPr>
            </w:pPr>
            <w:r>
              <w:rPr>
                <w:color w:val="333333"/>
                <w:w w:val="99"/>
                <w:sz w:val="32"/>
              </w:rPr>
              <w:t>1</w:t>
            </w:r>
          </w:p>
        </w:tc>
        <w:tc>
          <w:tcPr>
            <w:tcW w:w="6282" w:type="dxa"/>
          </w:tcPr>
          <w:p>
            <w:pPr>
              <w:pStyle w:val="17"/>
              <w:spacing w:before="160"/>
              <w:ind w:left="746"/>
              <w:rPr>
                <w:rFonts w:eastAsia="仿宋_GB2312"/>
                <w:sz w:val="32"/>
              </w:rPr>
            </w:pPr>
            <w:r>
              <w:rPr>
                <w:rFonts w:hint="eastAsia" w:eastAsia="仿宋_GB2312"/>
                <w:sz w:val="32"/>
                <w:lang w:val="en-US"/>
              </w:rPr>
              <w:t>109001-五通桥区信访局机关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sz w:val="32"/>
              </w:rPr>
            </w:pPr>
            <w:r>
              <w:rPr>
                <w:color w:val="333333"/>
                <w:w w:val="99"/>
                <w:sz w:val="32"/>
              </w:rPr>
              <w:t>2</w:t>
            </w:r>
          </w:p>
        </w:tc>
        <w:tc>
          <w:tcPr>
            <w:tcW w:w="6282" w:type="dxa"/>
          </w:tcPr>
          <w:p>
            <w:pPr>
              <w:pStyle w:val="17"/>
              <w:spacing w:before="162"/>
              <w:ind w:left="746"/>
              <w:rPr>
                <w:rFonts w:eastAsia="仿宋_GB2312"/>
                <w:sz w:val="32"/>
              </w:rPr>
            </w:pPr>
            <w:r>
              <w:rPr>
                <w:rFonts w:hint="eastAsia" w:eastAsia="仿宋_GB2312"/>
                <w:sz w:val="32"/>
                <w:lang w:val="en-US"/>
              </w:rPr>
              <w:t>109102-五通桥区群众来访接待中心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sz w:val="32"/>
              </w:rPr>
            </w:pPr>
            <w:r>
              <w:rPr>
                <w:color w:val="333333"/>
                <w:w w:val="99"/>
                <w:sz w:val="32"/>
              </w:rPr>
              <w:t>3</w:t>
            </w:r>
          </w:p>
        </w:tc>
        <w:tc>
          <w:tcPr>
            <w:tcW w:w="6282" w:type="dxa"/>
          </w:tcPr>
          <w:p>
            <w:pPr>
              <w:pStyle w:val="17"/>
              <w:spacing w:before="162"/>
              <w:ind w:left="746"/>
              <w:rPr>
                <w:rFonts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7"/>
              <w:spacing w:before="183"/>
              <w:ind w:left="748"/>
              <w:rPr>
                <w:sz w:val="32"/>
              </w:rPr>
            </w:pPr>
            <w:r>
              <w:rPr>
                <w:color w:val="333333"/>
                <w:w w:val="99"/>
                <w:sz w:val="32"/>
              </w:rPr>
              <w:t>4</w:t>
            </w:r>
          </w:p>
        </w:tc>
        <w:tc>
          <w:tcPr>
            <w:tcW w:w="6282" w:type="dxa"/>
          </w:tcPr>
          <w:p>
            <w:pPr>
              <w:pStyle w:val="17"/>
              <w:spacing w:before="162"/>
              <w:ind w:left="746"/>
              <w:rPr>
                <w:rFonts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3"/>
              <w:ind w:left="748"/>
              <w:rPr>
                <w:sz w:val="32"/>
              </w:rPr>
            </w:pPr>
            <w:r>
              <w:rPr>
                <w:color w:val="333333"/>
                <w:w w:val="99"/>
                <w:sz w:val="32"/>
              </w:rPr>
              <w:t>5</w:t>
            </w:r>
          </w:p>
        </w:tc>
        <w:tc>
          <w:tcPr>
            <w:tcW w:w="6282" w:type="dxa"/>
          </w:tcPr>
          <w:p>
            <w:pPr>
              <w:pStyle w:val="17"/>
              <w:spacing w:before="162"/>
              <w:ind w:left="746"/>
              <w:rPr>
                <w:rFonts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7"/>
              <w:spacing w:before="184"/>
              <w:ind w:left="748"/>
              <w:rPr>
                <w:sz w:val="32"/>
              </w:rPr>
            </w:pPr>
            <w:r>
              <w:rPr>
                <w:color w:val="333333"/>
                <w:w w:val="99"/>
                <w:sz w:val="32"/>
              </w:rPr>
              <w:t>6</w:t>
            </w:r>
          </w:p>
        </w:tc>
        <w:tc>
          <w:tcPr>
            <w:tcW w:w="6282" w:type="dxa"/>
          </w:tcPr>
          <w:p>
            <w:pPr>
              <w:pStyle w:val="17"/>
              <w:spacing w:before="162"/>
              <w:ind w:left="746"/>
              <w:rPr>
                <w:rFonts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7"/>
              <w:spacing w:before="183"/>
              <w:ind w:left="748"/>
              <w:rPr>
                <w:sz w:val="32"/>
              </w:rPr>
            </w:pPr>
            <w:r>
              <w:rPr>
                <w:color w:val="333333"/>
                <w:w w:val="99"/>
                <w:sz w:val="32"/>
              </w:rPr>
              <w:t>7</w:t>
            </w:r>
          </w:p>
        </w:tc>
        <w:tc>
          <w:tcPr>
            <w:tcW w:w="6282" w:type="dxa"/>
          </w:tcPr>
          <w:p>
            <w:pPr>
              <w:pStyle w:val="17"/>
              <w:spacing w:before="162"/>
              <w:ind w:left="746"/>
              <w:rPr>
                <w:rFonts w:eastAsia="仿宋_GB2312"/>
                <w:sz w:val="32"/>
              </w:rPr>
            </w:pPr>
          </w:p>
        </w:tc>
      </w:tr>
    </w:tbl>
    <w:p>
      <w:pPr>
        <w:rPr>
          <w:sz w:val="20"/>
        </w:rPr>
      </w:pPr>
      <w:r>
        <w:rPr>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jc w:val="center"/>
        <w:outlineLvl w:val="0"/>
        <w:rPr>
          <w:rFonts w:ascii="宋体" w:hAnsi="宋体" w:eastAsia="方正小标宋简体" w:cs="方正小标宋简体"/>
          <w:b/>
          <w:bCs/>
          <w:sz w:val="52"/>
          <w:szCs w:val="52"/>
          <w:lang w:val="en-US"/>
        </w:rPr>
      </w:pPr>
      <w:bookmarkStart w:id="5" w:name="_Toc31158"/>
      <w:bookmarkStart w:id="6" w:name="_Toc9595"/>
      <w:r>
        <w:rPr>
          <w:rFonts w:hint="eastAsia" w:ascii="宋体" w:hAnsi="宋体" w:eastAsia="方正小标宋简体" w:cs="方正小标宋简体"/>
          <w:b/>
          <w:bCs/>
          <w:sz w:val="52"/>
          <w:szCs w:val="52"/>
          <w:lang w:val="en-US"/>
        </w:rPr>
        <w:t>乐山市五通桥区信访局</w:t>
      </w:r>
      <w:bookmarkEnd w:id="5"/>
      <w:bookmarkEnd w:id="6"/>
    </w:p>
    <w:p>
      <w:pPr>
        <w:pStyle w:val="5"/>
        <w:ind w:firstLine="4176" w:firstLineChars="800"/>
        <w:jc w:val="both"/>
        <w:outlineLvl w:val="0"/>
        <w:rPr>
          <w:rFonts w:ascii="宋体" w:hAnsi="宋体" w:eastAsia="方正小标宋简体" w:cs="方正小标宋简体"/>
          <w:b/>
          <w:bCs/>
          <w:sz w:val="52"/>
          <w:szCs w:val="52"/>
          <w:lang w:val="en-US"/>
        </w:rPr>
      </w:pPr>
      <w:bookmarkStart w:id="7" w:name="_Toc8691"/>
      <w:r>
        <w:rPr>
          <w:rFonts w:hint="eastAsia" w:ascii="宋体" w:hAnsi="宋体" w:eastAsia="方正小标宋简体" w:cs="方正小标宋简体"/>
          <w:b/>
          <w:bCs/>
          <w:sz w:val="52"/>
          <w:szCs w:val="52"/>
          <w:lang w:val="en-US"/>
        </w:rPr>
        <w:t>2026年部门预算表</w:t>
      </w:r>
      <w:bookmarkEnd w:id="7"/>
    </w:p>
    <w:p>
      <w:pPr>
        <w:rPr>
          <w:sz w:val="32"/>
          <w:lang w:val="en-US"/>
        </w:rPr>
      </w:pPr>
      <w:r>
        <w:rPr>
          <w:color w:val="333333"/>
        </w:rPr>
        <w:br w:type="page"/>
      </w:r>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8" w:name="_Toc1197"/>
      <w:r>
        <w:rPr>
          <w:rFonts w:hint="eastAsia" w:ascii="宋体" w:hAnsi="宋体"/>
          <w:sz w:val="32"/>
          <w:lang w:val="en-US"/>
        </w:rPr>
        <w:t>一、收支预算总表（收支总表1）</w:t>
      </w:r>
      <w:bookmarkEnd w:id="8"/>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9" w:name="_Toc29582"/>
      <w:r>
        <w:rPr>
          <w:rFonts w:hint="eastAsia" w:ascii="宋体" w:hAnsi="宋体"/>
          <w:sz w:val="32"/>
          <w:lang w:val="en-US"/>
        </w:rPr>
        <w:t>二、收入预算总表（收入总表2）</w:t>
      </w:r>
      <w:bookmarkEnd w:id="9"/>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0" w:name="_Toc17268"/>
      <w:r>
        <w:rPr>
          <w:rFonts w:hint="eastAsia" w:ascii="宋体" w:hAnsi="宋体"/>
          <w:sz w:val="32"/>
          <w:lang w:val="en-US"/>
        </w:rPr>
        <w:t>三、征收预期表（征收预期3）</w:t>
      </w:r>
      <w:bookmarkEnd w:id="10"/>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1" w:name="_Toc6419"/>
      <w:r>
        <w:rPr>
          <w:rFonts w:hint="eastAsia" w:ascii="宋体" w:hAnsi="宋体"/>
          <w:sz w:val="32"/>
          <w:lang w:val="en-US"/>
        </w:rPr>
        <w:t>四、支出预算总表（支出总表4）</w:t>
      </w:r>
      <w:bookmarkEnd w:id="11"/>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2" w:name="_Toc14191"/>
      <w:r>
        <w:rPr>
          <w:rFonts w:hint="eastAsia" w:ascii="宋体" w:hAnsi="宋体"/>
          <w:sz w:val="32"/>
          <w:lang w:val="en-US"/>
        </w:rPr>
        <w:t>五、财政拨款预算总表（财拨总表5）</w:t>
      </w:r>
      <w:bookmarkEnd w:id="12"/>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3" w:name="_Toc28959"/>
      <w:r>
        <w:rPr>
          <w:rFonts w:hint="eastAsia" w:ascii="宋体" w:hAnsi="宋体"/>
          <w:sz w:val="32"/>
          <w:lang w:val="en-US"/>
        </w:rPr>
        <w:t>六、一般公共预算支出表（一般预算支出6）</w:t>
      </w:r>
      <w:bookmarkEnd w:id="13"/>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4" w:name="_Toc28280"/>
      <w:r>
        <w:rPr>
          <w:rFonts w:hint="eastAsia" w:ascii="宋体" w:hAnsi="宋体"/>
          <w:sz w:val="32"/>
          <w:lang w:val="en-US"/>
        </w:rPr>
        <w:t>七、一般公共预算基本支出表（基本支出7）</w:t>
      </w:r>
      <w:bookmarkEnd w:id="14"/>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5" w:name="_Toc32033"/>
      <w:r>
        <w:rPr>
          <w:rFonts w:hint="eastAsia" w:ascii="宋体" w:hAnsi="宋体"/>
          <w:sz w:val="32"/>
          <w:lang w:val="en-US"/>
        </w:rPr>
        <w:t>八、一般公共预算“三公”经费支出预算表（三公8）</w:t>
      </w:r>
      <w:bookmarkEnd w:id="15"/>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6" w:name="_Toc27446"/>
      <w:r>
        <w:rPr>
          <w:rFonts w:hint="eastAsia" w:ascii="宋体" w:hAnsi="宋体"/>
          <w:sz w:val="32"/>
          <w:lang w:val="en-US"/>
        </w:rPr>
        <w:t>九、政府性基金预算支出表（基金9）</w:t>
      </w:r>
      <w:bookmarkEnd w:id="16"/>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7" w:name="_Toc2108"/>
      <w:r>
        <w:rPr>
          <w:rFonts w:hint="eastAsia" w:ascii="宋体" w:hAnsi="宋体"/>
          <w:sz w:val="32"/>
          <w:lang w:val="en-US"/>
        </w:rPr>
        <w:t>十、国有资本经营预算支出表（国资10）</w:t>
      </w:r>
      <w:bookmarkEnd w:id="17"/>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8" w:name="_Toc6926"/>
      <w:r>
        <w:rPr>
          <w:rFonts w:hint="eastAsia" w:ascii="宋体" w:hAnsi="宋体"/>
          <w:sz w:val="32"/>
          <w:lang w:val="en-US"/>
        </w:rPr>
        <w:t>十一、支出功能分类预算表（支出功能11）</w:t>
      </w:r>
      <w:bookmarkEnd w:id="18"/>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19" w:name="_Toc1501"/>
      <w:r>
        <w:rPr>
          <w:rFonts w:hint="eastAsia" w:ascii="宋体" w:hAnsi="宋体"/>
          <w:sz w:val="32"/>
          <w:lang w:val="en-US"/>
        </w:rPr>
        <w:t>十二、支出经济分类预算表（支出经济分类12）</w:t>
      </w:r>
      <w:bookmarkEnd w:id="19"/>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0" w:name="_Toc30927"/>
      <w:r>
        <w:rPr>
          <w:rFonts w:hint="eastAsia" w:ascii="宋体" w:hAnsi="宋体"/>
          <w:sz w:val="32"/>
          <w:lang w:val="en-US"/>
        </w:rPr>
        <w:t>十三、上级资金安排情况表（上级资金安排13）</w:t>
      </w:r>
      <w:bookmarkEnd w:id="20"/>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1" w:name="_Toc28235"/>
      <w:r>
        <w:rPr>
          <w:rFonts w:hint="eastAsia" w:ascii="宋体" w:hAnsi="宋体"/>
          <w:sz w:val="32"/>
          <w:lang w:val="en-US"/>
        </w:rPr>
        <w:t>十四、项目支出表（项目支出14）</w:t>
      </w:r>
      <w:bookmarkEnd w:id="21"/>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2" w:name="_Toc10639"/>
      <w:r>
        <w:rPr>
          <w:rFonts w:hint="eastAsia" w:ascii="宋体" w:hAnsi="宋体"/>
          <w:sz w:val="32"/>
          <w:lang w:val="en-US"/>
        </w:rPr>
        <w:t>十六、政府购买服务预算表（购买服务16）</w:t>
      </w:r>
      <w:bookmarkEnd w:id="22"/>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3" w:name="_Toc20613"/>
      <w:bookmarkStart w:id="24" w:name="_Toc16458"/>
      <w:r>
        <w:rPr>
          <w:rFonts w:hint="eastAsia" w:ascii="宋体" w:hAnsi="宋体"/>
          <w:sz w:val="32"/>
          <w:lang w:val="en-US"/>
        </w:rPr>
        <w:t>十七、采购需求表（采购需求表17）</w:t>
      </w:r>
      <w:bookmarkEnd w:id="23"/>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5" w:name="_Toc3471"/>
      <w:r>
        <w:rPr>
          <w:rFonts w:hint="eastAsia" w:ascii="宋体" w:hAnsi="宋体"/>
          <w:sz w:val="32"/>
          <w:lang w:val="en-US"/>
        </w:rPr>
        <w:t>十八、国有资产配置预算表（资产18）</w:t>
      </w:r>
      <w:bookmarkEnd w:id="25"/>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6" w:name="_Toc19484"/>
      <w:r>
        <w:rPr>
          <w:rFonts w:hint="eastAsia" w:ascii="宋体" w:hAnsi="宋体"/>
          <w:sz w:val="32"/>
          <w:lang w:val="en-US"/>
        </w:rPr>
        <w:t>十九、项目支出绩效表（项目绩效19）</w:t>
      </w:r>
      <w:bookmarkEnd w:id="26"/>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7" w:name="_Toc19747"/>
      <w:r>
        <w:rPr>
          <w:rFonts w:hint="eastAsia" w:ascii="宋体" w:hAnsi="宋体"/>
          <w:sz w:val="32"/>
          <w:lang w:val="en-US"/>
        </w:rPr>
        <w:t>二十、部门绩效表（部门绩效20）</w:t>
      </w:r>
      <w:bookmarkEnd w:id="27"/>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8" w:name="_Toc31481"/>
      <w:r>
        <w:rPr>
          <w:rFonts w:hint="eastAsia" w:ascii="宋体" w:hAnsi="宋体"/>
          <w:sz w:val="32"/>
          <w:lang w:val="en-US"/>
        </w:rPr>
        <w:t>二十一、年初政府采购项目预算表（政府采购项目预算表21）</w:t>
      </w:r>
      <w:bookmarkEnd w:id="28"/>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29" w:name="_Toc27114"/>
      <w:r>
        <w:rPr>
          <w:rFonts w:hint="eastAsia" w:ascii="宋体" w:hAnsi="宋体"/>
          <w:sz w:val="32"/>
          <w:lang w:val="en-US"/>
        </w:rPr>
        <w:t>二十二、2026-2028年支出计划总表（三年计划总表22）</w:t>
      </w:r>
      <w:bookmarkEnd w:id="29"/>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30" w:name="_Toc21032"/>
      <w:r>
        <w:rPr>
          <w:rFonts w:hint="eastAsia" w:ascii="宋体" w:hAnsi="宋体"/>
          <w:sz w:val="32"/>
          <w:lang w:val="en-US"/>
        </w:rPr>
        <w:t>二十三、2026-2028年支出计划明细表（三年计划明细表23）</w:t>
      </w:r>
      <w:bookmarkEnd w:id="30"/>
    </w:p>
    <w:p>
      <w:pPr>
        <w:pStyle w:val="16"/>
        <w:tabs>
          <w:tab w:val="left" w:pos="1784"/>
        </w:tabs>
        <w:spacing w:line="700" w:lineRule="exact"/>
        <w:ind w:left="660" w:leftChars="300" w:right="660" w:rightChars="300" w:firstLine="0"/>
        <w:jc w:val="left"/>
        <w:outlineLvl w:val="1"/>
        <w:rPr>
          <w:rFonts w:ascii="宋体" w:hAnsi="宋体"/>
          <w:sz w:val="32"/>
          <w:lang w:val="en-US"/>
        </w:rPr>
      </w:pPr>
      <w:bookmarkStart w:id="31" w:name="_Toc24299"/>
      <w:r>
        <w:rPr>
          <w:rFonts w:hint="eastAsia" w:ascii="宋体" w:hAnsi="宋体"/>
          <w:sz w:val="32"/>
          <w:lang w:val="en-US"/>
        </w:rPr>
        <w:t>二十四、人员和车辆基本情况表（人员24）</w:t>
      </w:r>
      <w:bookmarkEnd w:id="31"/>
    </w:p>
    <w:p>
      <w:pPr>
        <w:pStyle w:val="16"/>
        <w:tabs>
          <w:tab w:val="left" w:pos="1784"/>
        </w:tabs>
        <w:spacing w:line="700" w:lineRule="exact"/>
        <w:ind w:left="0" w:right="660" w:rightChars="300" w:firstLine="643" w:firstLineChars="200"/>
        <w:jc w:val="left"/>
        <w:outlineLvl w:val="1"/>
        <w:rPr>
          <w:rFonts w:ascii="宋体" w:hAnsi="宋体"/>
          <w:b/>
          <w:bCs/>
          <w:sz w:val="32"/>
          <w:lang w:val="en-US"/>
        </w:rPr>
      </w:pPr>
      <w:bookmarkStart w:id="32" w:name="_Toc31261"/>
      <w:r>
        <w:rPr>
          <w:rFonts w:hint="eastAsia" w:ascii="宋体" w:hAnsi="宋体"/>
          <w:b/>
          <w:bCs/>
          <w:sz w:val="32"/>
          <w:lang w:val="en-US"/>
        </w:rPr>
        <w:t>以上所有表格详见部门说明后附件。</w:t>
      </w:r>
      <w:bookmarkEnd w:id="24"/>
      <w:bookmarkEnd w:id="32"/>
    </w:p>
    <w:p>
      <w:pPr>
        <w:rPr>
          <w:sz w:val="20"/>
        </w:rPr>
      </w:pPr>
      <w:r>
        <w:rPr>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jc w:val="center"/>
        <w:outlineLvl w:val="0"/>
        <w:rPr>
          <w:rFonts w:ascii="宋体" w:hAnsi="宋体" w:eastAsia="方正小标宋简体" w:cs="方正小标宋简体"/>
          <w:b/>
          <w:bCs/>
          <w:sz w:val="52"/>
          <w:szCs w:val="52"/>
          <w:lang w:val="en-US"/>
        </w:rPr>
      </w:pPr>
      <w:bookmarkStart w:id="33" w:name="_Toc28226"/>
      <w:r>
        <w:rPr>
          <w:rFonts w:hint="eastAsia" w:ascii="宋体" w:hAnsi="宋体" w:eastAsia="方正小标宋简体" w:cs="方正小标宋简体"/>
          <w:b/>
          <w:bCs/>
          <w:sz w:val="52"/>
          <w:szCs w:val="52"/>
          <w:lang w:val="en-US"/>
        </w:rPr>
        <w:t>乐山市五通桥区信访局</w:t>
      </w:r>
      <w:bookmarkEnd w:id="33"/>
    </w:p>
    <w:p>
      <w:pPr>
        <w:pStyle w:val="5"/>
        <w:spacing w:before="6"/>
        <w:ind w:firstLine="3120" w:firstLineChars="600"/>
        <w:jc w:val="both"/>
        <w:outlineLvl w:val="0"/>
        <w:rPr>
          <w:rFonts w:ascii="宋体" w:hAnsi="宋体"/>
          <w:sz w:val="20"/>
          <w:lang w:val="en-US"/>
        </w:rPr>
        <w:sectPr>
          <w:headerReference r:id="rId6" w:type="default"/>
          <w:pgSz w:w="11910" w:h="16840"/>
          <w:pgMar w:top="1587" w:right="964" w:bottom="1701" w:left="1134" w:header="737" w:footer="737" w:gutter="0"/>
          <w:cols w:space="0" w:num="1"/>
        </w:sectPr>
      </w:pPr>
      <w:bookmarkStart w:id="34" w:name="_Toc25110"/>
      <w:r>
        <w:rPr>
          <w:rFonts w:hint="eastAsia" w:ascii="宋体" w:hAnsi="宋体" w:eastAsia="方正小标宋简体" w:cs="方正小标宋简体"/>
          <w:sz w:val="52"/>
          <w:szCs w:val="52"/>
          <w:lang w:val="en-US"/>
        </w:rPr>
        <w:t>2026年</w:t>
      </w:r>
      <w:bookmarkStart w:id="35" w:name="_Toc1047"/>
      <w:r>
        <w:rPr>
          <w:rFonts w:hint="eastAsia" w:ascii="宋体" w:hAnsi="宋体" w:eastAsia="方正小标宋简体" w:cs="方正小标宋简体"/>
          <w:sz w:val="52"/>
          <w:szCs w:val="52"/>
          <w:lang w:val="en-US"/>
        </w:rPr>
        <w:t>部门预算情况说明</w:t>
      </w:r>
      <w:bookmarkEnd w:id="34"/>
      <w:bookmarkEnd w:id="35"/>
    </w:p>
    <w:p>
      <w:pPr>
        <w:pStyle w:val="5"/>
        <w:spacing w:before="40" w:afterLines="50"/>
        <w:rPr>
          <w:rFonts w:ascii="宋体" w:hAnsi="宋体" w:eastAsia="黑体"/>
          <w:color w:val="333333"/>
        </w:rPr>
      </w:pPr>
    </w:p>
    <w:p>
      <w:pPr>
        <w:pStyle w:val="5"/>
        <w:spacing w:before="300" w:afterLines="50"/>
        <w:ind w:firstLine="640" w:firstLineChars="200"/>
        <w:outlineLvl w:val="1"/>
        <w:rPr>
          <w:rFonts w:ascii="宋体" w:hAnsi="宋体" w:eastAsia="黑体"/>
          <w:color w:val="333333"/>
        </w:rPr>
      </w:pPr>
      <w:bookmarkStart w:id="36" w:name="_Toc29056"/>
      <w:r>
        <w:rPr>
          <w:rFonts w:hint="eastAsia" w:ascii="宋体" w:hAnsi="宋体" w:eastAsia="黑体"/>
          <w:color w:val="333333"/>
        </w:rPr>
        <w:t>一、收支预算情况说明</w:t>
      </w:r>
      <w:bookmarkEnd w:id="36"/>
    </w:p>
    <w:p>
      <w:pPr>
        <w:spacing w:line="600" w:lineRule="exact"/>
        <w:ind w:left="638" w:leftChars="290" w:firstLine="640" w:firstLineChars="200"/>
        <w:rPr>
          <w:rFonts w:ascii="仿宋_GB2312" w:eastAsia="仿宋_GB2312"/>
          <w:sz w:val="32"/>
          <w:lang w:val="en-US"/>
        </w:rPr>
      </w:pPr>
      <w:r>
        <w:rPr>
          <w:rFonts w:hint="eastAsia" w:ascii="仿宋_GB2312" w:eastAsia="仿宋_GB2312"/>
          <w:sz w:val="32"/>
          <w:lang w:val="en-US"/>
        </w:rPr>
        <w:t>按照综合预算的原则，五通桥区信访局部门所有收入和支出均纳入部门预算管理。收入包括：</w:t>
      </w:r>
      <w:r>
        <w:rPr>
          <w:rFonts w:hint="eastAsia" w:ascii="仿宋_GB2312" w:eastAsia="仿宋_GB2312" w:cs="仿宋_GB2312"/>
          <w:sz w:val="32"/>
          <w:lang w:val="en-US"/>
        </w:rPr>
        <w:t>一般公共预算拨款收入；支出包括：一般公共服务支出、社会保障和就业支出、卫生健康支出、住房保障支出。</w:t>
      </w:r>
      <w:r>
        <w:rPr>
          <w:rFonts w:hint="eastAsia" w:ascii="仿宋_GB2312" w:eastAsia="仿宋_GB2312"/>
          <w:sz w:val="32"/>
          <w:lang w:val="en-US"/>
        </w:rPr>
        <w:t>五通桥区信访局</w:t>
      </w:r>
      <w:r>
        <w:rPr>
          <w:rFonts w:hint="eastAsia" w:ascii="仿宋_GB2312" w:eastAsia="仿宋_GB2312" w:cs="仿宋_GB2312"/>
          <w:sz w:val="32"/>
          <w:lang w:val="en-US"/>
        </w:rPr>
        <w:t>部门2026年收支预算总数481.65万元,比2025年收支预算总数372.43万元增加109.22万元。主要原因：一般公共服务支出比上年增加97.65万元，社会保障和就业支出比上年增加7.13万元，卫生健康支出比上年增加1.77万元，住房保障支出比上年增加2.67万元所致。</w:t>
      </w:r>
    </w:p>
    <w:p>
      <w:pPr>
        <w:pStyle w:val="4"/>
        <w:spacing w:before="100" w:afterLines="50"/>
        <w:ind w:left="0" w:firstLine="643" w:firstLineChars="200"/>
        <w:rPr>
          <w:rFonts w:ascii="宋体" w:hAnsi="宋体"/>
        </w:rPr>
      </w:pPr>
      <w:bookmarkStart w:id="37" w:name="_Toc12159"/>
      <w:r>
        <w:rPr>
          <w:rFonts w:ascii="宋体" w:hAnsi="宋体"/>
        </w:rPr>
        <w:t>（一）收入预算情况</w:t>
      </w:r>
      <w:bookmarkEnd w:id="37"/>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五通桥区信访局部门2026年收入预算</w:t>
      </w:r>
      <w:r>
        <w:rPr>
          <w:rFonts w:ascii="宋体" w:hAnsi="宋体"/>
          <w:sz w:val="32"/>
          <w:lang w:val="en-US"/>
        </w:rPr>
        <w:t>481.65</w:t>
      </w:r>
      <w:r>
        <w:rPr>
          <w:rFonts w:hint="eastAsia" w:ascii="宋体" w:hAnsi="宋体"/>
          <w:sz w:val="32"/>
          <w:lang w:val="en-US"/>
        </w:rPr>
        <w:t>万元，其中：上年结转0万元，占0%；一般公共预算拨款收入</w:t>
      </w:r>
      <w:r>
        <w:rPr>
          <w:rFonts w:ascii="宋体" w:hAnsi="宋体"/>
          <w:sz w:val="32"/>
          <w:lang w:val="en-US"/>
        </w:rPr>
        <w:t>481.65</w:t>
      </w:r>
      <w:r>
        <w:rPr>
          <w:rFonts w:hint="eastAsia" w:ascii="宋体" w:hAnsi="宋体"/>
          <w:sz w:val="32"/>
          <w:lang w:val="en-US"/>
        </w:rPr>
        <w:t>万元，占100%；政府基金预算拨款收入0万元，占0%；事业收入0万元，占0%；事业单位经营收入0万元，占0%；其他收入0万元，占0%。</w:t>
      </w:r>
    </w:p>
    <w:p>
      <w:pPr>
        <w:pStyle w:val="4"/>
        <w:spacing w:before="100" w:afterLines="50"/>
        <w:ind w:left="0" w:firstLine="964" w:firstLineChars="300"/>
        <w:rPr>
          <w:rFonts w:ascii="宋体" w:hAnsi="宋体"/>
        </w:rPr>
      </w:pPr>
      <w:bookmarkStart w:id="38" w:name="_Toc27133"/>
      <w:r>
        <w:rPr>
          <w:rFonts w:ascii="宋体" w:hAnsi="宋体"/>
        </w:rPr>
        <w:t>（二）支出预算情况</w:t>
      </w:r>
      <w:bookmarkEnd w:id="38"/>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五通桥区信访局部门2026年支出预算</w:t>
      </w:r>
      <w:r>
        <w:rPr>
          <w:rFonts w:ascii="宋体" w:hAnsi="宋体"/>
          <w:sz w:val="32"/>
          <w:lang w:val="en-US"/>
        </w:rPr>
        <w:t>481.65</w:t>
      </w:r>
      <w:r>
        <w:rPr>
          <w:rFonts w:hint="eastAsia" w:ascii="宋体" w:hAnsi="宋体"/>
          <w:sz w:val="32"/>
          <w:lang w:val="en-US"/>
        </w:rPr>
        <w:t>万元，其中：人员支出358.62万元，日常公用支出49.90万元，对个人和家庭的补助支出0.83万元，专项支出72.30万元。</w:t>
      </w:r>
    </w:p>
    <w:p>
      <w:pPr>
        <w:pStyle w:val="5"/>
        <w:spacing w:before="300" w:afterLines="50"/>
        <w:ind w:firstLine="640" w:firstLineChars="200"/>
        <w:outlineLvl w:val="1"/>
        <w:rPr>
          <w:rFonts w:ascii="宋体" w:hAnsi="宋体" w:eastAsia="黑体"/>
          <w:color w:val="333333"/>
        </w:rPr>
      </w:pPr>
      <w:bookmarkStart w:id="39" w:name="_Toc29060"/>
      <w:r>
        <w:rPr>
          <w:rFonts w:hint="eastAsia" w:ascii="宋体" w:hAnsi="宋体" w:eastAsia="黑体"/>
          <w:color w:val="333333"/>
        </w:rPr>
        <w:t>二、财政拨款收支预算情况说明</w:t>
      </w:r>
      <w:bookmarkEnd w:id="39"/>
    </w:p>
    <w:p>
      <w:pPr>
        <w:spacing w:line="600" w:lineRule="exact"/>
        <w:ind w:left="638" w:leftChars="290" w:firstLine="640" w:firstLineChars="200"/>
        <w:rPr>
          <w:rFonts w:ascii="仿宋_GB2312" w:eastAsia="仿宋_GB2312"/>
          <w:sz w:val="32"/>
          <w:lang w:val="en-US"/>
        </w:rPr>
      </w:pPr>
      <w:r>
        <w:rPr>
          <w:rFonts w:hint="eastAsia" w:ascii="仿宋_GB2312" w:eastAsia="仿宋_GB2312"/>
          <w:sz w:val="32"/>
          <w:lang w:val="en-US"/>
        </w:rPr>
        <w:t>五通桥区信访局部门2026年财政拨款收支预算总数</w:t>
      </w:r>
      <w:r>
        <w:rPr>
          <w:rFonts w:hint="eastAsia" w:ascii="仿宋_GB2312" w:eastAsia="仿宋_GB2312" w:cs="仿宋_GB2312"/>
          <w:sz w:val="32"/>
          <w:lang w:val="en-US"/>
        </w:rPr>
        <w:t>481.65</w:t>
      </w:r>
      <w:r>
        <w:rPr>
          <w:rFonts w:hint="eastAsia" w:ascii="仿宋_GB2312" w:eastAsia="仿宋_GB2312"/>
          <w:sz w:val="32"/>
          <w:lang w:val="en-US"/>
        </w:rPr>
        <w:t>万元,比2025年财政拨款收支预算总数</w:t>
      </w:r>
      <w:r>
        <w:rPr>
          <w:rFonts w:hint="eastAsia" w:ascii="仿宋_GB2312" w:eastAsia="仿宋_GB2312" w:cs="仿宋_GB2312"/>
          <w:sz w:val="32"/>
          <w:lang w:val="en-US"/>
        </w:rPr>
        <w:t>372.43万元增加109.22万元。主要原因：一般公共服务支出比上年增加97.65万元，社会保障和就业支出比上年增加7.13万元，卫生健康支出比上年增加1.77万元，住房保障支出比上年增加2.67万元所致。</w:t>
      </w:r>
    </w:p>
    <w:p>
      <w:pPr>
        <w:pStyle w:val="16"/>
        <w:tabs>
          <w:tab w:val="left" w:pos="1784"/>
        </w:tabs>
        <w:spacing w:beforeLines="100" w:afterLines="50" w:line="560" w:lineRule="exact"/>
        <w:ind w:left="660" w:leftChars="300" w:right="660" w:rightChars="300" w:firstLineChars="200"/>
        <w:rPr>
          <w:rFonts w:hAnsi="宋体"/>
          <w:sz w:val="32"/>
          <w:lang w:val="en-US"/>
        </w:rPr>
      </w:pPr>
      <w:r>
        <w:rPr>
          <w:rFonts w:hint="eastAsia" w:hAnsi="宋体"/>
          <w:sz w:val="32"/>
          <w:lang w:val="en-US"/>
        </w:rPr>
        <w:t>其中：基本支出409.35万元，占84.99%；项目支出72.3万元，占15.01%。</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基本支出，是用于保障五通桥区信访局机关、下属事业单位等机构正常运转的日常支出，包括基本工资、津贴补贴等人员经费以及办公费、印刷费、水电费、办公设备购置等日常公用经费。</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项目支出，是用于保障五通桥区信访局机关、下属事业单位等机构为完成特定的行政工作任务或事业发展目标，用于专项业务工作的经费支出。</w:t>
      </w:r>
    </w:p>
    <w:p>
      <w:pPr>
        <w:pStyle w:val="5"/>
        <w:spacing w:before="300" w:afterLines="50"/>
        <w:ind w:firstLine="640" w:firstLineChars="200"/>
        <w:outlineLvl w:val="1"/>
        <w:rPr>
          <w:rFonts w:ascii="宋体" w:hAnsi="宋体" w:eastAsia="黑体"/>
          <w:color w:val="333333"/>
        </w:rPr>
      </w:pPr>
      <w:bookmarkStart w:id="40" w:name="_Toc14493"/>
      <w:r>
        <w:rPr>
          <w:rFonts w:hint="eastAsia" w:ascii="宋体" w:hAnsi="宋体" w:eastAsia="黑体"/>
          <w:color w:val="333333"/>
        </w:rPr>
        <w:t>三、一般公共预算当年拨款情况说明</w:t>
      </w:r>
      <w:bookmarkEnd w:id="40"/>
    </w:p>
    <w:p>
      <w:pPr>
        <w:pStyle w:val="4"/>
        <w:spacing w:before="100" w:afterLines="50"/>
        <w:ind w:left="0" w:firstLine="964" w:firstLineChars="300"/>
        <w:rPr>
          <w:rFonts w:ascii="宋体" w:hAnsi="宋体"/>
        </w:rPr>
      </w:pPr>
      <w:bookmarkStart w:id="41" w:name="_Toc570"/>
      <w:r>
        <w:rPr>
          <w:rFonts w:ascii="宋体" w:hAnsi="宋体"/>
        </w:rPr>
        <w:t>（一）一般公共预算当年拨款规模变化情况</w:t>
      </w:r>
      <w:bookmarkEnd w:id="41"/>
    </w:p>
    <w:p>
      <w:pPr>
        <w:spacing w:line="600" w:lineRule="exact"/>
        <w:ind w:left="638" w:leftChars="290" w:firstLine="640" w:firstLineChars="200"/>
        <w:rPr>
          <w:rFonts w:ascii="仿宋_GB2312" w:eastAsia="仿宋_GB2312"/>
          <w:sz w:val="32"/>
          <w:lang w:val="en-US"/>
        </w:rPr>
      </w:pPr>
      <w:r>
        <w:rPr>
          <w:rFonts w:hint="eastAsia" w:ascii="仿宋_GB2312" w:eastAsia="仿宋_GB2312"/>
          <w:sz w:val="32"/>
          <w:lang w:val="en-US"/>
        </w:rPr>
        <w:t>五通桥区信访局部门2026年一般公共预算当年拨款481.65万元，比2025年财政拨款收支预算总数</w:t>
      </w:r>
      <w:r>
        <w:rPr>
          <w:rFonts w:hint="eastAsia" w:ascii="仿宋_GB2312" w:eastAsia="仿宋_GB2312" w:cs="仿宋_GB2312"/>
          <w:sz w:val="32"/>
          <w:lang w:val="en-US"/>
        </w:rPr>
        <w:t>372.43万元增加109.22万元。主要原因：一般公共服务支出比上年增加97.65万元，社会保障和就业支出比上年增加7.13万元，卫生健康支出比上年增加1.77万元，住房保障支出比上年增加2.67万元所致。</w:t>
      </w:r>
    </w:p>
    <w:p>
      <w:pPr>
        <w:pStyle w:val="4"/>
        <w:spacing w:before="100" w:afterLines="50"/>
        <w:ind w:left="0" w:firstLine="964" w:firstLineChars="300"/>
        <w:rPr>
          <w:rFonts w:ascii="宋体" w:hAnsi="宋体"/>
        </w:rPr>
      </w:pPr>
      <w:bookmarkStart w:id="42" w:name="_Toc24794"/>
      <w:r>
        <w:rPr>
          <w:rFonts w:ascii="宋体" w:hAnsi="宋体"/>
        </w:rPr>
        <w:t>（二）一般公共预算当年拨款结构情况</w:t>
      </w:r>
      <w:bookmarkEnd w:id="42"/>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部门2026年一般公共预算支出481.65万元，主要包括一般公共服务支出391.04万元，占81.19%；外交支出0万元，占0%；国防支出0万元，占0%；公共安全支出0万元，占0%；教育支出0万元，占0%；科学技术支出0万元，占0%；文化旅游体育与传媒支出0万元，占0%；社会保障和就业支出51.88万元，占10.77%；卫生健康支出11.17万元，占2.32%；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27.56万元，占5.72%；粮油物资储备支出0万元，占0%；灾害防治及应急管理支出0万元，占0%；预备费0万元，占0%；其他支出0万元，占0%；转移性支出0万元，占0%；债务还本支出0万元，占0%；债务付息支出0万元，占0%；债务发行费支出0万元，占0%。</w:t>
      </w:r>
    </w:p>
    <w:p>
      <w:pPr>
        <w:pStyle w:val="4"/>
        <w:spacing w:before="100" w:afterLines="50"/>
        <w:ind w:left="0" w:firstLine="964" w:firstLineChars="300"/>
        <w:rPr>
          <w:rFonts w:ascii="宋体" w:hAnsi="宋体"/>
          <w:highlight w:val="yellow"/>
        </w:rPr>
      </w:pPr>
      <w:bookmarkStart w:id="43" w:name="_Toc2563"/>
      <w:r>
        <w:rPr>
          <w:rFonts w:ascii="宋体" w:hAnsi="宋体"/>
        </w:rPr>
        <w:t>（三）一般公共预算当年拨款具体使用情况</w:t>
      </w:r>
      <w:bookmarkEnd w:id="43"/>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一般公共服务（类）信访事务（款）行政运行（项）：2026年预算数为205.52万元，主要用于：区信访局机关单位正常运转的基本支出，包括基本工资、津贴补贴等人员经费以及办公费、印刷费、水电费等日常公用经费。</w:t>
      </w:r>
    </w:p>
    <w:p>
      <w:pPr>
        <w:pStyle w:val="16"/>
        <w:tabs>
          <w:tab w:val="left" w:pos="1784"/>
        </w:tabs>
        <w:spacing w:beforeLines="100" w:afterLines="50" w:line="360" w:lineRule="auto"/>
        <w:ind w:left="660" w:leftChars="300" w:right="660" w:rightChars="300" w:firstLineChars="200"/>
        <w:rPr>
          <w:rFonts w:ascii="宋体" w:hAnsi="宋体"/>
          <w:sz w:val="32"/>
          <w:lang w:val="en-US"/>
        </w:rPr>
      </w:pPr>
      <w:r>
        <w:rPr>
          <w:rFonts w:hint="eastAsia" w:ascii="宋体" w:hAnsi="宋体"/>
          <w:sz w:val="32"/>
          <w:lang w:val="en-US"/>
        </w:rPr>
        <w:t>2、一般公共服务（类）信访事务（款）一般行政管理事务（项）：2026年预算数为8.30万元，主要用于：机关及参公管理事业单位开展财政综合业务、预决算编审等未单独设置项级科目的专门性财政管理工作的项目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3、一般公共服务（类）信访事务（款）事业运行（项）：2026年预算数为113.22万元，主要用于：区信访局下属事业单位正常运转的基本支出，包括基本工资、津贴补贴等人员经费以及办公费、印刷费、水电费等日常公用经费。</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4.一般公共服务（类）信访事务（款）其他信访事务支出（项）：2026年预算数为64.00万元，主要用于：其他信访事务方面的支出。</w:t>
      </w:r>
    </w:p>
    <w:p>
      <w:pPr>
        <w:pStyle w:val="16"/>
        <w:tabs>
          <w:tab w:val="left" w:pos="1784"/>
        </w:tabs>
        <w:spacing w:beforeLines="100" w:afterLines="50" w:line="560" w:lineRule="exact"/>
        <w:ind w:left="598" w:leftChars="272" w:right="660" w:rightChars="300" w:firstLine="928" w:firstLineChars="290"/>
        <w:rPr>
          <w:rFonts w:ascii="宋体" w:hAnsi="宋体"/>
          <w:sz w:val="32"/>
          <w:lang w:val="en-US"/>
        </w:rPr>
      </w:pPr>
      <w:r>
        <w:rPr>
          <w:rFonts w:hint="eastAsia" w:ascii="宋体" w:hAnsi="宋体"/>
          <w:sz w:val="32"/>
          <w:lang w:val="en-US"/>
        </w:rPr>
        <w:t>5.社会保障和就业支出（类）行政事业单位养老支出（款）机关事业单位基本养老保险缴费支出（项）：2026年预算数为32.98万元，主要用于：实施养老保险制度后，部门按规定由单位缴纳的基本养老保险费支出。</w:t>
      </w:r>
    </w:p>
    <w:p>
      <w:pPr>
        <w:pStyle w:val="16"/>
        <w:tabs>
          <w:tab w:val="left" w:pos="1784"/>
        </w:tabs>
        <w:spacing w:beforeLines="100" w:afterLines="50" w:line="560" w:lineRule="exact"/>
        <w:ind w:left="638" w:leftChars="290" w:right="660" w:rightChars="300" w:firstLine="1027" w:firstLineChars="321"/>
        <w:rPr>
          <w:rFonts w:ascii="宋体" w:hAnsi="宋体"/>
          <w:sz w:val="32"/>
          <w:lang w:val="en-US"/>
        </w:rPr>
      </w:pPr>
      <w:r>
        <w:rPr>
          <w:rFonts w:hint="eastAsia" w:ascii="宋体" w:hAnsi="宋体"/>
          <w:sz w:val="32"/>
          <w:lang w:val="en-US"/>
        </w:rPr>
        <w:t>6.社会保障和就业支出（类）行政事业单位养老支出（款）机关事业单位职业年金缴费支出（项）：2026年预算数为16.49万元，主要用于：实施养老保险制度后，部门按规定由单位缴纳的职业年金支出。</w:t>
      </w:r>
    </w:p>
    <w:p>
      <w:pPr>
        <w:pStyle w:val="16"/>
        <w:tabs>
          <w:tab w:val="left" w:pos="1784"/>
        </w:tabs>
        <w:spacing w:beforeLines="100" w:afterLines="50" w:line="560" w:lineRule="exact"/>
        <w:ind w:left="638" w:leftChars="290" w:right="660" w:rightChars="300" w:firstLine="1027" w:firstLineChars="321"/>
        <w:rPr>
          <w:rFonts w:ascii="宋体" w:hAnsi="宋体"/>
          <w:sz w:val="32"/>
          <w:lang w:val="en-US"/>
        </w:rPr>
      </w:pPr>
      <w:r>
        <w:rPr>
          <w:rFonts w:hint="eastAsia" w:ascii="宋体" w:hAnsi="宋体"/>
          <w:sz w:val="32"/>
          <w:lang w:val="en-US"/>
        </w:rPr>
        <w:t>7.社会保障和就业支出（类）行政事业单位养老支出（款）其他行政事业单位养老支出（项）：2026年预算数为0．83万元，主要用于：保障离退休人员经费支出。</w:t>
      </w:r>
    </w:p>
    <w:p>
      <w:pPr>
        <w:pStyle w:val="16"/>
        <w:tabs>
          <w:tab w:val="left" w:pos="1784"/>
        </w:tabs>
        <w:spacing w:beforeLines="100" w:afterLines="50" w:line="560" w:lineRule="exact"/>
        <w:ind w:left="638" w:leftChars="290" w:right="660" w:rightChars="300" w:firstLine="1027" w:firstLineChars="321"/>
        <w:rPr>
          <w:rFonts w:ascii="宋体" w:hAnsi="宋体"/>
          <w:sz w:val="32"/>
          <w:lang w:val="en-US"/>
        </w:rPr>
      </w:pPr>
      <w:r>
        <w:rPr>
          <w:rFonts w:hint="eastAsia" w:ascii="宋体" w:hAnsi="宋体"/>
          <w:sz w:val="32"/>
          <w:lang w:val="en-US"/>
        </w:rPr>
        <w:t>8.社会保障和就业支出（类）其他社会保障和就业支出（款）其他社会保障和就业支出（项）：2026年预算数为1.57万元，主要用于：其他社会保障和就业方面的支出。</w:t>
      </w:r>
    </w:p>
    <w:p>
      <w:pPr>
        <w:pStyle w:val="16"/>
        <w:tabs>
          <w:tab w:val="left" w:pos="1784"/>
        </w:tabs>
        <w:spacing w:beforeLines="100" w:afterLines="50" w:line="560" w:lineRule="exact"/>
        <w:ind w:left="638" w:leftChars="290" w:right="660" w:rightChars="300" w:firstLine="1027" w:firstLineChars="321"/>
        <w:rPr>
          <w:rFonts w:ascii="宋体" w:hAnsi="宋体"/>
          <w:sz w:val="32"/>
          <w:lang w:val="en-US"/>
        </w:rPr>
      </w:pPr>
      <w:r>
        <w:rPr>
          <w:rFonts w:hint="eastAsia" w:ascii="宋体" w:hAnsi="宋体"/>
          <w:sz w:val="32"/>
          <w:lang w:val="en-US"/>
        </w:rPr>
        <w:t>9.卫生健康支出（类）行政事业单位医疗（款）行政单位医疗（项）：2026年预算数为4.65万元，主要用于：局机关行政人员基本医疗保险缴费支出。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10、卫生健康支出（类）行政事业单位医疗（款）事业单位医疗（项）：2026年预算数为4.72万元，主要用于：局下属事业单位事业人员基本医疗保险缴费支出。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11、卫生健康支出（类）行政事业单位医疗（款）公务员医疗补助（项）：2026年预算数为1.80万元，主要用于：局机关行政人员公务员医疗补助缴费支出。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12.住房保障支出（类）住房改革支出（款）住房公积金（项）：2026年预算数为27.56万元，主要用于：部门按人力资源和社会保障部、财政部规定的基本工资和津贴补贴以及规定比例为职工缴纳的住房公积金。</w:t>
      </w:r>
    </w:p>
    <w:p>
      <w:pPr>
        <w:pStyle w:val="5"/>
        <w:spacing w:before="300" w:afterLines="50"/>
        <w:ind w:firstLine="640" w:firstLineChars="200"/>
        <w:outlineLvl w:val="1"/>
        <w:rPr>
          <w:rFonts w:ascii="宋体" w:hAnsi="宋体" w:eastAsia="黑体"/>
          <w:color w:val="333333"/>
        </w:rPr>
      </w:pPr>
      <w:bookmarkStart w:id="44" w:name="_Toc6424"/>
      <w:r>
        <w:rPr>
          <w:rFonts w:hint="eastAsia" w:ascii="宋体" w:hAnsi="宋体" w:eastAsia="黑体"/>
          <w:color w:val="333333"/>
        </w:rPr>
        <w:t>四、一般公共预算基本支出情况说明</w:t>
      </w:r>
      <w:bookmarkEnd w:id="44"/>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五通桥区信访局部门2026年一般公共预算基本支出409.35万元，其中：</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人员经费359.45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公用经费49.9万元，主要包括：主要包括：办公费、印刷费、水费、电费、邮电费、差旅费、维修（护）费、会议费、培训费、公务接待费、劳务费、工会经费、福利费、公务用车运行维护费、其他交通费、其他商品和服务支出。</w:t>
      </w:r>
    </w:p>
    <w:p>
      <w:pPr>
        <w:pStyle w:val="5"/>
        <w:spacing w:before="300" w:afterLines="50"/>
        <w:ind w:firstLine="640" w:firstLineChars="200"/>
        <w:outlineLvl w:val="1"/>
        <w:rPr>
          <w:rFonts w:ascii="宋体" w:hAnsi="宋体" w:eastAsia="黑体"/>
          <w:color w:val="333333"/>
        </w:rPr>
      </w:pPr>
      <w:bookmarkStart w:id="45" w:name="_Toc32538"/>
      <w:r>
        <w:rPr>
          <w:rFonts w:hint="eastAsia" w:ascii="宋体" w:hAnsi="宋体" w:eastAsia="黑体"/>
          <w:color w:val="333333"/>
        </w:rPr>
        <w:t>五、“三公”经费财政拨款预算安排情况说明</w:t>
      </w:r>
      <w:bookmarkEnd w:id="45"/>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五通桥区信访局部门2026年“三公”经费财政拨款预算数0.50万元，其中：公务接待费0.50万元，公务用车购置0万元，公车运行维护费0万元。</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2026年公务接待费计划用于接待上级调研、工作指导以及友好区县单位经验交流等。</w:t>
      </w:r>
    </w:p>
    <w:p>
      <w:pPr>
        <w:pStyle w:val="4"/>
        <w:spacing w:before="100" w:afterLines="50"/>
        <w:ind w:left="0" w:firstLine="964" w:firstLineChars="300"/>
        <w:rPr>
          <w:rFonts w:ascii="宋体" w:hAnsi="宋体"/>
        </w:rPr>
      </w:pPr>
      <w:bookmarkStart w:id="46" w:name="_Toc14981"/>
      <w:r>
        <w:rPr>
          <w:rFonts w:ascii="宋体" w:hAnsi="宋体"/>
        </w:rPr>
        <w:t>（一）</w:t>
      </w:r>
      <w:r>
        <w:rPr>
          <w:rFonts w:hint="eastAsia" w:ascii="宋体" w:hAnsi="宋体"/>
          <w:lang w:val="en-US"/>
        </w:rPr>
        <w:t>公务接待费变化情况</w:t>
      </w:r>
      <w:bookmarkEnd w:id="46"/>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ascii="宋体" w:hAnsi="宋体"/>
          <w:sz w:val="32"/>
          <w:lang w:val="en-US"/>
        </w:rPr>
        <w:t>公务接待费较</w:t>
      </w:r>
      <w:r>
        <w:rPr>
          <w:rFonts w:hint="eastAsia" w:ascii="宋体" w:hAnsi="宋体"/>
          <w:sz w:val="32"/>
          <w:lang w:val="en-US"/>
        </w:rPr>
        <w:t>2024</w:t>
      </w:r>
      <w:r>
        <w:rPr>
          <w:rFonts w:ascii="宋体" w:hAnsi="宋体"/>
          <w:sz w:val="32"/>
          <w:lang w:val="en-US"/>
        </w:rPr>
        <w:t>年预算</w:t>
      </w:r>
      <w:r>
        <w:rPr>
          <w:rFonts w:hint="eastAsia" w:ascii="宋体" w:hAnsi="宋体"/>
          <w:sz w:val="32"/>
          <w:lang w:val="en-US"/>
        </w:rPr>
        <w:t>0.50</w:t>
      </w:r>
      <w:r>
        <w:rPr>
          <w:rFonts w:ascii="宋体" w:hAnsi="宋体"/>
          <w:sz w:val="32"/>
          <w:lang w:val="en-US"/>
        </w:rPr>
        <w:t>万元</w:t>
      </w:r>
      <w:r>
        <w:rPr>
          <w:rFonts w:hint="eastAsia" w:ascii="宋体" w:hAnsi="宋体"/>
          <w:sz w:val="32"/>
          <w:lang w:val="en-US"/>
        </w:rPr>
        <w:t>持平</w:t>
      </w:r>
      <w:r>
        <w:rPr>
          <w:rFonts w:ascii="宋体" w:hAnsi="宋体"/>
          <w:sz w:val="32"/>
          <w:lang w:val="en-US"/>
        </w:rPr>
        <w:t>。主要原因是厉行节约，压缩接待规模和接待费用。</w:t>
      </w:r>
    </w:p>
    <w:p>
      <w:pPr>
        <w:pStyle w:val="4"/>
        <w:spacing w:before="100" w:afterLines="50"/>
        <w:ind w:left="0" w:firstLine="964" w:firstLineChars="300"/>
        <w:rPr>
          <w:rFonts w:ascii="宋体" w:hAnsi="宋体"/>
        </w:rPr>
      </w:pPr>
      <w:bookmarkStart w:id="47" w:name="_Toc2659"/>
      <w:r>
        <w:rPr>
          <w:rFonts w:ascii="宋体" w:hAnsi="宋体"/>
        </w:rPr>
        <w:t>（</w:t>
      </w:r>
      <w:r>
        <w:rPr>
          <w:rFonts w:hint="eastAsia" w:ascii="宋体" w:hAnsi="宋体"/>
          <w:lang w:val="en-US"/>
        </w:rPr>
        <w:t>二</w:t>
      </w:r>
      <w:r>
        <w:rPr>
          <w:rFonts w:ascii="宋体" w:hAnsi="宋体"/>
        </w:rPr>
        <w:t>）</w:t>
      </w:r>
      <w:r>
        <w:rPr>
          <w:rFonts w:hint="eastAsia" w:ascii="宋体" w:hAnsi="宋体"/>
          <w:lang w:val="en-US"/>
        </w:rPr>
        <w:t>公务用车购置及运行维护费变化情况</w:t>
      </w:r>
      <w:bookmarkEnd w:id="47"/>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ascii="宋体" w:hAnsi="宋体"/>
          <w:sz w:val="32"/>
          <w:lang w:val="en-US"/>
        </w:rPr>
        <w:t>公务用车购置及运行维护费较</w:t>
      </w:r>
      <w:r>
        <w:rPr>
          <w:rFonts w:hint="eastAsia" w:ascii="宋体" w:hAnsi="宋体"/>
          <w:sz w:val="32"/>
          <w:lang w:val="en-US"/>
        </w:rPr>
        <w:t>2024</w:t>
      </w:r>
      <w:r>
        <w:rPr>
          <w:rFonts w:ascii="宋体" w:hAnsi="宋体"/>
          <w:sz w:val="32"/>
          <w:lang w:val="en-US"/>
        </w:rPr>
        <w:t>预算</w:t>
      </w:r>
      <w:r>
        <w:rPr>
          <w:rFonts w:hint="eastAsia" w:ascii="宋体" w:hAnsi="宋体"/>
          <w:sz w:val="32"/>
          <w:lang w:val="en-US"/>
        </w:rPr>
        <w:t>0</w:t>
      </w:r>
      <w:r>
        <w:rPr>
          <w:rFonts w:ascii="宋体" w:hAnsi="宋体"/>
          <w:sz w:val="32"/>
          <w:lang w:val="en-US"/>
        </w:rPr>
        <w:t>万元预算持平。主要原因是厉行节约，规范公务出行，尽量乘坐公共交通工具。</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ascii="宋体" w:hAnsi="宋体"/>
          <w:sz w:val="32"/>
          <w:lang w:val="en-US"/>
        </w:rPr>
        <w:t>单位实有公务用车</w:t>
      </w:r>
      <w:r>
        <w:rPr>
          <w:rFonts w:hint="eastAsia" w:ascii="宋体" w:hAnsi="宋体"/>
          <w:sz w:val="32"/>
          <w:lang w:val="en-US"/>
        </w:rPr>
        <w:t>0</w:t>
      </w:r>
      <w:r>
        <w:rPr>
          <w:rFonts w:ascii="宋体" w:hAnsi="宋体"/>
          <w:sz w:val="32"/>
          <w:lang w:val="en-US"/>
        </w:rPr>
        <w:t>辆，其中：轿车</w:t>
      </w:r>
      <w:r>
        <w:rPr>
          <w:rFonts w:hint="eastAsia" w:ascii="宋体" w:hAnsi="宋体"/>
          <w:sz w:val="32"/>
          <w:lang w:val="en-US"/>
        </w:rPr>
        <w:t>0</w:t>
      </w:r>
      <w:r>
        <w:rPr>
          <w:rFonts w:ascii="宋体" w:hAnsi="宋体"/>
          <w:sz w:val="32"/>
          <w:lang w:val="en-US"/>
        </w:rPr>
        <w:t>辆，多功能乘用车</w:t>
      </w:r>
      <w:r>
        <w:rPr>
          <w:rFonts w:hint="eastAsia" w:ascii="宋体" w:hAnsi="宋体"/>
          <w:sz w:val="32"/>
          <w:lang w:val="en-US"/>
        </w:rPr>
        <w:t>0</w:t>
      </w:r>
      <w:r>
        <w:rPr>
          <w:rFonts w:ascii="宋体" w:hAnsi="宋体"/>
          <w:sz w:val="32"/>
          <w:lang w:val="en-US"/>
        </w:rPr>
        <w:t>辆。</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2026</w:t>
      </w:r>
      <w:r>
        <w:rPr>
          <w:rFonts w:ascii="宋体" w:hAnsi="宋体"/>
          <w:sz w:val="32"/>
          <w:lang w:val="en-US"/>
        </w:rPr>
        <w:t>年安排公务用车购置费</w:t>
      </w:r>
      <w:r>
        <w:rPr>
          <w:rFonts w:hint="eastAsia" w:ascii="宋体" w:hAnsi="宋体"/>
          <w:sz w:val="32"/>
          <w:lang w:val="en-US"/>
        </w:rPr>
        <w:t>0</w:t>
      </w:r>
      <w:r>
        <w:rPr>
          <w:rFonts w:ascii="宋体" w:hAnsi="宋体"/>
          <w:sz w:val="32"/>
          <w:lang w:val="en-US"/>
        </w:rPr>
        <w:t>万元，拟购置公务用车</w:t>
      </w:r>
      <w:r>
        <w:rPr>
          <w:rFonts w:hint="eastAsia" w:ascii="宋体" w:hAnsi="宋体"/>
          <w:sz w:val="32"/>
          <w:lang w:val="en-US"/>
        </w:rPr>
        <w:t>0</w:t>
      </w:r>
      <w:r>
        <w:rPr>
          <w:rFonts w:ascii="宋体" w:hAnsi="宋体"/>
          <w:sz w:val="32"/>
          <w:lang w:val="en-US"/>
        </w:rPr>
        <w:t>辆，其中：轿车</w:t>
      </w:r>
      <w:r>
        <w:rPr>
          <w:rFonts w:hint="eastAsia" w:ascii="宋体" w:hAnsi="宋体"/>
          <w:sz w:val="32"/>
          <w:lang w:val="en-US"/>
        </w:rPr>
        <w:t>0</w:t>
      </w:r>
      <w:r>
        <w:rPr>
          <w:rFonts w:ascii="宋体" w:hAnsi="宋体"/>
          <w:sz w:val="32"/>
          <w:lang w:val="en-US"/>
        </w:rPr>
        <w:t>辆，旅行车（含商务车）</w:t>
      </w:r>
      <w:r>
        <w:rPr>
          <w:rFonts w:hint="eastAsia" w:ascii="宋体" w:hAnsi="宋体"/>
          <w:sz w:val="32"/>
          <w:lang w:val="en-US"/>
        </w:rPr>
        <w:t>0</w:t>
      </w:r>
      <w:r>
        <w:rPr>
          <w:rFonts w:ascii="宋体" w:hAnsi="宋体"/>
          <w:sz w:val="32"/>
          <w:lang w:val="en-US"/>
        </w:rPr>
        <w:t>辆，越野车</w:t>
      </w:r>
      <w:r>
        <w:rPr>
          <w:rFonts w:hint="eastAsia" w:ascii="宋体" w:hAnsi="宋体"/>
          <w:sz w:val="32"/>
          <w:lang w:val="en-US"/>
        </w:rPr>
        <w:t>0</w:t>
      </w:r>
      <w:r>
        <w:rPr>
          <w:rFonts w:ascii="宋体" w:hAnsi="宋体"/>
          <w:sz w:val="32"/>
          <w:lang w:val="en-US"/>
        </w:rPr>
        <w:t>辆，大型客、货车</w:t>
      </w:r>
      <w:r>
        <w:rPr>
          <w:rFonts w:hint="eastAsia" w:ascii="宋体" w:hAnsi="宋体"/>
          <w:sz w:val="32"/>
          <w:lang w:val="en-US"/>
        </w:rPr>
        <w:t>0</w:t>
      </w:r>
      <w:r>
        <w:rPr>
          <w:rFonts w:ascii="宋体" w:hAnsi="宋体"/>
          <w:sz w:val="32"/>
          <w:lang w:val="en-US"/>
        </w:rPr>
        <w:t>辆。</w:t>
      </w:r>
    </w:p>
    <w:p>
      <w:pPr>
        <w:pStyle w:val="5"/>
        <w:spacing w:before="300" w:afterLines="50"/>
        <w:ind w:firstLine="1280" w:firstLineChars="400"/>
        <w:outlineLvl w:val="1"/>
        <w:rPr>
          <w:rFonts w:ascii="宋体" w:hAnsi="宋体"/>
          <w:lang w:val="en-US"/>
        </w:rPr>
      </w:pPr>
      <w:bookmarkStart w:id="48" w:name="_Toc29975"/>
      <w:r>
        <w:rPr>
          <w:rFonts w:ascii="宋体" w:hAnsi="宋体"/>
          <w:lang w:val="en-US"/>
        </w:rPr>
        <w:t>202</w:t>
      </w:r>
      <w:r>
        <w:rPr>
          <w:rFonts w:hint="eastAsia" w:ascii="宋体" w:hAnsi="宋体"/>
          <w:lang w:val="en-US"/>
        </w:rPr>
        <w:t>4</w:t>
      </w:r>
      <w:r>
        <w:rPr>
          <w:rFonts w:ascii="宋体" w:hAnsi="宋体"/>
          <w:lang w:val="en-US"/>
        </w:rPr>
        <w:t>年安排公务用车运行维护费</w:t>
      </w:r>
      <w:r>
        <w:rPr>
          <w:rFonts w:hint="eastAsia" w:ascii="宋体" w:hAnsi="宋体"/>
          <w:lang w:val="en-US"/>
        </w:rPr>
        <w:t>0</w:t>
      </w:r>
      <w:r>
        <w:rPr>
          <w:rFonts w:ascii="宋体" w:hAnsi="宋体"/>
          <w:lang w:val="en-US"/>
        </w:rPr>
        <w:t>万元，</w:t>
      </w:r>
      <w:r>
        <w:rPr>
          <w:rFonts w:hint="eastAsia" w:ascii="宋体" w:hAnsi="宋体"/>
          <w:lang w:val="en-US"/>
        </w:rPr>
        <w:t>无支出预算。</w:t>
      </w:r>
      <w:bookmarkEnd w:id="48"/>
    </w:p>
    <w:p>
      <w:pPr>
        <w:pStyle w:val="5"/>
        <w:spacing w:before="300" w:afterLines="50"/>
        <w:ind w:firstLine="640" w:firstLineChars="200"/>
        <w:outlineLvl w:val="1"/>
        <w:rPr>
          <w:rFonts w:ascii="宋体" w:hAnsi="宋体" w:eastAsia="黑体"/>
          <w:color w:val="333333"/>
        </w:rPr>
      </w:pPr>
      <w:bookmarkStart w:id="49" w:name="_Toc17408"/>
      <w:r>
        <w:rPr>
          <w:rFonts w:hint="eastAsia" w:ascii="宋体" w:hAnsi="宋体" w:eastAsia="黑体"/>
          <w:color w:val="333333"/>
        </w:rPr>
        <w:t>六、政府性基金预算支出情况说明</w:t>
      </w:r>
      <w:bookmarkEnd w:id="49"/>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w:t>
      </w:r>
      <w:r>
        <w:rPr>
          <w:rFonts w:ascii="宋体" w:hAnsi="宋体"/>
          <w:sz w:val="32"/>
          <w:lang w:val="en-US"/>
        </w:rPr>
        <w:t>部门</w:t>
      </w:r>
      <w:r>
        <w:rPr>
          <w:rFonts w:hint="eastAsia" w:ascii="宋体" w:hAnsi="宋体"/>
          <w:sz w:val="32"/>
          <w:lang w:val="en-US"/>
        </w:rPr>
        <w:t>2026</w:t>
      </w:r>
      <w:r>
        <w:rPr>
          <w:rFonts w:ascii="宋体" w:hAnsi="宋体"/>
          <w:sz w:val="32"/>
          <w:lang w:val="en-US"/>
        </w:rPr>
        <w:t>年政府性基金预算拨款安排支出</w:t>
      </w:r>
      <w:r>
        <w:rPr>
          <w:rFonts w:hint="eastAsia" w:ascii="宋体" w:hAnsi="宋体"/>
          <w:sz w:val="32"/>
          <w:lang w:val="en-US"/>
        </w:rPr>
        <w:t>0万元，较上年预算数持平。</w:t>
      </w:r>
    </w:p>
    <w:p>
      <w:pPr>
        <w:pStyle w:val="5"/>
        <w:spacing w:before="300" w:afterLines="50"/>
        <w:ind w:firstLine="640" w:firstLineChars="200"/>
        <w:outlineLvl w:val="1"/>
        <w:rPr>
          <w:rFonts w:ascii="宋体" w:hAnsi="宋体" w:eastAsia="黑体"/>
          <w:color w:val="333333"/>
        </w:rPr>
      </w:pPr>
      <w:bookmarkStart w:id="50" w:name="_Toc4201"/>
      <w:r>
        <w:rPr>
          <w:rFonts w:hint="eastAsia" w:ascii="宋体" w:hAnsi="宋体" w:eastAsia="黑体"/>
          <w:color w:val="333333"/>
          <w:lang w:val="en-US"/>
        </w:rPr>
        <w:t>七、</w:t>
      </w:r>
      <w:r>
        <w:rPr>
          <w:rFonts w:hint="eastAsia" w:ascii="宋体" w:hAnsi="宋体" w:eastAsia="黑体"/>
          <w:color w:val="333333"/>
        </w:rPr>
        <w:t>国有资本经营预算情况说明</w:t>
      </w:r>
      <w:bookmarkEnd w:id="50"/>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五通桥区信访局部门2026年国有资本经营预算拨款安排支出0万元,较上年预算数持平。</w:t>
      </w:r>
    </w:p>
    <w:p>
      <w:pPr>
        <w:pStyle w:val="5"/>
        <w:spacing w:before="300" w:afterLines="50"/>
        <w:ind w:firstLine="640" w:firstLineChars="200"/>
        <w:outlineLvl w:val="1"/>
        <w:rPr>
          <w:rFonts w:ascii="宋体" w:hAnsi="宋体" w:eastAsia="黑体"/>
          <w:color w:val="333333"/>
          <w:lang w:val="en-US"/>
        </w:rPr>
      </w:pPr>
      <w:bookmarkStart w:id="51" w:name="_Toc3378"/>
      <w:r>
        <w:rPr>
          <w:rFonts w:hint="eastAsia" w:ascii="宋体" w:hAnsi="宋体" w:eastAsia="黑体"/>
          <w:color w:val="333333"/>
          <w:lang w:val="en-US"/>
        </w:rPr>
        <w:t>八、其他重要事项的情况说明</w:t>
      </w:r>
      <w:bookmarkEnd w:id="51"/>
    </w:p>
    <w:p>
      <w:pPr>
        <w:pStyle w:val="4"/>
        <w:spacing w:before="100" w:afterLines="50"/>
        <w:ind w:left="0" w:firstLine="964" w:firstLineChars="300"/>
        <w:rPr>
          <w:rFonts w:ascii="宋体" w:hAnsi="宋体"/>
          <w:lang w:val="en-US"/>
        </w:rPr>
      </w:pPr>
      <w:bookmarkStart w:id="52" w:name="_Toc2176"/>
      <w:r>
        <w:rPr>
          <w:rFonts w:ascii="宋体" w:hAnsi="宋体"/>
        </w:rPr>
        <w:t>（一）机关运行经费情况</w:t>
      </w:r>
      <w:bookmarkEnd w:id="52"/>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2026年，五通桥区信访局（局机关1家行政单位,0家参公管理事业单位以及五通桥区群众来访接待中心1家事业单位）的机关运行经费财政拨款预算为49.9万元，比2025年预算45.07增加4.83万元，增长10.72%。主要原因是办公费、水电费、邮电费、差旅费、工会经费、其他商品和服务支出比上年增加。</w:t>
      </w:r>
    </w:p>
    <w:p>
      <w:pPr>
        <w:pStyle w:val="4"/>
        <w:spacing w:before="100" w:afterLines="50"/>
        <w:ind w:left="0" w:firstLine="964" w:firstLineChars="300"/>
        <w:rPr>
          <w:rFonts w:ascii="宋体" w:hAnsi="宋体"/>
        </w:rPr>
      </w:pPr>
      <w:bookmarkStart w:id="53" w:name="_Toc14984"/>
      <w:r>
        <w:rPr>
          <w:rFonts w:ascii="宋体" w:hAnsi="宋体"/>
        </w:rPr>
        <w:t>（二）政府采购情况</w:t>
      </w:r>
      <w:bookmarkEnd w:id="53"/>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2026年，五通桥区信访局部门政府采购项目0万元。其中，政府采购货物预算0万元；政府采购工程预算0万元；政府采购服务预算0万元。</w:t>
      </w:r>
    </w:p>
    <w:p>
      <w:pPr>
        <w:pStyle w:val="4"/>
        <w:spacing w:before="100" w:afterLines="50"/>
        <w:ind w:left="0" w:firstLine="964" w:firstLineChars="300"/>
        <w:rPr>
          <w:rFonts w:ascii="宋体" w:hAnsi="宋体"/>
        </w:rPr>
      </w:pPr>
      <w:bookmarkStart w:id="54" w:name="_Toc3525"/>
      <w:r>
        <w:rPr>
          <w:rFonts w:ascii="宋体" w:hAnsi="宋体"/>
        </w:rPr>
        <w:t>（三）国有资产占有使用情况</w:t>
      </w:r>
      <w:bookmarkEnd w:id="54"/>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截至2026年底，五通桥区信访局部门所属各预算单位共有车辆0辆。单位价值100万元以上大型设备0套。</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2026年部门预算未安排购置车辆及单位价值100万元以上大型设备。</w:t>
      </w:r>
    </w:p>
    <w:p>
      <w:pPr>
        <w:pStyle w:val="4"/>
        <w:spacing w:before="100" w:afterLines="50"/>
        <w:ind w:left="0" w:firstLine="964" w:firstLineChars="300"/>
        <w:rPr>
          <w:rFonts w:ascii="宋体" w:hAnsi="宋体"/>
        </w:rPr>
      </w:pPr>
      <w:bookmarkStart w:id="55" w:name="_Toc6271"/>
      <w:r>
        <w:rPr>
          <w:rFonts w:hint="eastAsia" w:ascii="宋体" w:hAnsi="宋体"/>
        </w:rPr>
        <w:t>（</w:t>
      </w:r>
      <w:r>
        <w:rPr>
          <w:rFonts w:hint="eastAsia" w:ascii="宋体" w:hAnsi="宋体"/>
          <w:lang w:val="en-US"/>
        </w:rPr>
        <w:t>四</w:t>
      </w:r>
      <w:r>
        <w:rPr>
          <w:rFonts w:hint="eastAsia" w:ascii="宋体" w:hAnsi="宋体"/>
        </w:rPr>
        <w:t>）</w:t>
      </w:r>
      <w:r>
        <w:rPr>
          <w:rFonts w:ascii="宋体" w:hAnsi="宋体"/>
        </w:rPr>
        <w:t>预算绩效情况</w:t>
      </w:r>
      <w:bookmarkEnd w:id="55"/>
    </w:p>
    <w:p>
      <w:pPr>
        <w:pStyle w:val="16"/>
        <w:tabs>
          <w:tab w:val="left" w:pos="1784"/>
        </w:tabs>
        <w:spacing w:beforeLines="100" w:afterLines="50" w:line="560" w:lineRule="exact"/>
        <w:ind w:left="660" w:leftChars="300" w:right="660" w:rightChars="300" w:firstLineChars="200"/>
        <w:rPr>
          <w:rFonts w:ascii="宋体" w:hAnsi="宋体"/>
          <w:spacing w:val="6"/>
        </w:rPr>
      </w:pPr>
      <w:r>
        <w:rPr>
          <w:rFonts w:hint="eastAsia" w:ascii="宋体" w:hAnsi="宋体"/>
          <w:sz w:val="32"/>
          <w:lang w:val="en-US"/>
        </w:rPr>
        <w:t>2026年五通桥区信访局开展绩效目标管理的项目33个，涉及预算481.65万元。其中：人员类项目19个，涉及预算359.47万元；运转类项目8个，涉及预算49.9万元；特定目标类项目6个，涉及预算72.30万元。</w:t>
      </w:r>
    </w:p>
    <w:p>
      <w:pPr>
        <w:pStyle w:val="5"/>
        <w:jc w:val="both"/>
        <w:rPr>
          <w:rFonts w:ascii="宋体" w:hAnsi="宋体"/>
          <w:spacing w:val="6"/>
        </w:rPr>
        <w:sectPr>
          <w:headerReference r:id="rId7" w:type="default"/>
          <w:footerReference r:id="rId8" w:type="default"/>
          <w:pgSz w:w="11910" w:h="16840"/>
          <w:pgMar w:top="1587" w:right="964" w:bottom="1701" w:left="1134" w:header="737" w:footer="737" w:gutter="0"/>
          <w:cols w:space="0" w:num="1"/>
        </w:sectPr>
      </w:pPr>
    </w:p>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jc w:val="center"/>
        <w:outlineLvl w:val="0"/>
        <w:rPr>
          <w:rFonts w:ascii="宋体" w:hAnsi="宋体" w:eastAsia="方正小标宋简体" w:cs="方正小标宋简体"/>
          <w:sz w:val="52"/>
          <w:szCs w:val="52"/>
          <w:lang w:val="en-US"/>
        </w:rPr>
      </w:pPr>
      <w:bookmarkStart w:id="56" w:name="_Toc27057"/>
      <w:r>
        <w:rPr>
          <w:rFonts w:hint="eastAsia" w:ascii="宋体" w:hAnsi="宋体" w:eastAsia="方正小标宋简体" w:cs="方正小标宋简体"/>
          <w:sz w:val="52"/>
          <w:szCs w:val="52"/>
          <w:lang w:val="en-US"/>
        </w:rPr>
        <w:t>第四部分  名词解释</w:t>
      </w:r>
      <w:bookmarkEnd w:id="56"/>
    </w:p>
    <w:p>
      <w:pPr>
        <w:rPr>
          <w:sz w:val="20"/>
        </w:rPr>
        <w:sectPr>
          <w:headerReference r:id="rId9" w:type="default"/>
          <w:footerReference r:id="rId10" w:type="default"/>
          <w:pgSz w:w="11910" w:h="16840"/>
          <w:pgMar w:top="1587" w:right="964" w:bottom="1701" w:left="1134" w:header="737" w:footer="737" w:gutter="0"/>
          <w:cols w:space="0" w:num="1"/>
        </w:sectPr>
      </w:pP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1.财政拨款收支情况：是指一般公共预算、政府性基金预算、国有资本经营预算拨款收支情况。</w:t>
      </w:r>
    </w:p>
    <w:p>
      <w:pPr>
        <w:pStyle w:val="16"/>
        <w:tabs>
          <w:tab w:val="left" w:pos="1784"/>
        </w:tabs>
        <w:spacing w:beforeLines="100" w:afterLines="50" w:line="560" w:lineRule="exact"/>
        <w:ind w:left="0" w:right="660" w:rightChars="300" w:firstLine="1347" w:firstLineChars="421"/>
        <w:rPr>
          <w:rFonts w:ascii="宋体" w:hAnsi="宋体"/>
          <w:sz w:val="32"/>
          <w:lang w:val="en-US"/>
        </w:rPr>
      </w:pPr>
      <w:r>
        <w:rPr>
          <w:rFonts w:hint="eastAsia" w:ascii="宋体" w:hAnsi="宋体"/>
          <w:sz w:val="32"/>
          <w:lang w:val="en-US"/>
        </w:rPr>
        <w:t>2.一般公共预算拨款收入：指区级财政当年拨付的资金。</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3.事业收入：指事业单位开展专业业务活动及辅助活动所取得的收入。</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4.事业单位经营收入：指事业单位在专业业务活动及其辅助活动之外开展非独立核算经营活动取得的收入。</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5.其他收入：指除上述“一般公共预算拨款收入”、“事业收入”、“事业单位经营收入”等以外的收入。主要是利息收入、国有资产出租收入等。</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7.上年结转：指以前年度尚未完成，结转到本年仍按原规定用途继续使用的资金。</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8. 一般公共服务（201类）政府办公厅（室）及相关机构事务（03款）信访事务（08项）：指接待群众来信来访等方面的专门性信访工作的项目支出。</w:t>
      </w:r>
    </w:p>
    <w:p>
      <w:pPr>
        <w:pStyle w:val="16"/>
        <w:tabs>
          <w:tab w:val="left" w:pos="1784"/>
        </w:tabs>
        <w:spacing w:beforeLines="100" w:afterLines="50" w:line="560" w:lineRule="exact"/>
        <w:ind w:left="0" w:right="660" w:rightChars="300" w:firstLine="1347" w:firstLineChars="421"/>
        <w:rPr>
          <w:rFonts w:ascii="宋体" w:hAnsi="宋体"/>
          <w:sz w:val="32"/>
          <w:lang w:val="en-US"/>
        </w:rPr>
      </w:pPr>
      <w:r>
        <w:rPr>
          <w:rFonts w:hint="eastAsia" w:ascii="宋体" w:hAnsi="宋体"/>
          <w:sz w:val="32"/>
          <w:lang w:val="en-US"/>
        </w:rPr>
        <w:t>9. 一般公共服务（201类信访事务（40款）</w:t>
      </w:r>
    </w:p>
    <w:p>
      <w:pPr>
        <w:pStyle w:val="16"/>
        <w:tabs>
          <w:tab w:val="left" w:pos="1784"/>
        </w:tabs>
        <w:spacing w:beforeLines="100" w:afterLines="50" w:line="560" w:lineRule="exact"/>
        <w:ind w:left="638" w:leftChars="290" w:right="660" w:rightChars="300" w:firstLine="0"/>
        <w:rPr>
          <w:rFonts w:ascii="宋体" w:hAnsi="宋体"/>
          <w:sz w:val="32"/>
          <w:lang w:val="en-US"/>
        </w:rPr>
      </w:pPr>
      <w:r>
        <w:rPr>
          <w:rFonts w:hint="eastAsia" w:ascii="宋体" w:hAnsi="宋体"/>
          <w:sz w:val="32"/>
          <w:lang w:val="en-US"/>
        </w:rPr>
        <w:t>行政运行（01项）：指行政单位（包括实行公务员管理的事业单位的）基本支出。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10. 一般公共服务（201类）信访事务（40款）事业运行（50类）：指事业单位的基本支出，不包括行政单位（实行公务员管理的事业单位）后勤服务中心、医务室等附属事业单位。</w:t>
      </w:r>
    </w:p>
    <w:p>
      <w:pPr>
        <w:pStyle w:val="16"/>
        <w:tabs>
          <w:tab w:val="left" w:pos="1784"/>
        </w:tabs>
        <w:spacing w:beforeLines="100" w:afterLines="50" w:line="360" w:lineRule="auto"/>
        <w:ind w:left="660" w:leftChars="300" w:right="660" w:rightChars="300" w:firstLineChars="200"/>
        <w:rPr>
          <w:rFonts w:ascii="宋体" w:hAnsi="宋体"/>
          <w:sz w:val="32"/>
          <w:lang w:val="en-US"/>
        </w:rPr>
      </w:pPr>
      <w:r>
        <w:rPr>
          <w:rFonts w:hint="eastAsia" w:ascii="宋体" w:hAnsi="宋体"/>
          <w:sz w:val="32"/>
          <w:lang w:val="en-US"/>
        </w:rPr>
        <w:t>11、一般公共服务（201类）信访事务（40款）一般行政管理事务（02类）：主要用于机关及参公管理事业单位开展财政综合业务、预决算编审等未单独设置项级科目的专门性财政管理工作的项目支出。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12.一般公共服务（201类）信访事务（40款）其他信访事务支出（99类）：2026年预算数为30万元，主要用于其他信访事务方面的支出。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13. 社会保障和就业支出（208类）行政事业单位养老支出（05款）机关事业单位基本养老保险缴费支出（05项）：指机关事业单位实施养老保险制度后由单位缴纳的基本养老保险费支出。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14. 社会保障和就业支出（208类）行政事业单位养老支出（05款）机关事业单位职业年金缴费支出（06项）：指机关事业单位实施养老保险制度后由单位实际缴纳的职业年金支出。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15. 社会保障和就业支出（208类）行政事业单位养老支出（05款）其他行政事业单位养老支出（99项）：指其他用于向行政事业单位养老方面的支出。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16. 卫生健康支出（210）行政事业单位医疗（11类）行政单位医疗（01款）：指财政部门安排的行政单位（包括实行公务员管理的事业单位）基本医疗保险缴费经费，未参加医疗保险的行政单位的公费医疗经费，按国家规定享受离休人员、红军老战士待遇人员的医疗经费。</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17. 卫生健康支出（210）行政事业单位医疗（11类）事业单位医疗（02款）：指财政部门安排的事业单位基本医疗保险缴费经费，未参加医疗保险的事业单位的公费医疗经费，按国家规定享受离休人员待遇的医疗经费。</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18. 卫生健康支出（210）行政事业单位医疗（11类）公务员医疗补助（03款）：指财政部门安排的公务员医疗补助经费。</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19.卫生健康支出（210）行政事业单位医疗（11类）其他行政事业单位医疗支出（99款）：指其他用于行政事业单位医疗方面的支出。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20.住房保障支出（221类）住房改革支出（02款）住房公积金（01项）：指行政事业单位按人力资源和社会保障部、财政部规定的基本工资和津贴补贴以及规定比例为职工缴纳的住房公积金。</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21.基本支出：指为保证机构正常运转，完成日常工作任务而发生的人员支出和公用支出。</w:t>
      </w:r>
    </w:p>
    <w:p>
      <w:pPr>
        <w:pStyle w:val="16"/>
        <w:tabs>
          <w:tab w:val="left" w:pos="1784"/>
        </w:tabs>
        <w:spacing w:beforeLines="100" w:afterLines="50" w:line="560" w:lineRule="exact"/>
        <w:ind w:left="638" w:leftChars="290" w:right="660" w:rightChars="300" w:firstLine="707" w:firstLineChars="221"/>
        <w:rPr>
          <w:rFonts w:ascii="宋体" w:hAnsi="宋体"/>
          <w:sz w:val="32"/>
          <w:lang w:val="en-US"/>
        </w:rPr>
      </w:pPr>
      <w:r>
        <w:rPr>
          <w:rFonts w:hint="eastAsia" w:ascii="宋体" w:hAnsi="宋体"/>
          <w:sz w:val="32"/>
          <w:lang w:val="en-US"/>
        </w:rPr>
        <w:t>22.项目支出：指在基本支出之外为完成特定行政任务和事业发展目标所发生的支出。</w:t>
      </w:r>
    </w:p>
    <w:p>
      <w:pPr>
        <w:pStyle w:val="16"/>
        <w:tabs>
          <w:tab w:val="left" w:pos="1784"/>
        </w:tabs>
        <w:spacing w:beforeLines="100" w:afterLines="50" w:line="560" w:lineRule="exact"/>
        <w:ind w:left="660" w:leftChars="300" w:right="660" w:rightChars="300" w:firstLineChars="200"/>
        <w:rPr>
          <w:rFonts w:ascii="宋体" w:hAnsi="宋体"/>
          <w:sz w:val="32"/>
          <w:lang w:val="en-US"/>
        </w:rPr>
      </w:pPr>
      <w:r>
        <w:rPr>
          <w:rFonts w:hint="eastAsia" w:ascii="宋体" w:hAnsi="宋体"/>
          <w:sz w:val="32"/>
          <w:lang w:val="en-US"/>
        </w:rPr>
        <w:t>23.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tabs>
          <w:tab w:val="left" w:pos="1784"/>
        </w:tabs>
        <w:spacing w:beforeLines="100" w:afterLines="50" w:line="560" w:lineRule="exact"/>
        <w:ind w:left="660" w:leftChars="300" w:right="660" w:rightChars="300" w:firstLineChars="200"/>
        <w:rPr>
          <w:rFonts w:ascii="宋体" w:hAnsi="宋体"/>
          <w:sz w:val="32"/>
          <w:lang w:val="en-US"/>
        </w:rPr>
      </w:pPr>
    </w:p>
    <w:sectPr>
      <w:headerReference r:id="rId11" w:type="default"/>
      <w:footerReference r:id="rId12" w:type="default"/>
      <w:pgSz w:w="11910" w:h="16840"/>
      <w:pgMar w:top="1587" w:right="964" w:bottom="1701" w:left="1134" w:header="737" w:footer="737"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00697A-57B0-44DC-963A-2C1EB9338C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4B4D438-E640-46AF-96CA-2179FFBE2E65}"/>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6AD1856F-A2B1-49EA-8CFE-EBE9A7E12C45}"/>
  </w:font>
  <w:font w:name="方正小标宋简体">
    <w:panose1 w:val="03000509000000000000"/>
    <w:charset w:val="86"/>
    <w:family w:val="auto"/>
    <w:pitch w:val="default"/>
    <w:sig w:usb0="00000001" w:usb1="080E0000" w:usb2="00000000" w:usb3="00000000" w:csb0="00040000" w:csb1="00000000"/>
    <w:embedRegular r:id="rId4" w:fontKey="{3304A7A1-E23B-49A4-BBFE-82EFE21E9E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
      </w:rPr>
    </w:pPr>
    <w:r>
      <w:rPr>
        <w:sz w:val="2"/>
      </w:rPr>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t xml:space="preserve">— </w:t>
                </w:r>
                <w:r>
                  <w:fldChar w:fldCharType="begin"/>
                </w:r>
                <w:r>
                  <w:instrText xml:space="preserve"> PAGE  \* MERGEFORMAT </w:instrText>
                </w:r>
                <w:r>
                  <w:fldChar w:fldCharType="separate"/>
                </w:r>
                <w:r>
                  <w:t>7</w:t>
                </w:r>
                <w:r>
                  <w:fldChar w:fldCharType="end"/>
                </w:r>
                <w: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
      </w:rPr>
    </w:pPr>
    <w:r>
      <w:rPr>
        <w:sz w:val="2"/>
      </w:rPr>
      <w:pict>
        <v:shape id="_x0000_s1030" o:spid="_x0000_s1030"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path/>
          <v:fill on="f" focussize="0,0"/>
          <v:stroke on="f" weight="0.5pt" joinstyle="miter"/>
          <v:imagedata o:title=""/>
          <o:lock v:ext="edit"/>
          <v:textbox inset="0mm,0mm,0mm,0mm" style="mso-fit-shape-to-text:t;">
            <w:txbxContent>
              <w:p>
                <w:pPr>
                  <w:pStyle w:val="2"/>
                </w:pPr>
                <w:r>
                  <w:t xml:space="preserve">— </w:t>
                </w:r>
                <w:r>
                  <w:fldChar w:fldCharType="begin"/>
                </w:r>
                <w:r>
                  <w:instrText xml:space="preserve"> PAGE  \* MERGEFORMAT </w:instrText>
                </w:r>
                <w:r>
                  <w:fldChar w:fldCharType="separate"/>
                </w:r>
                <w:r>
                  <w:t>9</w:t>
                </w:r>
                <w:r>
                  <w:fldChar w:fldCharType="end"/>
                </w:r>
                <w: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1029" o:spid="_x0000_s102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2"/>
                </w:pPr>
                <w:r>
                  <w:t xml:space="preserve">— </w:t>
                </w:r>
                <w:r>
                  <w:fldChar w:fldCharType="begin"/>
                </w:r>
                <w:r>
                  <w:instrText xml:space="preserve"> PAGE  \* MERGEFORMAT </w:instrText>
                </w:r>
                <w:r>
                  <w:fldChar w:fldCharType="separate"/>
                </w:r>
                <w:r>
                  <w:t>16</w:t>
                </w:r>
                <w:r>
                  <w:fldChar w:fldCharType="end"/>
                </w:r>
                <w:r>
                  <w:t xml:space="preserve"> —</w:t>
                </w:r>
              </w:p>
            </w:txbxContent>
          </v:textbox>
        </v:shape>
      </w:pict>
    </w:r>
    <w:r>
      <w:rPr>
        <w:lang w:val="en-US" w:bidi="ar-SA"/>
      </w:rP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r>
      <w:rPr>
        <w:sz w:val="2"/>
      </w:rPr>
      <w:pict>
        <v:shape id="_x0000_s1028" o:spid="_x0000_s1028"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pPr>
                  <w:pStyle w:val="2"/>
                </w:pPr>
                <w:r>
                  <w:t xml:space="preserve">— </w:t>
                </w:r>
                <w:r>
                  <w:fldChar w:fldCharType="begin"/>
                </w:r>
                <w:r>
                  <w:instrText xml:space="preserve"> PAGE  \* MERGEFORMAT </w:instrText>
                </w:r>
                <w:r>
                  <w:fldChar w:fldCharType="separate"/>
                </w:r>
                <w:r>
                  <w:t>18</w:t>
                </w:r>
                <w:r>
                  <w:fldChar w:fldCharType="end"/>
                </w:r>
                <w: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1027" o:spid="_x0000_s1027"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t xml:space="preserve">— </w:t>
                </w:r>
                <w:r>
                  <w:fldChar w:fldCharType="begin"/>
                </w:r>
                <w:r>
                  <w:instrText xml:space="preserve"> PAGE  \* MERGEFORMAT </w:instrText>
                </w:r>
                <w:r>
                  <w:fldChar w:fldCharType="separate"/>
                </w:r>
                <w:r>
                  <w:t>19</w:t>
                </w:r>
                <w:r>
                  <w:fldChar w:fldCharType="end"/>
                </w:r>
                <w:r>
                  <w:t xml:space="preserve"> —</w:t>
                </w:r>
              </w:p>
            </w:txbxContent>
          </v:textbox>
        </v:shape>
      </w:pict>
    </w:r>
    <w:r>
      <w:rPr>
        <w:lang w:val="en-US" w:bidi="ar-SA"/>
      </w:rP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spacing w:afterLines="201"/>
      <w:ind w:firstLine="4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TrueTypeFonts/>
  <w:saveSubset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2"/>
  </w:compat>
  <w:docVars>
    <w:docVar w:name="commondata" w:val="eyJoZGlkIjoiNDVkY2FlMGQyNDEzM2Q3ODNlYmRhZTM0YmMzNGFlY2MifQ=="/>
    <w:docVar w:name="KSO_WPS_MARK_KEY" w:val="48d2c7c5-5ca7-4a62-94c0-78ba1c7e0ebc"/>
  </w:docVars>
  <w:rsids>
    <w:rsidRoot w:val="00A74921"/>
    <w:rsid w:val="00285C80"/>
    <w:rsid w:val="004772E2"/>
    <w:rsid w:val="005801E0"/>
    <w:rsid w:val="00695899"/>
    <w:rsid w:val="006A5192"/>
    <w:rsid w:val="006B47A7"/>
    <w:rsid w:val="008334CD"/>
    <w:rsid w:val="008E5B50"/>
    <w:rsid w:val="0096118E"/>
    <w:rsid w:val="00A74921"/>
    <w:rsid w:val="00BA40B8"/>
    <w:rsid w:val="00C85DB0"/>
    <w:rsid w:val="00CA0608"/>
    <w:rsid w:val="00E769CD"/>
    <w:rsid w:val="02ED1707"/>
    <w:rsid w:val="02F925FF"/>
    <w:rsid w:val="0689271A"/>
    <w:rsid w:val="08F93370"/>
    <w:rsid w:val="0C692A38"/>
    <w:rsid w:val="0C7436BB"/>
    <w:rsid w:val="0F8D31EF"/>
    <w:rsid w:val="11C211F0"/>
    <w:rsid w:val="13CB5FFB"/>
    <w:rsid w:val="13CE3245"/>
    <w:rsid w:val="15C52642"/>
    <w:rsid w:val="18D94D16"/>
    <w:rsid w:val="1A006681"/>
    <w:rsid w:val="1B410DBC"/>
    <w:rsid w:val="1C4565B4"/>
    <w:rsid w:val="1E9115A9"/>
    <w:rsid w:val="1F377A30"/>
    <w:rsid w:val="1F7B66BE"/>
    <w:rsid w:val="20D9567F"/>
    <w:rsid w:val="21211D8E"/>
    <w:rsid w:val="21E85C7F"/>
    <w:rsid w:val="240622C9"/>
    <w:rsid w:val="247F2477"/>
    <w:rsid w:val="26D31B3C"/>
    <w:rsid w:val="26D60404"/>
    <w:rsid w:val="2BD66371"/>
    <w:rsid w:val="2C633EC6"/>
    <w:rsid w:val="2E7374B6"/>
    <w:rsid w:val="31117B2F"/>
    <w:rsid w:val="3170631D"/>
    <w:rsid w:val="33242858"/>
    <w:rsid w:val="37034DC0"/>
    <w:rsid w:val="3EA3153E"/>
    <w:rsid w:val="3F48643C"/>
    <w:rsid w:val="43216699"/>
    <w:rsid w:val="46D2268F"/>
    <w:rsid w:val="4D3C563B"/>
    <w:rsid w:val="4F6D4AF0"/>
    <w:rsid w:val="54BB49E6"/>
    <w:rsid w:val="54C30EEA"/>
    <w:rsid w:val="5543046B"/>
    <w:rsid w:val="55AC0C03"/>
    <w:rsid w:val="55D516E0"/>
    <w:rsid w:val="571909D1"/>
    <w:rsid w:val="58EE6347"/>
    <w:rsid w:val="595E3E2E"/>
    <w:rsid w:val="5AE90F4A"/>
    <w:rsid w:val="5B65451D"/>
    <w:rsid w:val="634931C1"/>
    <w:rsid w:val="65F23C35"/>
    <w:rsid w:val="670A6D87"/>
    <w:rsid w:val="69242C36"/>
    <w:rsid w:val="6AD0048D"/>
    <w:rsid w:val="6AE327BE"/>
    <w:rsid w:val="702D2765"/>
    <w:rsid w:val="7209340F"/>
    <w:rsid w:val="74854B5B"/>
    <w:rsid w:val="76A30804"/>
    <w:rsid w:val="7C6130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0"/>
    </w:pPr>
    <w:rPr>
      <w:rFonts w:ascii="Times New Roman" w:hAnsi="Times New Roman" w:eastAsia="Times New Roman" w:cs="Times New Roman"/>
      <w:sz w:val="52"/>
      <w:szCs w:val="52"/>
    </w:rPr>
  </w:style>
  <w:style w:type="paragraph" w:styleId="4">
    <w:name w:val="heading 2"/>
    <w:basedOn w:val="1"/>
    <w:next w:val="1"/>
    <w:qFormat/>
    <w:uiPriority w:val="1"/>
    <w:pPr>
      <w:ind w:left="923"/>
      <w:outlineLvl w:val="1"/>
    </w:pPr>
    <w:rPr>
      <w:rFonts w:ascii="楷体" w:hAnsi="楷体" w:eastAsia="楷体" w:cs="楷体"/>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5">
    <w:name w:val="Body Text"/>
    <w:basedOn w:val="1"/>
    <w:qFormat/>
    <w:uiPriority w:val="1"/>
    <w:rPr>
      <w:rFonts w:ascii="仿宋_GB2312" w:hAnsi="仿宋_GB2312" w:eastAsia="仿宋_GB2312" w:cs="仿宋_GB2312"/>
      <w:sz w:val="32"/>
      <w:szCs w:val="32"/>
    </w:rPr>
  </w:style>
  <w:style w:type="paragraph" w:styleId="6">
    <w:name w:val="Body Text Indent"/>
    <w:basedOn w:val="1"/>
    <w:qFormat/>
    <w:uiPriority w:val="99"/>
    <w:pPr>
      <w:spacing w:after="120"/>
      <w:ind w:left="420" w:leftChars="200"/>
    </w:pPr>
  </w:style>
  <w:style w:type="paragraph" w:styleId="7">
    <w:name w:val="toc 3"/>
    <w:basedOn w:val="1"/>
    <w:next w:val="1"/>
    <w:qFormat/>
    <w:uiPriority w:val="0"/>
    <w:pPr>
      <w:ind w:left="840" w:leftChars="400"/>
    </w:pPr>
  </w:style>
  <w:style w:type="paragraph" w:styleId="8">
    <w:name w:val="Balloon Text"/>
    <w:basedOn w:val="1"/>
    <w:link w:val="23"/>
    <w:qFormat/>
    <w:uiPriority w:val="0"/>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First Indent 2"/>
    <w:basedOn w:val="6"/>
    <w:next w:val="5"/>
    <w:qFormat/>
    <w:uiPriority w:val="99"/>
    <w:pPr>
      <w:ind w:firstLine="420" w:firstLineChars="200"/>
    </w:p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rPr>
  </w:style>
  <w:style w:type="paragraph" w:customStyle="1" w:styleId="17">
    <w:name w:val="Table Paragraph"/>
    <w:basedOn w:val="1"/>
    <w:qFormat/>
    <w:uiPriority w:val="1"/>
  </w:style>
  <w:style w:type="paragraph" w:customStyle="1" w:styleId="18">
    <w:name w:val="WPSOffice手动目录 1"/>
    <w:qFormat/>
    <w:uiPriority w:val="0"/>
    <w:rPr>
      <w:rFonts w:asciiTheme="minorHAnsi" w:hAnsiTheme="minorHAnsi" w:eastAsiaTheme="minorHAnsi" w:cstheme="minorBidi"/>
      <w:lang w:val="en-US" w:eastAsia="zh-CN" w:bidi="ar-SA"/>
    </w:rPr>
  </w:style>
  <w:style w:type="paragraph" w:customStyle="1" w:styleId="19">
    <w:name w:val="WPSOffice手动目录 2"/>
    <w:qFormat/>
    <w:uiPriority w:val="0"/>
    <w:pPr>
      <w:ind w:left="200" w:leftChars="200"/>
    </w:pPr>
    <w:rPr>
      <w:rFonts w:asciiTheme="minorHAnsi" w:hAnsiTheme="minorHAnsi" w:eastAsiaTheme="minorHAnsi" w:cstheme="minorBidi"/>
      <w:lang w:val="en-US" w:eastAsia="zh-CN" w:bidi="ar-SA"/>
    </w:rPr>
  </w:style>
  <w:style w:type="paragraph" w:customStyle="1" w:styleId="20">
    <w:name w:val="WPSOffice手动目录 3"/>
    <w:qFormat/>
    <w:uiPriority w:val="0"/>
    <w:pPr>
      <w:ind w:left="400" w:leftChars="400"/>
    </w:pPr>
    <w:rPr>
      <w:rFonts w:asciiTheme="minorHAnsi" w:hAnsiTheme="minorHAnsi" w:eastAsiaTheme="minorHAnsi" w:cstheme="minorBidi"/>
      <w:lang w:val="en-US" w:eastAsia="zh-CN" w:bidi="ar-SA"/>
    </w:rPr>
  </w:style>
  <w:style w:type="paragraph" w:customStyle="1" w:styleId="21">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2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3">
    <w:name w:val="批注框文本 Char"/>
    <w:basedOn w:val="14"/>
    <w:link w:val="8"/>
    <w:qFormat/>
    <w:uiPriority w:val="0"/>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A3226-F03F-42EB-B1BA-C11274DC34D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1744</Words>
  <Characters>9945</Characters>
  <Lines>82</Lines>
  <Paragraphs>23</Paragraphs>
  <TotalTime>72</TotalTime>
  <ScaleCrop>false</ScaleCrop>
  <LinksUpToDate>false</LinksUpToDate>
  <CharactersWithSpaces>11666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范明容</cp:lastModifiedBy>
  <cp:lastPrinted>2026-03-02T07:20:00Z</cp:lastPrinted>
  <dcterms:modified xsi:type="dcterms:W3CDTF">2026-03-02T07:57:39Z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2052-11.8.6.11825</vt:lpwstr>
  </property>
  <property fmtid="{D5CDD505-2E9C-101B-9397-08002B2CF9AE}" pid="6" name="ICV">
    <vt:lpwstr>B56C9608428646F8BC3B244B6BD149C1</vt:lpwstr>
  </property>
</Properties>
</file>