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5"/>
        <w:jc w:val="center"/>
        <w:rPr>
          <w:rFonts w:hint="eastAsia" w:ascii="宋体" w:hAnsi="宋体" w:eastAsia="宋体" w:cs="宋体"/>
          <w:b/>
          <w:bCs/>
          <w:sz w:val="52"/>
          <w:szCs w:val="52"/>
          <w:shd w:val="clear" w:color="auto" w:fill="auto"/>
          <w:lang w:val="en-US" w:eastAsia="zh-CN"/>
        </w:rPr>
      </w:pPr>
    </w:p>
    <w:p w14:paraId="2C96A1AD">
      <w:pPr>
        <w:pStyle w:val="5"/>
        <w:jc w:val="center"/>
        <w:rPr>
          <w:rFonts w:hint="eastAsia" w:ascii="宋体" w:hAnsi="宋体" w:eastAsia="宋体" w:cs="宋体"/>
          <w:b/>
          <w:bCs/>
          <w:sz w:val="52"/>
          <w:szCs w:val="52"/>
          <w:shd w:val="clear" w:color="auto" w:fill="auto"/>
          <w:lang w:val="en-US" w:eastAsia="zh-CN"/>
        </w:rPr>
      </w:pPr>
    </w:p>
    <w:p w14:paraId="7FEBC4CD">
      <w:pPr>
        <w:pStyle w:val="5"/>
        <w:jc w:val="center"/>
        <w:rPr>
          <w:rFonts w:hint="eastAsia" w:ascii="宋体" w:hAnsi="宋体" w:eastAsia="宋体" w:cs="宋体"/>
          <w:b/>
          <w:bCs/>
          <w:sz w:val="52"/>
          <w:szCs w:val="52"/>
          <w:shd w:val="clear" w:color="auto" w:fill="auto"/>
          <w:lang w:val="en-US" w:eastAsia="zh-CN"/>
        </w:rPr>
      </w:pPr>
    </w:p>
    <w:p w14:paraId="5C9EEFCD">
      <w:pPr>
        <w:pStyle w:val="5"/>
        <w:jc w:val="center"/>
        <w:rPr>
          <w:rFonts w:hint="eastAsia" w:ascii="宋体" w:hAnsi="宋体" w:eastAsia="宋体" w:cs="宋体"/>
          <w:b/>
          <w:bCs/>
          <w:sz w:val="52"/>
          <w:szCs w:val="52"/>
          <w:shd w:val="clear" w:color="auto" w:fill="auto"/>
          <w:lang w:val="en-US" w:eastAsia="zh-CN"/>
        </w:rPr>
      </w:pPr>
    </w:p>
    <w:p w14:paraId="13B94989">
      <w:pPr>
        <w:pStyle w:val="5"/>
        <w:jc w:val="center"/>
        <w:rPr>
          <w:rFonts w:hint="eastAsia" w:ascii="宋体" w:hAnsi="宋体" w:eastAsia="宋体" w:cs="宋体"/>
          <w:b/>
          <w:bCs/>
          <w:sz w:val="52"/>
          <w:szCs w:val="52"/>
          <w:shd w:val="clear" w:color="auto" w:fill="auto"/>
          <w:lang w:val="en-US" w:eastAsia="zh-CN"/>
        </w:rPr>
      </w:pPr>
    </w:p>
    <w:p w14:paraId="46734144">
      <w:pPr>
        <w:pStyle w:val="5"/>
        <w:jc w:val="center"/>
        <w:rPr>
          <w:rFonts w:hint="eastAsia" w:ascii="宋体" w:hAnsi="宋体" w:eastAsia="宋体" w:cs="宋体"/>
          <w:b/>
          <w:bCs/>
          <w:sz w:val="52"/>
          <w:szCs w:val="52"/>
          <w:shd w:val="clear" w:color="auto" w:fill="auto"/>
          <w:lang w:val="en-US" w:eastAsia="zh-CN"/>
        </w:rPr>
      </w:pPr>
    </w:p>
    <w:p w14:paraId="775D69C0">
      <w:pPr>
        <w:pStyle w:val="5"/>
        <w:jc w:val="center"/>
        <w:rPr>
          <w:rFonts w:hint="eastAsia" w:ascii="宋体" w:hAnsi="宋体" w:eastAsia="宋体" w:cs="宋体"/>
          <w:b/>
          <w:bCs/>
          <w:sz w:val="52"/>
          <w:szCs w:val="52"/>
          <w:shd w:val="clear" w:color="auto" w:fill="auto"/>
          <w:lang w:val="en-US" w:eastAsia="zh-CN"/>
        </w:rPr>
      </w:pPr>
    </w:p>
    <w:p w14:paraId="2FD3D13A">
      <w:pPr>
        <w:pStyle w:val="5"/>
        <w:jc w:val="center"/>
        <w:rPr>
          <w:rFonts w:hint="eastAsia" w:ascii="宋体" w:hAnsi="宋体" w:eastAsia="宋体" w:cs="宋体"/>
          <w:b/>
          <w:bCs/>
          <w:sz w:val="52"/>
          <w:szCs w:val="52"/>
          <w:shd w:val="clear" w:color="auto" w:fill="auto"/>
          <w:lang w:val="en-US" w:eastAsia="zh-CN"/>
        </w:rPr>
      </w:pPr>
    </w:p>
    <w:p w14:paraId="787D3488">
      <w:pPr>
        <w:pStyle w:val="5"/>
        <w:keepNext w:val="0"/>
        <w:keepLines w:val="0"/>
        <w:pageBreakBefore w:val="0"/>
        <w:widowControl w:val="0"/>
        <w:tabs>
          <w:tab w:val="center" w:pos="4966"/>
          <w:tab w:val="left" w:pos="8751"/>
        </w:tabs>
        <w:kinsoku/>
        <w:wordWrap/>
        <w:overflowPunct/>
        <w:topLinePunct w:val="0"/>
        <w:autoSpaceDE w:val="0"/>
        <w:autoSpaceDN w:val="0"/>
        <w:bidi w:val="0"/>
        <w:adjustRightInd/>
        <w:snapToGrid/>
        <w:spacing w:line="800" w:lineRule="exact"/>
        <w:jc w:val="left"/>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ab/>
      </w:r>
      <w:r>
        <w:rPr>
          <w:rFonts w:hint="eastAsia" w:ascii="宋体" w:hAnsi="宋体" w:eastAsia="方正小标宋简体" w:cs="方正小标宋简体"/>
          <w:b w:val="0"/>
          <w:bCs w:val="0"/>
          <w:sz w:val="52"/>
          <w:szCs w:val="52"/>
          <w:shd w:val="clear" w:color="auto" w:fill="auto"/>
          <w:lang w:val="en-US" w:eastAsia="zh-CN"/>
        </w:rPr>
        <w:t>五通桥区信息中心</w:t>
      </w:r>
      <w:r>
        <w:rPr>
          <w:rFonts w:hint="eastAsia" w:ascii="宋体" w:hAnsi="宋体" w:eastAsia="方正小标宋简体" w:cs="方正小标宋简体"/>
          <w:b w:val="0"/>
          <w:bCs w:val="0"/>
          <w:sz w:val="52"/>
          <w:szCs w:val="52"/>
          <w:shd w:val="clear" w:color="auto" w:fill="auto"/>
          <w:lang w:val="en-US" w:eastAsia="zh-CN"/>
        </w:rPr>
        <w:tab/>
      </w:r>
    </w:p>
    <w:p w14:paraId="28966365">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2026年单位预算编制说明</w:t>
      </w:r>
    </w:p>
    <w:p w14:paraId="5D690CBB">
      <w:pPr>
        <w:rPr>
          <w:rFonts w:ascii="宋体" w:hAnsi="宋体"/>
          <w:sz w:val="4"/>
        </w:rPr>
        <w:sectPr>
          <w:headerReference r:id="rId5" w:type="default"/>
          <w:pgSz w:w="11910" w:h="16840"/>
          <w:pgMar w:top="1587" w:right="964" w:bottom="1701" w:left="1134" w:header="737" w:footer="737" w:gutter="0"/>
          <w:pgNumType w:fmt="decimal" w:start="1"/>
          <w:cols w:space="0" w:num="1"/>
          <w:rtlGutter w:val="0"/>
          <w:docGrid w:linePitch="0" w:charSpace="0"/>
        </w:sectPr>
      </w:pPr>
    </w:p>
    <w:p w14:paraId="65F305B8">
      <w:pPr>
        <w:rPr>
          <w:rFonts w:ascii="宋体" w:hAnsi="宋体"/>
          <w:sz w:val="4"/>
        </w:rPr>
      </w:pPr>
    </w:p>
    <w:p w14:paraId="10EB5EA3">
      <w:pPr>
        <w:pStyle w:val="5"/>
        <w:spacing w:before="2"/>
        <w:rPr>
          <w:rFonts w:ascii="宋体" w:hAnsi="宋体"/>
          <w:sz w:val="4"/>
        </w:rPr>
      </w:pPr>
    </w:p>
    <w:p w14:paraId="1D148278">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10"/>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第一部分 </w:t>
          </w:r>
          <w:r>
            <w:rPr>
              <w:rFonts w:hint="eastAsia" w:eastAsia="方正小标宋简体" w:cs="方正小标宋简体"/>
              <w:bCs/>
              <w:sz w:val="30"/>
              <w:szCs w:val="30"/>
              <w:lang w:val="en-US" w:eastAsia="zh-CN"/>
            </w:rPr>
            <w:t>单位</w:t>
          </w:r>
          <w:r>
            <w:rPr>
              <w:rFonts w:hint="eastAsia" w:ascii="宋体" w:hAnsi="宋体" w:eastAsia="方正小标宋简体" w:cs="方正小标宋简体"/>
              <w:bCs/>
              <w:sz w:val="30"/>
              <w:szCs w:val="30"/>
              <w:lang w:val="en-US" w:eastAsia="zh-CN"/>
            </w:rPr>
            <w:t>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591F4EB8">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sz w:val="30"/>
              <w:szCs w:val="30"/>
              <w:lang w:eastAsia="zh-CN"/>
            </w:rPr>
            <w:t>单位</w:t>
          </w:r>
          <w:r>
            <w:rPr>
              <w:rFonts w:ascii="宋体" w:hAnsi="宋体"/>
              <w:sz w:val="30"/>
              <w:szCs w:val="30"/>
            </w:rPr>
            <w:t>职能简介</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636C6F30">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五通桥区信息中心</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bCs/>
              <w:sz w:val="30"/>
              <w:szCs w:val="30"/>
              <w:lang w:val="en-US" w:eastAsia="zh-CN"/>
            </w:rPr>
            <w:t>五通桥区信息中心单位</w:t>
          </w:r>
          <w:r>
            <w:rPr>
              <w:rFonts w:hint="eastAsia" w:eastAsia="方正小标宋简体" w:cs="方正小标宋简体"/>
              <w:sz w:val="30"/>
              <w:szCs w:val="30"/>
              <w:lang w:val="en-US" w:eastAsia="zh-CN"/>
            </w:rPr>
            <w:t>预算说明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130FC48">
          <w:pPr>
            <w:pStyle w:val="11"/>
            <w:tabs>
              <w:tab w:val="right" w:leader="dot" w:pos="9812"/>
            </w:tabs>
            <w:rPr>
              <w:rFonts w:hint="eastAsia" w:ascii="宋体" w:hAnsi="宋体" w:eastAsia="方正小标宋简体" w:cs="方正小标宋简体"/>
              <w:bCs/>
              <w:sz w:val="30"/>
              <w:szCs w:val="30"/>
              <w:lang w:val="en-US" w:eastAsia="zh-CN"/>
            </w:rPr>
            <w:sectPr>
              <w:footerReference r:id="rId6" w:type="default"/>
              <w:pgSz w:w="11910" w:h="16840"/>
              <w:pgMar w:top="1587" w:right="964" w:bottom="1701" w:left="1134" w:header="737" w:footer="737" w:gutter="0"/>
              <w:pgNumType w:fmt="decimal" w:start="1"/>
              <w:cols w:space="0" w:num="1"/>
              <w:rtlGutter w:val="0"/>
              <w:docGrid w:linePitch="0" w:charSpace="0"/>
            </w:sectPr>
          </w:pPr>
        </w:p>
        <w:p w14:paraId="1CEAAA4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7C8C088F">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1FA6541">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10"/>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B48E108">
          <w:pPr>
            <w:pStyle w:val="5"/>
            <w:tabs>
              <w:tab w:val="left" w:pos="4798"/>
            </w:tabs>
            <w:jc w:val="both"/>
            <w:rPr>
              <w:rFonts w:ascii="宋体" w:hAnsi="宋体"/>
              <w:sz w:val="20"/>
            </w:rPr>
            <w:sectPr>
              <w:footerReference r:id="rId7"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eastAsia="方正小标宋简体" w:cs="方正小标宋简体"/>
              <w:bCs/>
              <w:szCs w:val="48"/>
              <w:lang w:val="en-US" w:eastAsia="zh-CN"/>
            </w:rPr>
            <w:fldChar w:fldCharType="end"/>
          </w:r>
        </w:p>
      </w:sdtContent>
    </w:sdt>
    <w:p w14:paraId="49AD0498">
      <w:pPr>
        <w:pStyle w:val="5"/>
        <w:spacing w:before="3"/>
        <w:rPr>
          <w:rFonts w:ascii="宋体" w:hAnsi="宋体"/>
          <w:sz w:val="28"/>
        </w:rPr>
      </w:pPr>
    </w:p>
    <w:p w14:paraId="2575E8FD">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单位概况</w:t>
      </w:r>
      <w:bookmarkEnd w:id="0"/>
    </w:p>
    <w:p w14:paraId="15C7C4ED">
      <w:pPr>
        <w:pStyle w:val="5"/>
        <w:numPr>
          <w:ilvl w:val="0"/>
          <w:numId w:val="0"/>
        </w:numPr>
        <w:ind w:right="0" w:rightChars="0" w:firstLine="640" w:firstLineChars="200"/>
        <w:jc w:val="both"/>
        <w:outlineLvl w:val="0"/>
        <w:rPr>
          <w:rFonts w:ascii="宋体" w:hAnsi="宋体" w:eastAsia="黑体"/>
          <w:color w:val="333333"/>
        </w:rPr>
      </w:pPr>
      <w:r>
        <w:rPr>
          <w:rFonts w:hint="eastAsia" w:ascii="宋体" w:hAnsi="宋体" w:eastAsia="黑体"/>
          <w:color w:val="333333"/>
        </w:rPr>
        <w:t>一、基本职能及主要工作</w:t>
      </w:r>
    </w:p>
    <w:p w14:paraId="00382994">
      <w:pPr>
        <w:pStyle w:val="4"/>
        <w:spacing w:before="100" w:afterLines="50"/>
        <w:ind w:left="0" w:firstLine="636" w:firstLineChars="198"/>
        <w:rPr>
          <w:rFonts w:ascii="宋体" w:hAnsi="宋体"/>
        </w:rPr>
      </w:pPr>
      <w:bookmarkStart w:id="1" w:name="_Toc5540"/>
      <w:r>
        <w:rPr>
          <w:rFonts w:ascii="宋体" w:hAnsi="宋体"/>
        </w:rPr>
        <w:t>（一）部门职能简介</w:t>
      </w:r>
      <w:bookmarkEnd w:id="1"/>
    </w:p>
    <w:p w14:paraId="399A4818">
      <w:pPr>
        <w:numPr>
          <w:ilvl w:val="0"/>
          <w:numId w:val="0"/>
        </w:numPr>
        <w:spacing w:line="600" w:lineRule="exact"/>
        <w:jc w:val="left"/>
        <w:rPr>
          <w:rFonts w:ascii="仿宋_GB2312" w:hAnsi="仿宋_GB2312" w:eastAsia="仿宋_GB2312" w:cs="仿宋_GB2312"/>
          <w:sz w:val="32"/>
          <w:szCs w:val="32"/>
        </w:rPr>
      </w:pPr>
      <w:bookmarkStart w:id="2" w:name="_Toc6714"/>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五通桥区信息中心是乐山市五通桥区人民政府办公室举办的全额财政拨款事业单位，负责全区信息化建设、网络安全管理工作。具体工作职责有：</w:t>
      </w:r>
    </w:p>
    <w:p w14:paraId="1F497557">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1、负责全区电子政务内外网网络拓扑结构的总体规划、管理、维护及安全运行，指导区级部门、镇开展信息化建设工作。</w:t>
      </w:r>
    </w:p>
    <w:p w14:paraId="040992FD">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2、审核区级</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、镇开展的信息化建设项目；落实区委、区政府信息化发展战略和推进信息化建设工作任务。</w:t>
      </w:r>
    </w:p>
    <w:p w14:paraId="29C7236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3、承担五通桥区信息化领导小组日常工作，负责协调全区信息化建设工作。</w:t>
      </w:r>
    </w:p>
    <w:p w14:paraId="43097258">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4、负责全区各部门主要电子政务应用系统的规划、开发、维护、技术指导、安全保密、反黑、升级更新和统一管理工作。</w:t>
      </w:r>
    </w:p>
    <w:p w14:paraId="31117B9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5、负责组织全区党政部门开展信息运用业务知识的培训考核工作。</w:t>
      </w:r>
    </w:p>
    <w:p w14:paraId="66742190">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6、负责市级信息化工作管理部门所部署的相关目标任务工作，负责制定全区的信息化发展规划。</w:t>
      </w:r>
    </w:p>
    <w:p w14:paraId="488EE274">
      <w:pPr>
        <w:pStyle w:val="4"/>
        <w:spacing w:before="100" w:afterLines="50"/>
        <w:ind w:left="0" w:firstLine="636" w:firstLineChars="198"/>
        <w:rPr>
          <w:rFonts w:hint="eastAsia" w:ascii="宋体" w:hAnsi="宋体"/>
        </w:rPr>
      </w:pPr>
      <w:r>
        <w:rPr>
          <w:rFonts w:ascii="宋体" w:hAnsi="宋体"/>
        </w:rPr>
        <w:t>（二）</w:t>
      </w:r>
      <w:r>
        <w:rPr>
          <w:rFonts w:hint="eastAsia" w:ascii="宋体" w:hAnsi="宋体"/>
          <w:lang w:val="en-US" w:eastAsia="zh-CN"/>
        </w:rPr>
        <w:t>2026</w:t>
      </w:r>
      <w:r>
        <w:rPr>
          <w:rFonts w:ascii="宋体" w:hAnsi="宋体"/>
        </w:rPr>
        <w:t>年重点工</w:t>
      </w:r>
      <w:r>
        <w:rPr>
          <w:rFonts w:hint="eastAsia" w:ascii="宋体" w:hAnsi="宋体"/>
        </w:rPr>
        <w:t>作</w:t>
      </w:r>
      <w:bookmarkEnd w:id="2"/>
    </w:p>
    <w:p w14:paraId="31415DAD">
      <w:pPr>
        <w:spacing w:line="600" w:lineRule="exact"/>
        <w:ind w:firstLine="64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将继续为推进全区电子政务建设提供服务，推进政府信息公开，制定全区信息产业发展措施，管理和维护全区电子政务网络的安全及正常运行，信息资源发布管理和监督检查，信息化培训和考核。着重抓好信息主动公开工作、依申请公开工作、政府门户网站信息管理工作、政府信息公开平台建设工作，保持电子政务外网网络稳定运行、持续筑牢政府门户网站安全防线。</w:t>
      </w:r>
    </w:p>
    <w:p w14:paraId="195BDA5D">
      <w:pPr>
        <w:pStyle w:val="5"/>
        <w:numPr>
          <w:ilvl w:val="0"/>
          <w:numId w:val="0"/>
        </w:numPr>
        <w:ind w:right="0" w:rightChars="0" w:firstLine="640" w:firstLineChars="200"/>
        <w:jc w:val="both"/>
        <w:outlineLvl w:val="0"/>
        <w:rPr>
          <w:rFonts w:hint="eastAsia" w:ascii="宋体" w:hAnsi="宋体" w:eastAsia="黑体"/>
          <w:color w:val="333333"/>
          <w:lang w:val="en-US" w:eastAsia="zh-CN"/>
        </w:rPr>
      </w:pPr>
      <w:bookmarkStart w:id="3" w:name="_Toc20578"/>
      <w:r>
        <w:rPr>
          <w:rFonts w:hint="eastAsia" w:ascii="宋体" w:hAnsi="宋体" w:eastAsia="黑体"/>
          <w:color w:val="333333"/>
          <w:lang w:val="en-US" w:eastAsia="zh-CN"/>
        </w:rPr>
        <w:t>二、预算单位构成</w:t>
      </w:r>
      <w:bookmarkEnd w:id="3"/>
    </w:p>
    <w:p w14:paraId="4426F83D">
      <w:pPr>
        <w:pStyle w:val="4"/>
        <w:keepNext/>
        <w:keepLines/>
        <w:autoSpaceDE/>
        <w:autoSpaceDN/>
        <w:spacing w:before="260" w:after="260" w:line="416" w:lineRule="auto"/>
        <w:ind w:left="0" w:right="0" w:firstLine="640" w:firstLineChars="200"/>
        <w:jc w:val="both"/>
        <w:outlineLvl w:val="1"/>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纳入202</w:t>
      </w:r>
      <w:r>
        <w:rPr>
          <w:rFonts w:hint="eastAsia" w:ascii="仿宋_GB2312" w:hAnsi="仿宋_GB2312" w:eastAsia="仿宋_GB2312" w:cs="仿宋_GB2312"/>
          <w:b w:val="0"/>
          <w:bCs w:val="0"/>
          <w:kern w:val="2"/>
          <w:sz w:val="32"/>
          <w:szCs w:val="32"/>
          <w:lang w:val="en-US" w:eastAsia="zh-CN" w:bidi="ar-SA"/>
        </w:rPr>
        <w:t>6年</w:t>
      </w:r>
      <w:r>
        <w:rPr>
          <w:rFonts w:hint="default" w:ascii="仿宋_GB2312" w:hAnsi="仿宋_GB2312" w:eastAsia="仿宋_GB2312" w:cs="仿宋_GB2312"/>
          <w:b w:val="0"/>
          <w:bCs w:val="0"/>
          <w:kern w:val="2"/>
          <w:sz w:val="32"/>
          <w:szCs w:val="32"/>
          <w:lang w:val="en-US" w:eastAsia="zh-CN" w:bidi="ar-SA"/>
        </w:rPr>
        <w:t>单位</w:t>
      </w:r>
      <w:r>
        <w:rPr>
          <w:rFonts w:hint="eastAsia" w:ascii="仿宋_GB2312" w:hAnsi="仿宋_GB2312" w:eastAsia="仿宋_GB2312" w:cs="仿宋_GB2312"/>
          <w:b w:val="0"/>
          <w:bCs w:val="0"/>
          <w:kern w:val="2"/>
          <w:sz w:val="32"/>
          <w:szCs w:val="32"/>
          <w:lang w:val="en-US" w:eastAsia="zh-CN" w:bidi="ar-SA"/>
        </w:rPr>
        <w:t>预算</w:t>
      </w:r>
      <w:r>
        <w:rPr>
          <w:rFonts w:hint="default" w:ascii="仿宋_GB2312" w:hAnsi="仿宋_GB2312" w:eastAsia="仿宋_GB2312" w:cs="仿宋_GB2312"/>
          <w:b w:val="0"/>
          <w:bCs w:val="0"/>
          <w:kern w:val="2"/>
          <w:sz w:val="32"/>
          <w:szCs w:val="32"/>
          <w:lang w:val="en-US" w:eastAsia="zh-CN" w:bidi="ar-SA"/>
        </w:rPr>
        <w:t>算编制范围的独立编制机构包括：</w:t>
      </w:r>
    </w:p>
    <w:p w14:paraId="6158AF7B">
      <w:pPr>
        <w:pStyle w:val="4"/>
        <w:keepNext/>
        <w:keepLines/>
        <w:autoSpaceDE/>
        <w:autoSpaceDN/>
        <w:spacing w:before="260" w:after="260" w:line="416" w:lineRule="auto"/>
        <w:ind w:left="0" w:right="0" w:firstLine="640" w:firstLineChars="200"/>
        <w:jc w:val="both"/>
        <w:outlineLvl w:val="1"/>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五通桥区信息中心</w:t>
      </w:r>
    </w:p>
    <w:p w14:paraId="479644A6">
      <w:pPr>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br w:type="page"/>
      </w:r>
    </w:p>
    <w:p w14:paraId="23B3F888">
      <w:pPr>
        <w:rPr>
          <w:rFonts w:hint="default"/>
          <w:lang w:val="en-US" w:eastAsia="zh-CN"/>
        </w:rPr>
      </w:pPr>
    </w:p>
    <w:p w14:paraId="0F07A424">
      <w:pPr>
        <w:pStyle w:val="5"/>
        <w:rPr>
          <w:rFonts w:ascii="宋体" w:hAnsi="宋体"/>
          <w:sz w:val="20"/>
        </w:rPr>
      </w:pPr>
    </w:p>
    <w:p w14:paraId="5798279E">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4" w:name="_Toc26270"/>
      <w:r>
        <w:rPr>
          <w:rFonts w:hint="eastAsia" w:ascii="宋体" w:hAnsi="宋体" w:eastAsia="方正小标宋简体" w:cs="方正小标宋简体"/>
          <w:b/>
          <w:bCs/>
          <w:sz w:val="52"/>
          <w:szCs w:val="52"/>
          <w:lang w:val="en-US" w:eastAsia="zh-CN"/>
        </w:rPr>
        <w:t>五通桥区信息中心</w:t>
      </w:r>
    </w:p>
    <w:p w14:paraId="12B36EB8">
      <w:pPr>
        <w:pStyle w:val="5"/>
        <w:numPr>
          <w:ilvl w:val="0"/>
          <w:numId w:val="0"/>
        </w:numPr>
        <w:ind w:right="0" w:rightChars="0"/>
        <w:jc w:val="center"/>
        <w:outlineLvl w:val="0"/>
        <w:rPr>
          <w:rFonts w:hint="default" w:ascii="宋体" w:hAnsi="宋体" w:eastAsia="方正小标宋简体" w:cs="方正小标宋简体"/>
          <w:b/>
          <w:bCs/>
          <w:sz w:val="52"/>
          <w:szCs w:val="52"/>
          <w:lang w:val="en-US" w:eastAsia="zh-CN"/>
        </w:rPr>
      </w:pPr>
      <w:r>
        <w:rPr>
          <w:rFonts w:hint="eastAsia" w:ascii="宋体" w:hAnsi="宋体" w:eastAsia="方正小标宋简体" w:cs="方正小标宋简体"/>
          <w:b/>
          <w:bCs/>
          <w:sz w:val="52"/>
          <w:szCs w:val="52"/>
          <w:lang w:val="en-US" w:eastAsia="zh-CN"/>
        </w:rPr>
        <w:t>2026年部门预算表</w:t>
      </w:r>
      <w:bookmarkEnd w:id="4"/>
    </w:p>
    <w:p w14:paraId="69886CE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5" w:name="_Toc19525"/>
      <w:r>
        <w:rPr>
          <w:rFonts w:hint="eastAsia" w:ascii="宋体" w:hAnsi="宋体"/>
          <w:sz w:val="30"/>
          <w:szCs w:val="30"/>
          <w:lang w:val="en-US" w:eastAsia="zh-CN"/>
        </w:rPr>
        <w:t>一、收支预算总表（收支总表1）</w:t>
      </w:r>
      <w:bookmarkEnd w:id="5"/>
    </w:p>
    <w:p w14:paraId="4A8537B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6" w:name="_Toc27375"/>
      <w:r>
        <w:rPr>
          <w:rFonts w:hint="eastAsia" w:ascii="宋体" w:hAnsi="宋体"/>
          <w:sz w:val="30"/>
          <w:szCs w:val="30"/>
          <w:lang w:val="en-US" w:eastAsia="zh-CN"/>
        </w:rPr>
        <w:t>二、收入预算总表（收入总表2）</w:t>
      </w:r>
      <w:bookmarkEnd w:id="6"/>
    </w:p>
    <w:p w14:paraId="00A79EC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7" w:name="_Toc1535"/>
      <w:r>
        <w:rPr>
          <w:rFonts w:hint="eastAsia" w:ascii="宋体" w:hAnsi="宋体"/>
          <w:sz w:val="30"/>
          <w:szCs w:val="30"/>
          <w:lang w:val="en-US" w:eastAsia="zh-CN"/>
        </w:rPr>
        <w:t>三、征收预期表（征收预期3）</w:t>
      </w:r>
      <w:bookmarkEnd w:id="7"/>
    </w:p>
    <w:p w14:paraId="43C889A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8" w:name="_Toc24022"/>
      <w:r>
        <w:rPr>
          <w:rFonts w:hint="eastAsia" w:ascii="宋体" w:hAnsi="宋体"/>
          <w:sz w:val="30"/>
          <w:szCs w:val="30"/>
          <w:lang w:val="en-US" w:eastAsia="zh-CN"/>
        </w:rPr>
        <w:t>四、支出预算总表（支出总表4）</w:t>
      </w:r>
      <w:bookmarkEnd w:id="8"/>
    </w:p>
    <w:p w14:paraId="1F0C6A4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9" w:name="_Toc28846"/>
      <w:r>
        <w:rPr>
          <w:rFonts w:hint="eastAsia" w:ascii="宋体" w:hAnsi="宋体"/>
          <w:sz w:val="30"/>
          <w:szCs w:val="30"/>
          <w:lang w:val="en-US" w:eastAsia="zh-CN"/>
        </w:rPr>
        <w:t>五、财政拨款预算总表（财拨总表5）</w:t>
      </w:r>
      <w:bookmarkEnd w:id="9"/>
    </w:p>
    <w:p w14:paraId="3DAA2C9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0" w:name="_Toc26817"/>
      <w:r>
        <w:rPr>
          <w:rFonts w:hint="eastAsia" w:ascii="宋体" w:hAnsi="宋体"/>
          <w:sz w:val="30"/>
          <w:szCs w:val="30"/>
          <w:lang w:val="en-US" w:eastAsia="zh-CN"/>
        </w:rPr>
        <w:t>六、一般公共预算支出表（一般预算支出6）</w:t>
      </w:r>
      <w:bookmarkEnd w:id="10"/>
    </w:p>
    <w:p w14:paraId="304EEC4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1" w:name="_Toc12197"/>
      <w:r>
        <w:rPr>
          <w:rFonts w:hint="eastAsia" w:ascii="宋体" w:hAnsi="宋体"/>
          <w:sz w:val="30"/>
          <w:szCs w:val="30"/>
          <w:lang w:val="en-US" w:eastAsia="zh-CN"/>
        </w:rPr>
        <w:t>七、一般公共预算基本支出表（基本支出7）</w:t>
      </w:r>
      <w:bookmarkEnd w:id="11"/>
      <w:r>
        <w:rPr>
          <w:rFonts w:hint="eastAsia" w:ascii="宋体" w:hAnsi="宋体"/>
          <w:sz w:val="30"/>
          <w:szCs w:val="30"/>
          <w:lang w:val="en-US" w:eastAsia="zh-CN"/>
        </w:rPr>
        <w:t xml:space="preserve"> </w:t>
      </w:r>
    </w:p>
    <w:p w14:paraId="6DEAA52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2" w:name="_Toc19152"/>
      <w:r>
        <w:rPr>
          <w:rFonts w:hint="eastAsia" w:ascii="宋体" w:hAnsi="宋体"/>
          <w:sz w:val="30"/>
          <w:szCs w:val="30"/>
          <w:lang w:val="en-US" w:eastAsia="zh-CN"/>
        </w:rPr>
        <w:t>八、一般公共预算“三公”经费支出预算表（三公8）</w:t>
      </w:r>
      <w:bookmarkEnd w:id="12"/>
    </w:p>
    <w:p w14:paraId="275BB5A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3" w:name="_Toc29240"/>
      <w:r>
        <w:rPr>
          <w:rFonts w:hint="eastAsia" w:ascii="宋体" w:hAnsi="宋体"/>
          <w:sz w:val="30"/>
          <w:szCs w:val="30"/>
          <w:lang w:val="en-US" w:eastAsia="zh-CN"/>
        </w:rPr>
        <w:t>九、政府性基金预算支出表（基金9）</w:t>
      </w:r>
      <w:bookmarkEnd w:id="13"/>
      <w:r>
        <w:rPr>
          <w:rFonts w:hint="eastAsia" w:ascii="宋体" w:hAnsi="宋体"/>
          <w:sz w:val="30"/>
          <w:szCs w:val="30"/>
          <w:lang w:val="en-US" w:eastAsia="zh-CN"/>
        </w:rPr>
        <w:t xml:space="preserve"> </w:t>
      </w:r>
    </w:p>
    <w:p w14:paraId="1FD3187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4" w:name="_Toc30708"/>
      <w:r>
        <w:rPr>
          <w:rFonts w:hint="eastAsia" w:ascii="宋体" w:hAnsi="宋体"/>
          <w:sz w:val="30"/>
          <w:szCs w:val="30"/>
          <w:lang w:val="en-US" w:eastAsia="zh-CN"/>
        </w:rPr>
        <w:t>十、国有资本经营预算支出表（国资10）</w:t>
      </w:r>
      <w:bookmarkEnd w:id="14"/>
    </w:p>
    <w:p w14:paraId="66E7FD3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5" w:name="_Toc32474"/>
      <w:r>
        <w:rPr>
          <w:rFonts w:hint="eastAsia" w:ascii="宋体" w:hAnsi="宋体"/>
          <w:sz w:val="30"/>
          <w:szCs w:val="30"/>
          <w:lang w:val="en-US" w:eastAsia="zh-CN"/>
        </w:rPr>
        <w:t>十一、支出功能分类预算表（支出功能11）</w:t>
      </w:r>
      <w:bookmarkEnd w:id="15"/>
    </w:p>
    <w:p w14:paraId="2A1B53F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6" w:name="_Toc15884"/>
      <w:r>
        <w:rPr>
          <w:rFonts w:hint="eastAsia" w:ascii="宋体" w:hAnsi="宋体"/>
          <w:sz w:val="30"/>
          <w:szCs w:val="30"/>
          <w:lang w:val="en-US" w:eastAsia="zh-CN"/>
        </w:rPr>
        <w:t>十二、支出经济分类预算表（支出经济分类12）</w:t>
      </w:r>
      <w:bookmarkEnd w:id="16"/>
    </w:p>
    <w:p w14:paraId="40F32A8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7" w:name="_Toc28730"/>
      <w:r>
        <w:rPr>
          <w:rFonts w:hint="eastAsia" w:ascii="宋体" w:hAnsi="宋体"/>
          <w:sz w:val="30"/>
          <w:szCs w:val="30"/>
          <w:lang w:val="en-US" w:eastAsia="zh-CN"/>
        </w:rPr>
        <w:t>十三、上级资金安排情况表（上级资金安排13）</w:t>
      </w:r>
      <w:bookmarkEnd w:id="17"/>
      <w:r>
        <w:rPr>
          <w:rFonts w:hint="eastAsia" w:ascii="宋体" w:hAnsi="宋体"/>
          <w:sz w:val="30"/>
          <w:szCs w:val="30"/>
          <w:lang w:val="en-US" w:eastAsia="zh-CN"/>
        </w:rPr>
        <w:t xml:space="preserve"> </w:t>
      </w:r>
    </w:p>
    <w:p w14:paraId="6C3A222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8" w:name="_Toc2069"/>
      <w:r>
        <w:rPr>
          <w:rFonts w:hint="eastAsia" w:ascii="宋体" w:hAnsi="宋体"/>
          <w:sz w:val="30"/>
          <w:szCs w:val="30"/>
          <w:lang w:val="en-US" w:eastAsia="zh-CN"/>
        </w:rPr>
        <w:t>十四、项目支出表（项目支出14）</w:t>
      </w:r>
      <w:bookmarkEnd w:id="18"/>
    </w:p>
    <w:p w14:paraId="49ABCFC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r>
        <w:rPr>
          <w:rFonts w:hint="eastAsia" w:ascii="宋体" w:hAnsi="宋体"/>
          <w:sz w:val="30"/>
          <w:szCs w:val="30"/>
          <w:lang w:val="en-US" w:eastAsia="zh-CN"/>
        </w:rPr>
        <w:t>十五、项目支出明细表（项目支出15）</w:t>
      </w:r>
    </w:p>
    <w:p w14:paraId="72314A0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9" w:name="_Toc31813"/>
      <w:r>
        <w:rPr>
          <w:rFonts w:hint="eastAsia" w:ascii="宋体" w:hAnsi="宋体"/>
          <w:sz w:val="30"/>
          <w:szCs w:val="30"/>
          <w:lang w:val="en-US" w:eastAsia="zh-CN"/>
        </w:rPr>
        <w:t>十六、政府购买服务预算表（购买服务16）</w:t>
      </w:r>
      <w:bookmarkEnd w:id="19"/>
    </w:p>
    <w:p w14:paraId="0260C3E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0" w:name="_Toc22434"/>
      <w:bookmarkStart w:id="21" w:name="_Toc16458"/>
      <w:r>
        <w:rPr>
          <w:rFonts w:hint="eastAsia" w:ascii="宋体" w:hAnsi="宋体"/>
          <w:sz w:val="30"/>
          <w:szCs w:val="30"/>
          <w:lang w:val="en-US" w:eastAsia="zh-CN"/>
        </w:rPr>
        <w:t>十七、采购需求表（采购需求表17）</w:t>
      </w:r>
      <w:bookmarkEnd w:id="20"/>
    </w:p>
    <w:p w14:paraId="3C38FA9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2" w:name="_Toc7220"/>
      <w:r>
        <w:rPr>
          <w:rFonts w:hint="eastAsia" w:ascii="宋体" w:hAnsi="宋体"/>
          <w:sz w:val="30"/>
          <w:szCs w:val="30"/>
          <w:lang w:val="en-US" w:eastAsia="zh-CN"/>
        </w:rPr>
        <w:t>十八、国有资产配置预算表（资产18）</w:t>
      </w:r>
      <w:bookmarkEnd w:id="22"/>
    </w:p>
    <w:p w14:paraId="3D79573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3" w:name="_Toc3888"/>
      <w:r>
        <w:rPr>
          <w:rFonts w:hint="eastAsia" w:ascii="宋体" w:hAnsi="宋体"/>
          <w:sz w:val="30"/>
          <w:szCs w:val="30"/>
          <w:lang w:val="en-US" w:eastAsia="zh-CN"/>
        </w:rPr>
        <w:t>十九、项目支出绩效表（项目绩效19）</w:t>
      </w:r>
      <w:bookmarkEnd w:id="23"/>
    </w:p>
    <w:p w14:paraId="1E45CFC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4" w:name="_Toc26130"/>
      <w:r>
        <w:rPr>
          <w:rFonts w:hint="eastAsia" w:ascii="宋体" w:hAnsi="宋体"/>
          <w:sz w:val="30"/>
          <w:szCs w:val="30"/>
          <w:lang w:val="en-US" w:eastAsia="zh-CN"/>
        </w:rPr>
        <w:t>二十、部门绩效表（部门绩效20）</w:t>
      </w:r>
      <w:bookmarkEnd w:id="24"/>
    </w:p>
    <w:p w14:paraId="578F68E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5" w:name="_Toc15389"/>
      <w:r>
        <w:rPr>
          <w:rFonts w:hint="eastAsia" w:ascii="宋体" w:hAnsi="宋体"/>
          <w:sz w:val="30"/>
          <w:szCs w:val="30"/>
          <w:lang w:val="en-US" w:eastAsia="zh-CN"/>
        </w:rPr>
        <w:t>二十一、年初政府采购项目预算表（政府采购项目预算表21）</w:t>
      </w:r>
      <w:bookmarkEnd w:id="25"/>
    </w:p>
    <w:p w14:paraId="0071551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6" w:name="_Toc11097"/>
      <w:r>
        <w:rPr>
          <w:rFonts w:hint="eastAsia" w:ascii="宋体" w:hAnsi="宋体"/>
          <w:sz w:val="30"/>
          <w:szCs w:val="30"/>
          <w:lang w:val="en-US" w:eastAsia="zh-CN"/>
        </w:rPr>
        <w:t>二十二、2026-2028年支出计划总表（三年计划总表22）</w:t>
      </w:r>
      <w:bookmarkEnd w:id="26"/>
    </w:p>
    <w:p w14:paraId="77FCD50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7" w:name="_Toc17731"/>
      <w:r>
        <w:rPr>
          <w:rFonts w:hint="eastAsia" w:ascii="宋体" w:hAnsi="宋体"/>
          <w:sz w:val="30"/>
          <w:szCs w:val="30"/>
          <w:lang w:val="en-US" w:eastAsia="zh-CN"/>
        </w:rPr>
        <w:t>二十三、2026-2028年支出计划明细表（三年计划明细表23）</w:t>
      </w:r>
      <w:bookmarkEnd w:id="27"/>
    </w:p>
    <w:p w14:paraId="59DEA35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8" w:name="_Toc19864"/>
      <w:r>
        <w:rPr>
          <w:rFonts w:hint="eastAsia" w:ascii="宋体" w:hAnsi="宋体"/>
          <w:sz w:val="30"/>
          <w:szCs w:val="30"/>
          <w:lang w:val="en-US" w:eastAsia="zh-CN"/>
        </w:rPr>
        <w:t>二十四、人员和车辆基本情况表（人员24）</w:t>
      </w:r>
      <w:bookmarkEnd w:id="28"/>
    </w:p>
    <w:p w14:paraId="0015824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right="660" w:rightChars="300" w:firstLine="602" w:firstLineChars="200"/>
        <w:jc w:val="left"/>
        <w:textAlignment w:val="auto"/>
        <w:outlineLvl w:val="1"/>
        <w:rPr>
          <w:rFonts w:hint="default" w:ascii="宋体" w:hAnsi="宋体"/>
          <w:b/>
          <w:bCs/>
          <w:sz w:val="30"/>
          <w:szCs w:val="30"/>
          <w:lang w:val="en-US" w:eastAsia="zh-CN"/>
        </w:rPr>
      </w:pPr>
      <w:bookmarkStart w:id="29" w:name="_Toc19339"/>
      <w:r>
        <w:rPr>
          <w:rFonts w:hint="eastAsia" w:ascii="宋体" w:hAnsi="宋体"/>
          <w:b/>
          <w:bCs/>
          <w:sz w:val="30"/>
          <w:szCs w:val="30"/>
          <w:lang w:val="en-US" w:eastAsia="zh-CN"/>
        </w:rPr>
        <w:t>以上所有表格详见部门说明后附件。</w:t>
      </w:r>
      <w:bookmarkEnd w:id="21"/>
      <w:bookmarkEnd w:id="29"/>
    </w:p>
    <w:p w14:paraId="487DDC95">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宋体" w:hAnsi="宋体"/>
          <w:sz w:val="20"/>
        </w:rPr>
      </w:pPr>
      <w:r>
        <w:rPr>
          <w:rFonts w:ascii="宋体" w:hAnsi="宋体"/>
          <w:sz w:val="30"/>
          <w:szCs w:val="30"/>
        </w:rPr>
        <w:br w:type="page"/>
      </w:r>
    </w:p>
    <w:p w14:paraId="7F834C31">
      <w:pPr>
        <w:pStyle w:val="5"/>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0" w:name="_Toc330"/>
    </w:p>
    <w:bookmarkEnd w:id="30"/>
    <w:p w14:paraId="7D25A01C">
      <w:pPr>
        <w:pStyle w:val="5"/>
        <w:numPr>
          <w:ilvl w:val="0"/>
          <w:numId w:val="0"/>
        </w:numPr>
        <w:spacing w:before="6"/>
        <w:ind w:leftChars="0" w:right="0" w:rightChars="0"/>
        <w:jc w:val="center"/>
        <w:outlineLvl w:val="1"/>
        <w:rPr>
          <w:rFonts w:hint="eastAsia" w:ascii="宋体" w:hAnsi="宋体" w:eastAsia="方正小标宋简体" w:cs="方正小标宋简体"/>
          <w:b/>
          <w:bCs/>
          <w:sz w:val="52"/>
          <w:szCs w:val="52"/>
          <w:lang w:val="en-US" w:eastAsia="zh-CN"/>
        </w:rPr>
      </w:pPr>
      <w:bookmarkStart w:id="31" w:name="_Toc13299"/>
      <w:bookmarkStart w:id="32" w:name="_Toc1047"/>
      <w:r>
        <w:rPr>
          <w:rFonts w:hint="eastAsia" w:ascii="宋体" w:hAnsi="宋体" w:eastAsia="方正小标宋简体" w:cs="方正小标宋简体"/>
          <w:b/>
          <w:bCs/>
          <w:sz w:val="52"/>
          <w:szCs w:val="52"/>
          <w:lang w:val="en-US" w:eastAsia="zh-CN"/>
        </w:rPr>
        <w:t>五通桥区信息中心</w:t>
      </w:r>
    </w:p>
    <w:p w14:paraId="750B2461">
      <w:pPr>
        <w:pStyle w:val="5"/>
        <w:numPr>
          <w:ilvl w:val="0"/>
          <w:numId w:val="0"/>
        </w:numPr>
        <w:spacing w:before="6"/>
        <w:ind w:leftChars="0" w:right="0" w:rightChars="0"/>
        <w:jc w:val="center"/>
        <w:outlineLvl w:val="1"/>
        <w:rPr>
          <w:rFonts w:hint="eastAsia" w:ascii="宋体" w:hAnsi="宋体" w:eastAsia="黑体"/>
          <w:b w:val="0"/>
          <w:bCs w:val="0"/>
          <w:color w:val="333333"/>
        </w:rPr>
      </w:pPr>
      <w:r>
        <w:rPr>
          <w:rFonts w:hint="eastAsia" w:ascii="宋体" w:hAnsi="宋体" w:eastAsia="方正小标宋简体" w:cs="方正小标宋简体"/>
          <w:b w:val="0"/>
          <w:bCs w:val="0"/>
          <w:sz w:val="52"/>
          <w:szCs w:val="52"/>
          <w:lang w:val="en-US" w:eastAsia="zh-CN"/>
        </w:rPr>
        <w:t>2026年单位预算情况说明</w:t>
      </w:r>
      <w:bookmarkEnd w:id="31"/>
      <w:bookmarkEnd w:id="32"/>
    </w:p>
    <w:p w14:paraId="0376D47D">
      <w:pPr>
        <w:pStyle w:val="5"/>
        <w:keepNext w:val="0"/>
        <w:keepLines w:val="0"/>
        <w:pageBreakBefore w:val="0"/>
        <w:widowControl w:val="0"/>
        <w:kinsoku/>
        <w:wordWrap/>
        <w:overflowPunct/>
        <w:topLinePunct w:val="0"/>
        <w:autoSpaceDE w:val="0"/>
        <w:autoSpaceDN w:val="0"/>
        <w:bidi w:val="0"/>
        <w:adjustRightInd/>
        <w:snapToGrid/>
        <w:spacing w:before="300" w:after="0" w:afterLines="50" w:line="600" w:lineRule="exact"/>
        <w:ind w:firstLine="640" w:firstLineChars="200"/>
        <w:textAlignment w:val="auto"/>
        <w:outlineLvl w:val="1"/>
        <w:rPr>
          <w:rFonts w:hint="eastAsia" w:ascii="宋体" w:hAnsi="宋体" w:eastAsia="黑体"/>
          <w:color w:val="333333"/>
        </w:rPr>
      </w:pPr>
      <w:bookmarkStart w:id="33" w:name="_Toc14393"/>
      <w:r>
        <w:rPr>
          <w:rFonts w:hint="eastAsia" w:ascii="宋体" w:hAnsi="宋体" w:eastAsia="黑体"/>
          <w:color w:val="333333"/>
          <w:lang w:val="en-US" w:eastAsia="zh-CN"/>
        </w:rPr>
        <w:t xml:space="preserve">  </w:t>
      </w:r>
      <w:r>
        <w:rPr>
          <w:rFonts w:hint="eastAsia" w:ascii="宋体" w:hAnsi="宋体" w:eastAsia="黑体"/>
          <w:color w:val="333333"/>
        </w:rPr>
        <w:t>一、收支预算情况说明</w:t>
      </w:r>
      <w:bookmarkEnd w:id="33"/>
    </w:p>
    <w:p w14:paraId="6C2BB000">
      <w:pPr>
        <w:pStyle w:val="20"/>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4" w:name="_Toc20181"/>
      <w:r>
        <w:rPr>
          <w:rFonts w:hint="eastAsia" w:ascii="仿宋" w:hAnsi="仿宋" w:eastAsia="仿宋"/>
          <w:lang w:val="en-US" w:eastAsia="zh-CN"/>
        </w:rPr>
        <w:t>按照综合预算的原则,五通桥区信息中心所有收入和支出均纳入部门预算管理。收入包括：一般公共预算拨款收入；支出包括：一般公共服务支出、 社会保障和就业支出、医疗卫生与计划生育支出、住房保障支出。五通桥区信息中心2026年收支预算总数120.57万元,比2025年收支预算总数116.15万元增加4.42万元。主要原因是人员经费增加2.02万元，项目经费增加2.4万元。</w:t>
      </w:r>
    </w:p>
    <w:p w14:paraId="02818A86">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hint="eastAsia" w:ascii="宋体" w:hAnsi="宋体"/>
        </w:rPr>
      </w:pPr>
      <w:r>
        <w:rPr>
          <w:rFonts w:hint="eastAsia" w:ascii="宋体" w:hAnsi="宋体"/>
        </w:rPr>
        <w:t>（一）收入预算情况</w:t>
      </w:r>
      <w:bookmarkEnd w:id="34"/>
    </w:p>
    <w:p w14:paraId="333694ED">
      <w:pPr>
        <w:pStyle w:val="20"/>
        <w:keepNext w:val="0"/>
        <w:keepLines w:val="0"/>
        <w:pageBreakBefore w:val="0"/>
        <w:widowControl w:val="0"/>
        <w:kinsoku/>
        <w:wordWrap/>
        <w:overflowPunct/>
        <w:autoSpaceDE w:val="0"/>
        <w:autoSpaceDN w:val="0"/>
        <w:bidi w:val="0"/>
        <w:adjustRightInd/>
        <w:snapToGrid/>
        <w:spacing w:before="0" w:after="0" w:line="600" w:lineRule="exact"/>
        <w:ind w:left="1" w:right="0"/>
        <w:jc w:val="left"/>
        <w:textAlignment w:val="auto"/>
        <w:rPr>
          <w:rFonts w:hint="default" w:ascii="仿宋" w:hAnsi="仿宋" w:eastAsia="仿宋"/>
          <w:lang w:val="en-US" w:eastAsia="zh-CN"/>
        </w:rPr>
      </w:pPr>
      <w:r>
        <w:rPr>
          <w:rFonts w:hint="eastAsia" w:ascii="仿宋" w:hAnsi="仿宋" w:eastAsia="仿宋"/>
          <w:lang w:val="en-US" w:eastAsia="zh-CN"/>
        </w:rPr>
        <w:t>五通桥区信息中心2026年收入预算120.57万元，其中：上年结转0万元，占0%；一般公共预算拨款收入120.57万元，占100%；政府基金预算拨款收入0万元，占0%；事业收入0万元，占0%；事业单位经营收入0万元，占0%；其他收入0万元，占0%。</w:t>
      </w:r>
    </w:p>
    <w:p w14:paraId="0BB964E2">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ascii="宋体" w:hAnsi="宋体"/>
        </w:rPr>
      </w:pPr>
      <w:bookmarkStart w:id="35" w:name="_Toc30757"/>
      <w:r>
        <w:rPr>
          <w:rFonts w:ascii="宋体" w:hAnsi="宋体"/>
        </w:rPr>
        <w:t>（二）支出预算情况</w:t>
      </w:r>
      <w:bookmarkEnd w:id="35"/>
    </w:p>
    <w:p w14:paraId="13CB5907">
      <w:pPr>
        <w:pStyle w:val="20"/>
        <w:spacing w:before="0" w:after="0"/>
        <w:ind w:left="1" w:right="0"/>
        <w:jc w:val="left"/>
        <w:rPr>
          <w:rFonts w:hint="default" w:ascii="仿宋" w:hAnsi="仿宋" w:eastAsia="仿宋"/>
          <w:lang w:val="en-US" w:eastAsia="zh-CN"/>
        </w:rPr>
      </w:pPr>
      <w:r>
        <w:rPr>
          <w:rFonts w:hint="eastAsia" w:ascii="宋体" w:hAnsi="宋体"/>
          <w:sz w:val="32"/>
          <w:lang w:val="en-US" w:eastAsia="zh-CN"/>
        </w:rPr>
        <w:t xml:space="preserve"> </w:t>
      </w:r>
      <w:r>
        <w:rPr>
          <w:rFonts w:hint="eastAsia"/>
          <w:lang w:eastAsia="zh-CN"/>
        </w:rPr>
        <w:t>五通桥区信息中心</w:t>
      </w:r>
      <w:r>
        <w:rPr>
          <w:rFonts w:hint="eastAsia" w:ascii="仿宋" w:hAnsi="仿宋" w:eastAsia="仿宋"/>
          <w:lang w:val="en-US" w:eastAsia="zh-CN"/>
        </w:rPr>
        <w:t>2026年支出预算120.57万元，其中：人员工资福利支出78.56万元，日常公用支出10.21万元，对个人和家庭的补助支出0万元，专项支出31.8万元。</w:t>
      </w:r>
    </w:p>
    <w:p w14:paraId="00ED131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28286"/>
      <w:r>
        <w:rPr>
          <w:rFonts w:hint="eastAsia" w:ascii="宋体" w:hAnsi="宋体" w:eastAsia="黑体"/>
          <w:color w:val="333333"/>
        </w:rPr>
        <w:t>二、财政拨款收支预算情况说明</w:t>
      </w:r>
      <w:bookmarkEnd w:id="36"/>
    </w:p>
    <w:p w14:paraId="4A2BEE30">
      <w:pPr>
        <w:pStyle w:val="20"/>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7" w:name="_Toc18314"/>
      <w:r>
        <w:rPr>
          <w:rFonts w:hint="eastAsia"/>
          <w:lang w:eastAsia="zh-CN"/>
        </w:rPr>
        <w:t>五通桥区信息中心</w:t>
      </w:r>
      <w:r>
        <w:rPr>
          <w:rFonts w:hint="eastAsia" w:ascii="仿宋" w:hAnsi="仿宋" w:eastAsia="仿宋"/>
          <w:lang w:val="en-US" w:eastAsia="zh-CN"/>
        </w:rPr>
        <w:t>2026年财政拨款收支预算总数120.57万元,比2025年财政拨款收支预算总数116.15万元增加4.42万元。主要原因是人员经费增加2.02万元，项目经费增加2.4万元。</w:t>
      </w:r>
    </w:p>
    <w:p w14:paraId="1824741E">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其中：基本支出88.77万元，占73.63%；项目支出31.8万元，占26.37%。</w:t>
      </w:r>
    </w:p>
    <w:p w14:paraId="1A31E1F7">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基本支出，是用于保障</w:t>
      </w:r>
      <w:r>
        <w:rPr>
          <w:rFonts w:hint="eastAsia"/>
          <w:lang w:eastAsia="zh-CN"/>
        </w:rPr>
        <w:t>五通桥区信息中心</w:t>
      </w:r>
      <w:r>
        <w:rPr>
          <w:rFonts w:hint="eastAsia" w:ascii="仿宋" w:hAnsi="仿宋" w:eastAsia="仿宋"/>
          <w:lang w:val="en-US" w:eastAsia="zh-CN"/>
        </w:rPr>
        <w:t>正常运转的日常支出，包括基本工资、津贴补贴等人员经费以及办公费、印刷费、水电费、办公设备购置等日常公用经费。</w:t>
      </w:r>
    </w:p>
    <w:p w14:paraId="6CD7CD2D">
      <w:pPr>
        <w:pStyle w:val="20"/>
        <w:spacing w:before="0" w:after="0"/>
        <w:ind w:left="1" w:right="0"/>
        <w:jc w:val="left"/>
        <w:rPr>
          <w:rFonts w:hint="eastAsia" w:ascii="宋体" w:hAnsi="宋体"/>
          <w:sz w:val="32"/>
          <w:lang w:val="en-US" w:eastAsia="zh-CN"/>
        </w:rPr>
      </w:pPr>
      <w:r>
        <w:rPr>
          <w:rFonts w:hint="eastAsia" w:ascii="仿宋" w:hAnsi="仿宋" w:eastAsia="仿宋"/>
          <w:lang w:val="en-US" w:eastAsia="zh-CN"/>
        </w:rPr>
        <w:t>项目支出，是用于</w:t>
      </w:r>
      <w:r>
        <w:rPr>
          <w:rFonts w:hint="eastAsia"/>
          <w:lang w:eastAsia="zh-CN"/>
        </w:rPr>
        <w:t>五通桥区信息中心</w:t>
      </w:r>
      <w:r>
        <w:rPr>
          <w:rFonts w:hint="eastAsia" w:ascii="仿宋" w:hAnsi="仿宋" w:eastAsia="仿宋"/>
          <w:lang w:val="en-US" w:eastAsia="zh-CN"/>
        </w:rPr>
        <w:t>为完成特定的行政工作任务</w:t>
      </w:r>
      <w:r>
        <w:rPr>
          <w:rFonts w:hint="eastAsia" w:ascii="宋体" w:hAnsi="宋体"/>
          <w:sz w:val="32"/>
          <w:lang w:val="en-US" w:eastAsia="zh-CN"/>
        </w:rPr>
        <w:t>或事业发展目标，用于专项业务工作的经费支出。</w:t>
      </w:r>
    </w:p>
    <w:p w14:paraId="3A00B49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三、一般公共预算当年拨款情况说明</w:t>
      </w:r>
      <w:bookmarkEnd w:id="37"/>
    </w:p>
    <w:p w14:paraId="1DBB31A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38" w:name="_Toc3917"/>
      <w:r>
        <w:rPr>
          <w:rFonts w:ascii="宋体" w:hAnsi="宋体"/>
        </w:rPr>
        <w:t>（一）一般公共预算当年拨款规模变化情况</w:t>
      </w:r>
      <w:bookmarkEnd w:id="38"/>
    </w:p>
    <w:p w14:paraId="53D1B0F1">
      <w:pPr>
        <w:pStyle w:val="20"/>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9" w:name="_Toc27070"/>
      <w:r>
        <w:rPr>
          <w:rFonts w:hint="eastAsia"/>
          <w:lang w:eastAsia="zh-CN"/>
        </w:rPr>
        <w:t>五通桥区信息中心</w:t>
      </w:r>
      <w:r>
        <w:rPr>
          <w:rFonts w:hint="eastAsia" w:ascii="仿宋" w:hAnsi="仿宋" w:eastAsia="仿宋"/>
          <w:lang w:val="en-US" w:eastAsia="zh-CN"/>
        </w:rPr>
        <w:t>2026年一般公共预算当年拨款120.57万元，比2025年财政拨款收支预算总数116.15万元增加4.42万元。主要原因是人员经费增加2.02万元，项目经费增加2.4万元。</w:t>
      </w:r>
    </w:p>
    <w:p w14:paraId="0A701D18">
      <w:pPr>
        <w:pStyle w:val="20"/>
        <w:spacing w:before="0" w:after="0"/>
        <w:ind w:left="1" w:right="0"/>
        <w:jc w:val="left"/>
        <w:rPr>
          <w:rFonts w:ascii="宋体" w:hAnsi="宋体"/>
          <w:b/>
          <w:bCs/>
        </w:rPr>
      </w:pPr>
      <w:r>
        <w:rPr>
          <w:rFonts w:ascii="宋体" w:hAnsi="宋体"/>
          <w:b/>
          <w:bCs/>
        </w:rPr>
        <w:t>（二）一般公共预算当年拨款结构情况</w:t>
      </w:r>
      <w:bookmarkEnd w:id="39"/>
    </w:p>
    <w:p w14:paraId="1B586A9F">
      <w:pPr>
        <w:pStyle w:val="20"/>
        <w:spacing w:before="0" w:after="0"/>
        <w:ind w:left="1" w:right="0"/>
        <w:jc w:val="left"/>
        <w:rPr>
          <w:rFonts w:hint="eastAsia" w:ascii="仿宋" w:hAnsi="仿宋" w:eastAsia="仿宋"/>
          <w:lang w:val="en-US" w:eastAsia="zh-CN"/>
        </w:rPr>
      </w:pPr>
      <w:bookmarkStart w:id="40" w:name="_Toc1521"/>
      <w:r>
        <w:rPr>
          <w:rFonts w:hint="eastAsia"/>
          <w:lang w:eastAsia="zh-CN"/>
        </w:rPr>
        <w:t>五通桥区信息中心</w:t>
      </w:r>
      <w:r>
        <w:rPr>
          <w:rFonts w:hint="eastAsia" w:ascii="仿宋" w:hAnsi="仿宋" w:eastAsia="仿宋"/>
          <w:lang w:val="en-US" w:eastAsia="zh-CN"/>
        </w:rPr>
        <w:t>2026年一般公共预算支出120.57万元，主要包括一般公共服务支出98.06万元，占81.33%；社会保障和就业支出12.88万元，占10.68%；卫生健康支出3.02元，占2.51%；住房保障支出6.61万元，占5.48%。</w:t>
      </w:r>
    </w:p>
    <w:p w14:paraId="0C9D2D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eastAsia="楷体"/>
          <w:highlight w:val="yellow"/>
          <w:lang w:eastAsia="zh-CN"/>
        </w:rPr>
      </w:pPr>
      <w:r>
        <w:rPr>
          <w:rFonts w:ascii="宋体" w:hAnsi="宋体"/>
        </w:rPr>
        <w:t>（三）一般公共预算当年拨款具体使用情况</w:t>
      </w:r>
      <w:bookmarkEnd w:id="40"/>
    </w:p>
    <w:p w14:paraId="18E8546F">
      <w:pPr>
        <w:pStyle w:val="20"/>
        <w:spacing w:before="0" w:after="0"/>
        <w:ind w:left="1" w:right="0"/>
        <w:jc w:val="left"/>
        <w:rPr>
          <w:rFonts w:hint="eastAsia" w:ascii="仿宋" w:hAnsi="仿宋" w:eastAsia="仿宋"/>
          <w:lang w:val="en-US" w:eastAsia="zh-CN"/>
        </w:rPr>
      </w:pPr>
      <w:bookmarkStart w:id="41" w:name="_Toc11444"/>
      <w:r>
        <w:rPr>
          <w:rFonts w:hint="eastAsia" w:ascii="仿宋" w:hAnsi="仿宋" w:eastAsia="仿宋"/>
          <w:lang w:val="en-US" w:eastAsia="zh-CN"/>
        </w:rPr>
        <w:t>1 一般公共服务（类）政府办公厅（室）及相关机构事务（款）事业运行（项）:2026年预算数为66.26万元，主要用于：区信息中心正常运转的基本支出，包括基本工资、津贴补贴等人员经费以及办公费等日常公用经费。</w:t>
      </w:r>
    </w:p>
    <w:p w14:paraId="070BBE39">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2.一般公共服务（类）政府办公厅（室）及相关机构事务（款）其他政府办公厅（室）及相关机构事务（项）:2026年预算数为31.8万元，主要用于：门户网站运维费、电子政务外网等保测评等工作任务的项目支出。</w:t>
      </w:r>
    </w:p>
    <w:p w14:paraId="2DE17977">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3.社会保障和就业（类）行政事业单位离退休（款）机关事业单位基本养老保险缴费支出（项）:2026年预算数为8.12万元，主要用于：实施养老保险制度后，按规定由单位缴纳的基本养老保险费支出。</w:t>
      </w:r>
    </w:p>
    <w:p w14:paraId="23E4C16D">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4.社会保障和就业（类）行政事业单位离退休（款）机关事业单位职业年金缴费支出（项）:2026年预算数为4.06万元，主要用于：实施养老保险制度后，按规定由单位缴纳的职业年金支出。</w:t>
      </w:r>
    </w:p>
    <w:p w14:paraId="4800FD13">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5.社会保障和就业（类）其他社会保障和就业支出（款）其他社会保障和就业支出（项）:2026年预算数为0.7万元，主要用于：按规定由单位缴纳的工伤保险和失业保险缴费支出。</w:t>
      </w:r>
    </w:p>
    <w:p w14:paraId="47470669">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6.卫生健康（类）行政事业单位医疗（款）事业单位医疗（项）:2026年预算数为2.52万元，主要用于：单位基本医疗保险缴费支出。</w:t>
      </w:r>
    </w:p>
    <w:p w14:paraId="6B0B6EEF">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7.卫生健康（类）行政事业单位医疗（款）公务员医疗补助（项）:2026年预算数0.5万元，主要用于：单位公务员医疗补助缴费支出。</w:t>
      </w:r>
    </w:p>
    <w:p w14:paraId="35A59FC5">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8.住房保障（类）住房改革支出（款）住房公积金（项）:2026年预算数为6.61万元，主要用于：按人力资源和社会保障部、财政部规定的基本工资和津贴补贴以及规定比例为职工缴纳的住房公积金支出。</w:t>
      </w:r>
    </w:p>
    <w:p w14:paraId="54531674">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1"/>
    </w:p>
    <w:p w14:paraId="3954067F">
      <w:pPr>
        <w:pStyle w:val="20"/>
        <w:spacing w:before="0" w:after="0"/>
        <w:ind w:left="1" w:right="0"/>
        <w:jc w:val="left"/>
        <w:rPr>
          <w:rFonts w:hint="eastAsia" w:ascii="仿宋" w:hAnsi="仿宋" w:eastAsia="仿宋"/>
          <w:lang w:val="en-US" w:eastAsia="zh-CN"/>
        </w:rPr>
      </w:pPr>
      <w:bookmarkStart w:id="42" w:name="_Toc3206"/>
      <w:r>
        <w:rPr>
          <w:rFonts w:hint="eastAsia"/>
          <w:lang w:eastAsia="zh-CN"/>
        </w:rPr>
        <w:t>五通桥区信息中心</w:t>
      </w:r>
      <w:r>
        <w:rPr>
          <w:rFonts w:hint="eastAsia" w:ascii="仿宋" w:hAnsi="仿宋" w:eastAsia="仿宋"/>
          <w:lang w:val="en-US" w:eastAsia="zh-CN"/>
        </w:rPr>
        <w:t>2026年一般公共预算基本支出88.77万元，其中：</w:t>
      </w:r>
    </w:p>
    <w:p w14:paraId="41C39F0D">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人员经费78.56万元，主要包括：基本工资、津贴补贴、奖金、伙食补助费、绩效工资、机关事业单位基本养老保险缴费、职业年金缴费、职工基本医疗保险缴费、其他社会保障缴费、住房公积金、其他工资福利支出、生活补助、其他对个人和家庭的补助支出。</w:t>
      </w:r>
    </w:p>
    <w:p w14:paraId="36AD808A">
      <w:pPr>
        <w:pStyle w:val="20"/>
        <w:spacing w:before="0" w:after="0"/>
        <w:ind w:left="1" w:right="0"/>
        <w:jc w:val="left"/>
        <w:rPr>
          <w:rFonts w:hint="eastAsia" w:ascii="仿宋" w:hAnsi="仿宋" w:eastAsia="仿宋"/>
          <w:lang w:val="en-US" w:eastAsia="zh-CN"/>
        </w:rPr>
      </w:pPr>
      <w:r>
        <w:rPr>
          <w:rFonts w:hint="eastAsia" w:ascii="仿宋" w:hAnsi="仿宋" w:eastAsia="仿宋"/>
          <w:lang w:val="en-US" w:eastAsia="zh-CN"/>
        </w:rPr>
        <w:t>公用经费10.21万元，主要包括：办公费、水费、电费、邮电费、差旅费、维修（护）费、会议费、培训费、公务接待费、劳务费、工会经费、福利费、其他商品和服务支出。</w:t>
      </w:r>
    </w:p>
    <w:p w14:paraId="4C59572A">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五、“三公”经费财政拨款预算安排情况说明</w:t>
      </w:r>
      <w:bookmarkEnd w:id="42"/>
    </w:p>
    <w:p w14:paraId="738B853F">
      <w:pPr>
        <w:pStyle w:val="20"/>
        <w:spacing w:before="0" w:after="0"/>
        <w:ind w:left="1" w:right="0"/>
        <w:jc w:val="left"/>
        <w:rPr>
          <w:rFonts w:hint="default" w:ascii="仿宋" w:hAnsi="仿宋" w:eastAsia="仿宋"/>
          <w:lang w:val="en-US" w:eastAsia="zh-CN"/>
        </w:rPr>
      </w:pPr>
      <w:r>
        <w:rPr>
          <w:rFonts w:hint="eastAsia" w:ascii="仿宋" w:hAnsi="仿宋" w:eastAsia="仿宋"/>
          <w:lang w:val="en-US" w:eastAsia="zh-CN"/>
        </w:rPr>
        <w:t>五通桥区信息中心2026年“三公”经费财政拨款预算数0.3万元，其中：公务接待费0.3万元，公务用车购置0万元，公车运行维护费0万元。2026年公务接待费计划用于接待国内考察调研、学习交流、执行任务等公务活动。无外事接待活动</w:t>
      </w:r>
      <w:r>
        <w:rPr>
          <w:rFonts w:hint="eastAsia" w:ascii="宋体" w:hAnsi="宋体"/>
          <w:sz w:val="32"/>
          <w:lang w:val="en-US" w:eastAsia="zh-CN"/>
        </w:rPr>
        <w:t>。</w:t>
      </w:r>
    </w:p>
    <w:p w14:paraId="40964FB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lang w:val="en-US" w:eastAsia="zh-CN"/>
        </w:rPr>
      </w:pPr>
      <w:bookmarkStart w:id="43" w:name="_Toc24108"/>
      <w:r>
        <w:rPr>
          <w:rFonts w:ascii="宋体" w:hAnsi="宋体"/>
        </w:rPr>
        <w:t>（一）</w:t>
      </w:r>
      <w:r>
        <w:rPr>
          <w:rFonts w:hint="eastAsia" w:ascii="宋体" w:hAnsi="宋体"/>
          <w:lang w:val="en-US" w:eastAsia="zh-CN"/>
        </w:rPr>
        <w:t>公务接待费变化情况</w:t>
      </w:r>
      <w:bookmarkEnd w:id="43"/>
    </w:p>
    <w:p w14:paraId="28FCA215">
      <w:pPr>
        <w:pStyle w:val="20"/>
        <w:spacing w:before="0" w:after="0"/>
        <w:ind w:left="1" w:right="0"/>
        <w:jc w:val="left"/>
        <w:rPr>
          <w:rFonts w:hint="default" w:ascii="仿宋" w:hAnsi="仿宋" w:eastAsia="仿宋"/>
          <w:lang w:val="en-US" w:eastAsia="zh-CN"/>
        </w:rPr>
      </w:pPr>
      <w:r>
        <w:rPr>
          <w:rFonts w:hint="default" w:ascii="仿宋" w:hAnsi="仿宋" w:eastAsia="仿宋"/>
          <w:lang w:val="en-US" w:eastAsia="zh-CN"/>
        </w:rPr>
        <w:t>公务接待费较</w:t>
      </w:r>
      <w:r>
        <w:rPr>
          <w:rFonts w:hint="eastAsia" w:ascii="仿宋" w:hAnsi="仿宋" w:eastAsia="仿宋"/>
          <w:lang w:val="en-US" w:eastAsia="zh-CN"/>
        </w:rPr>
        <w:t>2025</w:t>
      </w:r>
      <w:r>
        <w:rPr>
          <w:rFonts w:hint="default" w:ascii="仿宋" w:hAnsi="仿宋" w:eastAsia="仿宋"/>
          <w:lang w:val="en-US" w:eastAsia="zh-CN"/>
        </w:rPr>
        <w:t>年预算</w:t>
      </w:r>
      <w:r>
        <w:rPr>
          <w:rFonts w:hint="eastAsia" w:ascii="仿宋" w:hAnsi="仿宋" w:eastAsia="仿宋"/>
          <w:lang w:val="en-US" w:eastAsia="zh-CN"/>
        </w:rPr>
        <w:t>0.3</w:t>
      </w:r>
      <w:r>
        <w:rPr>
          <w:rFonts w:hint="default" w:ascii="仿宋" w:hAnsi="仿宋" w:eastAsia="仿宋"/>
          <w:lang w:val="en-US" w:eastAsia="zh-CN"/>
        </w:rPr>
        <w:t>万元</w:t>
      </w:r>
      <w:r>
        <w:rPr>
          <w:rFonts w:hint="eastAsia" w:ascii="仿宋" w:hAnsi="仿宋" w:eastAsia="仿宋"/>
          <w:lang w:val="en-US" w:eastAsia="zh-CN"/>
        </w:rPr>
        <w:t>持平</w:t>
      </w:r>
      <w:r>
        <w:rPr>
          <w:rFonts w:hint="default" w:ascii="仿宋" w:hAnsi="仿宋" w:eastAsia="仿宋"/>
          <w:lang w:val="en-US" w:eastAsia="zh-CN"/>
        </w:rPr>
        <w:t>。</w:t>
      </w:r>
    </w:p>
    <w:p w14:paraId="16FFFE7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0" w:firstLineChars="0"/>
        <w:textAlignment w:val="auto"/>
        <w:rPr>
          <w:rFonts w:ascii="宋体" w:hAnsi="宋体"/>
        </w:rPr>
      </w:pPr>
      <w:bookmarkStart w:id="44" w:name="_Toc3483"/>
      <w:r>
        <w:rPr>
          <w:rFonts w:hint="eastAsia" w:ascii="宋体" w:hAnsi="宋体"/>
          <w:lang w:val="en-US" w:eastAsia="zh-CN"/>
        </w:rPr>
        <w:t xml:space="preserve">=  </w:t>
      </w:r>
      <w:bookmarkStart w:id="53" w:name="_GoBack"/>
      <w:bookmarkEnd w:id="5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2784B282">
      <w:pPr>
        <w:pStyle w:val="20"/>
        <w:spacing w:before="0" w:after="0"/>
        <w:ind w:left="1" w:right="0"/>
        <w:jc w:val="left"/>
        <w:rPr>
          <w:rFonts w:hint="eastAsia" w:ascii="仿宋" w:hAnsi="仿宋" w:eastAsia="仿宋"/>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持平。</w:t>
      </w: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w:t>
      </w:r>
      <w:r>
        <w:rPr>
          <w:rFonts w:hint="eastAsia" w:ascii="仿宋" w:hAnsi="仿宋" w:eastAsia="仿宋"/>
          <w:lang w:val="en-US" w:eastAsia="zh-CN"/>
        </w:rPr>
        <w:t>轿车0辆，越野车0辆，商务车0辆，中型客车0辆。</w:t>
      </w:r>
    </w:p>
    <w:p w14:paraId="5BAB5904">
      <w:pPr>
        <w:pStyle w:val="20"/>
        <w:spacing w:before="0" w:after="0"/>
        <w:ind w:left="1" w:right="0"/>
        <w:jc w:val="left"/>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r>
        <w:rPr>
          <w:rFonts w:hint="default" w:ascii="宋体" w:hAnsi="宋体"/>
          <w:sz w:val="32"/>
          <w:lang w:val="en-US" w:eastAsia="zh-CN"/>
        </w:rPr>
        <w:t>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p>
    <w:p w14:paraId="0CBF6795">
      <w:pPr>
        <w:pStyle w:val="20"/>
        <w:spacing w:before="0" w:after="0"/>
        <w:ind w:right="0"/>
        <w:jc w:val="left"/>
        <w:rPr>
          <w:rFonts w:hint="default" w:ascii="仿宋" w:hAnsi="仿宋" w:eastAsia="仿宋"/>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14:paraId="4885ABD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27419"/>
      <w:r>
        <w:rPr>
          <w:rFonts w:hint="eastAsia" w:ascii="宋体" w:hAnsi="宋体" w:eastAsia="黑体"/>
          <w:color w:val="333333"/>
        </w:rPr>
        <w:t>六、政府性基金预算支出情况说明</w:t>
      </w:r>
      <w:bookmarkEnd w:id="45"/>
    </w:p>
    <w:p w14:paraId="5C67E459">
      <w:pPr>
        <w:pStyle w:val="20"/>
        <w:spacing w:before="0" w:after="0"/>
        <w:ind w:left="1" w:right="0"/>
        <w:jc w:val="left"/>
        <w:rPr>
          <w:rFonts w:hint="default" w:ascii="仿宋" w:hAnsi="仿宋" w:eastAsia="仿宋"/>
          <w:lang w:val="en-US" w:eastAsia="zh-CN"/>
        </w:rPr>
      </w:pPr>
      <w:bookmarkStart w:id="46" w:name="_Toc17512"/>
      <w:r>
        <w:rPr>
          <w:rFonts w:hint="eastAsia"/>
          <w:lang w:eastAsia="zh-CN"/>
        </w:rPr>
        <w:t>五通桥区信息中心</w:t>
      </w:r>
      <w:r>
        <w:rPr>
          <w:rFonts w:hint="eastAsia" w:ascii="仿宋" w:hAnsi="仿宋" w:eastAsia="仿宋"/>
          <w:lang w:val="en-US" w:eastAsia="zh-CN"/>
        </w:rPr>
        <w:t>2026</w:t>
      </w:r>
      <w:r>
        <w:rPr>
          <w:rFonts w:hint="default" w:ascii="仿宋" w:hAnsi="仿宋" w:eastAsia="仿宋"/>
          <w:lang w:val="en-US" w:eastAsia="zh-CN"/>
        </w:rPr>
        <w:t>年政府性基金预算拨款安排支出</w:t>
      </w:r>
      <w:r>
        <w:rPr>
          <w:rFonts w:hint="eastAsia" w:ascii="仿宋" w:hAnsi="仿宋" w:eastAsia="仿宋"/>
          <w:lang w:val="en-US" w:eastAsia="zh-CN"/>
        </w:rPr>
        <w:t>0万元，较上年预算数持平。</w:t>
      </w:r>
    </w:p>
    <w:p w14:paraId="100624E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1437FC93">
      <w:pPr>
        <w:pStyle w:val="20"/>
        <w:spacing w:before="0" w:after="0"/>
        <w:ind w:left="1" w:right="0"/>
        <w:jc w:val="left"/>
        <w:rPr>
          <w:rFonts w:hint="eastAsia" w:ascii="仿宋" w:hAnsi="仿宋" w:eastAsia="仿宋"/>
          <w:lang w:val="en-US" w:eastAsia="zh-CN"/>
        </w:rPr>
      </w:pPr>
      <w:bookmarkStart w:id="47" w:name="_Toc904"/>
      <w:r>
        <w:rPr>
          <w:rFonts w:hint="eastAsia"/>
          <w:lang w:eastAsia="zh-CN"/>
        </w:rPr>
        <w:t>五通桥区信息中心</w:t>
      </w:r>
      <w:r>
        <w:rPr>
          <w:rFonts w:hint="eastAsia" w:ascii="仿宋" w:hAnsi="仿宋" w:eastAsia="仿宋"/>
          <w:lang w:val="en-US" w:eastAsia="zh-CN"/>
        </w:rPr>
        <w:t>2026年国有资本经营预算拨款安排支出0万元,较上年预算数持平。</w:t>
      </w:r>
    </w:p>
    <w:p w14:paraId="5BD0B55F">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r>
        <w:rPr>
          <w:rFonts w:hint="eastAsia" w:ascii="宋体" w:hAnsi="宋体" w:eastAsia="黑体"/>
          <w:color w:val="333333"/>
          <w:lang w:val="en-US" w:eastAsia="zh-CN"/>
        </w:rPr>
        <w:t>八、其他重要事项的情况说明</w:t>
      </w:r>
      <w:bookmarkEnd w:id="47"/>
    </w:p>
    <w:p w14:paraId="7642536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321" w:firstLineChars="100"/>
        <w:textAlignment w:val="auto"/>
        <w:rPr>
          <w:rFonts w:hint="default" w:ascii="宋体" w:hAnsi="宋体"/>
          <w:lang w:val="en-US" w:eastAsia="zh-CN"/>
        </w:rPr>
      </w:pPr>
      <w:bookmarkStart w:id="48" w:name="_Toc17345"/>
      <w:r>
        <w:rPr>
          <w:rFonts w:ascii="宋体" w:hAnsi="宋体"/>
        </w:rPr>
        <w:t>（一）机关运行经费情况</w:t>
      </w:r>
      <w:bookmarkEnd w:id="48"/>
    </w:p>
    <w:p w14:paraId="6F579EC6">
      <w:pPr>
        <w:pStyle w:val="20"/>
        <w:spacing w:before="0" w:after="0"/>
        <w:ind w:left="1" w:right="0"/>
        <w:jc w:val="left"/>
        <w:rPr>
          <w:rFonts w:hint="default" w:ascii="仿宋" w:hAnsi="仿宋" w:eastAsia="仿宋"/>
          <w:lang w:val="en-US" w:eastAsia="zh-CN"/>
        </w:rPr>
      </w:pPr>
      <w:r>
        <w:rPr>
          <w:rFonts w:hint="eastAsia" w:ascii="仿宋" w:hAnsi="仿宋" w:eastAsia="仿宋"/>
          <w:lang w:val="en-US" w:eastAsia="zh-CN"/>
        </w:rPr>
        <w:t>2026年，</w:t>
      </w:r>
      <w:r>
        <w:rPr>
          <w:rFonts w:hint="eastAsia"/>
          <w:lang w:eastAsia="zh-CN"/>
        </w:rPr>
        <w:t>五通桥区信息中心</w:t>
      </w:r>
      <w:r>
        <w:rPr>
          <w:rFonts w:hint="eastAsia" w:ascii="仿宋" w:hAnsi="仿宋" w:eastAsia="仿宋"/>
          <w:lang w:val="en-US" w:eastAsia="zh-CN"/>
        </w:rPr>
        <w:t>机关运行经费预算0万元。</w:t>
      </w:r>
    </w:p>
    <w:p w14:paraId="09F9593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321" w:firstLineChars="100"/>
        <w:textAlignment w:val="auto"/>
        <w:rPr>
          <w:rFonts w:ascii="宋体" w:hAnsi="宋体"/>
        </w:rPr>
      </w:pPr>
      <w:bookmarkStart w:id="49" w:name="_Toc11837"/>
      <w:r>
        <w:rPr>
          <w:rFonts w:ascii="宋体" w:hAnsi="宋体"/>
        </w:rPr>
        <w:t>（二）政府采购情况</w:t>
      </w:r>
      <w:bookmarkEnd w:id="49"/>
    </w:p>
    <w:p w14:paraId="0A56450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2026年，五通桥区信息中心部门政府采购项目0万元。其中，政府采购货物预算0万元；政府采购工程预算0万元；政府采购服务预算0万元。</w:t>
      </w:r>
    </w:p>
    <w:p w14:paraId="122D2D1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321" w:firstLineChars="100"/>
        <w:textAlignment w:val="auto"/>
        <w:rPr>
          <w:rFonts w:ascii="宋体" w:hAnsi="宋体"/>
        </w:rPr>
      </w:pPr>
      <w:bookmarkStart w:id="50" w:name="_Toc16771"/>
      <w:r>
        <w:rPr>
          <w:rFonts w:ascii="宋体" w:hAnsi="宋体"/>
        </w:rPr>
        <w:t>（三）国有资产占有使用情况</w:t>
      </w:r>
      <w:bookmarkEnd w:id="50"/>
    </w:p>
    <w:p w14:paraId="58CAC57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截至2026年底，五通桥区信息中心共有车辆0辆。单位价值100万元以上大型设备0套。</w:t>
      </w:r>
    </w:p>
    <w:p w14:paraId="005C3AC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51" w:name="_Toc21233"/>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59B6E34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ascii="宋体" w:hAnsi="宋体"/>
          <w:spacing w:val="6"/>
        </w:rPr>
        <w:sectPr>
          <w:headerReference r:id="rId8" w:type="default"/>
          <w:footerReference r:id="rId9"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sz w:val="32"/>
          <w:lang w:val="en-US" w:eastAsia="zh-CN"/>
        </w:rPr>
        <w:t>2026年五通桥区信息中心开展绩效目标管理的项目17个，涉及预算120.57万元。其中：人员类项目9个，涉及预算78.56万元；运转类项目3个，涉及预10.21万元；特定目标类项目5个，涉及预算31.8万元。</w:t>
      </w:r>
    </w:p>
    <w:p w14:paraId="066CF09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1040" w:firstLineChars="200"/>
        <w:jc w:val="center"/>
        <w:textAlignment w:val="auto"/>
        <w:rPr>
          <w:rFonts w:hint="eastAsia" w:ascii="方正小标宋简体" w:hAnsi="方正小标宋简体" w:eastAsia="方正小标宋简体" w:cs="方正小标宋简体"/>
          <w:b w:val="0"/>
          <w:bCs w:val="0"/>
          <w:sz w:val="52"/>
          <w:szCs w:val="52"/>
          <w:lang w:val="en-US" w:eastAsia="zh-CN"/>
        </w:rPr>
      </w:pPr>
      <w:bookmarkStart w:id="52" w:name="_Toc12947"/>
      <w:r>
        <w:rPr>
          <w:rFonts w:hint="eastAsia" w:ascii="方正小标宋简体" w:hAnsi="方正小标宋简体" w:eastAsia="方正小标宋简体" w:cs="方正小标宋简体"/>
          <w:b w:val="0"/>
          <w:bCs w:val="0"/>
          <w:sz w:val="52"/>
          <w:szCs w:val="52"/>
          <w:lang w:val="en-US" w:eastAsia="zh-CN"/>
        </w:rPr>
        <w:t>第四部分  名词解释</w:t>
      </w:r>
      <w:bookmarkEnd w:id="52"/>
    </w:p>
    <w:p w14:paraId="603BD14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1.财政拨款收入：指单位从同级财政部门取得的财政预算资金。</w:t>
      </w:r>
    </w:p>
    <w:p w14:paraId="1F340D7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2.事业收入：指事业单位开展专业业务活动及辅助活动取得的收入。</w:t>
      </w:r>
    </w:p>
    <w:p w14:paraId="4B38355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3.经营收入：指事业单位在专业业务活动及其辅助活动之外开展非独立核算经营活动取得的收入。</w:t>
      </w:r>
    </w:p>
    <w:p w14:paraId="099B77E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4.其他收入：指单位取得的除上述收入以外的各项收入。 </w:t>
      </w:r>
    </w:p>
    <w:p w14:paraId="38E6F94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5.使用非财政拨款结余（含专用结余）：指事业单位使用以前年度积累的非财政拨款结余弥补当年收支差额的金额。 </w:t>
      </w:r>
    </w:p>
    <w:p w14:paraId="5EE33E1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6.年初结转和结余：指以前年度尚未完成、结转到本年按有关规定继续使用的资金。 </w:t>
      </w:r>
    </w:p>
    <w:p w14:paraId="2C527B0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7.结余分配：指事业单位按照会计制度规定缴纳的所得税、提取的专用结余以及转入非财政拨款结余的金额等。</w:t>
      </w:r>
    </w:p>
    <w:p w14:paraId="3756B09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8.年末结转和结余：指单位按有关规定结转到下年或以后年度继续使用的资金。</w:t>
      </w:r>
    </w:p>
    <w:p w14:paraId="74B6163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201（类）03（款）01（项）：指行政运行，反映行政单位（包括实行公务员管理的事业单位）的基本支出；201（类）03（款）02（项）：指一般行政管理事务，反映行政单位（包括实行公务员管理的事业单位）未单独设置项级科目的其他项目支出；201（类）03（款）50（项）：指事业运行，反映事业单位的基本支出，不包括行政单位（包括实行公务员管理的事业单位）后勤服务中心、医务室等附属事业单位；201（类）03（款）99（项）：指其他政府办公厅（室）及相关机构事务支出，反映除上述项目以外的其他政府办公厅（室）及相关机构事务支出。</w:t>
      </w:r>
    </w:p>
    <w:p w14:paraId="5CDA154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10．国防支出203（类）06（款）99（项）：指其他国防动员支出，反映其他用于国防动员方面的支出。</w:t>
      </w:r>
    </w:p>
    <w:p w14:paraId="63C1C1E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11.社会保障和就业208（类）05（款）05（项）：指机关事业单位基本养老保险缴费支出，反映机关事业单位实施养老保险制度由单位缴纳的基本养老保险费支出；社会保障和就业208（类）05（款）06（项）：指机关事业单位职业年金缴费支出，反映机关事业单位实施养老保险制度由单位实际缴纳的职业年金支出；社会保障和就业208（类）05（款）99（项）：指其他行政事业单位养老支出，反映其他用于行政事业单位养老方面的支出；社会保障和就业208（类）08（款）01（项）：指死亡抚恤支出，反映按规定用于烈士和牺牲、病故人员家属的一次性和定期抚恤金、丧葬补助费以及烈士褒扬金；社会保障和就业208（类）99（款）99（项）：指其他社会保障机制和就业支出，反映除上述项目以外其他用于社会保障和就业方面的支出。</w:t>
      </w:r>
    </w:p>
    <w:p w14:paraId="2036CAD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210（类）11（款）01（项）：指行政单位医疗，反映财政部门安排的行政单位（包括实行公务员管理的事业单位）基本医疗保险缴费经费；210（类）11（款）02（项）：指事业单位医疗，反映财政部门安排的事业单位基本医疗保险缴费经费；210（类）11（款）03（项）：指公务员医疗补助，反映财政部门安排的公务员医疗补助经费。</w:t>
      </w:r>
    </w:p>
    <w:p w14:paraId="1A6237F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13．住房保障221（类）02（款）01（项）：指住房公积金，反映行政事业单位按人力资源和社会保障部、财政部规定的基本工资和津贴补贴以及规定比例为职工缴纳的住房公积金。</w:t>
      </w:r>
    </w:p>
    <w:p w14:paraId="1149CF2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14.基本支出：指为保障机构正常运转、完成日常工作任务而发生的人员支出和公用支出。</w:t>
      </w:r>
    </w:p>
    <w:p w14:paraId="5889783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15.项目支出：指在基本支出之外为完成特定行政任务和事业发展目标所发生的支出。 </w:t>
      </w:r>
    </w:p>
    <w:p w14:paraId="265163D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16.经营支出：指事业单位在专业业务活动及其辅助活动之外开展非独立核算经营活动发生的支出。</w:t>
      </w:r>
    </w:p>
    <w:p w14:paraId="4F2A106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EE29F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embedRegular r:id="rId1" w:fontKey="{2D327CA7-03C8-42D8-B415-A7E6D2211EB7}"/>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embedRegular r:id="rId2" w:fontKey="{B769D127-5658-4776-BB0B-5BF9EC4CBDE9}"/>
  </w:font>
  <w:font w:name="楷体">
    <w:panose1 w:val="02010609060101010101"/>
    <w:charset w:val="86"/>
    <w:family w:val="modern"/>
    <w:pitch w:val="default"/>
    <w:sig w:usb0="800002BF" w:usb1="38CF7CFA" w:usb2="00000016" w:usb3="00000000" w:csb0="00040001" w:csb1="00000000"/>
    <w:embedRegular r:id="rId3" w:fontKey="{519A941B-FD79-40E8-9702-06BFDAC14B5E}"/>
  </w:font>
  <w:font w:name="仿宋_GB2312">
    <w:panose1 w:val="02010609030101010101"/>
    <w:charset w:val="86"/>
    <w:family w:val="modern"/>
    <w:pitch w:val="default"/>
    <w:sig w:usb0="00000001" w:usb1="080E0000" w:usb2="00000000" w:usb3="00000000" w:csb0="00040000" w:csb1="00000000"/>
    <w:embedRegular r:id="rId4" w:fontKey="{F5841B0D-A386-4684-BAA2-25D6373A8093}"/>
  </w:font>
  <w:font w:name="方正小标宋简体">
    <w:panose1 w:val="03000509000000000000"/>
    <w:charset w:val="86"/>
    <w:family w:val="script"/>
    <w:pitch w:val="default"/>
    <w:sig w:usb0="00000001" w:usb1="080E0000" w:usb2="00000000" w:usb3="00000000" w:csb0="00040000" w:csb1="00000000"/>
    <w:embedRegular r:id="rId5" w:fontKey="{36069EF0-3198-433D-8055-173AFA64B8C1}"/>
  </w:font>
  <w:font w:name="仿宋">
    <w:panose1 w:val="02010609060101010101"/>
    <w:charset w:val="86"/>
    <w:family w:val="modern"/>
    <w:pitch w:val="default"/>
    <w:sig w:usb0="800002BF" w:usb1="38CF7CFA" w:usb2="00000016" w:usb3="00000000" w:csb0="00040001" w:csb1="00000000"/>
    <w:embedRegular r:id="rId6" w:fontKey="{DFD73939-CBCC-4130-93B7-5575750DDB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6EC1">
    <w:pPr>
      <w:pStyle w:val="5"/>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D085">
    <w:pPr>
      <w:pStyle w:val="5"/>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5"/>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3"/>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DE2FB0"/>
    <w:rsid w:val="02ED1707"/>
    <w:rsid w:val="02F925FF"/>
    <w:rsid w:val="05142D58"/>
    <w:rsid w:val="08F93370"/>
    <w:rsid w:val="09451BD1"/>
    <w:rsid w:val="0CD217EC"/>
    <w:rsid w:val="0EE52B02"/>
    <w:rsid w:val="13C70DD2"/>
    <w:rsid w:val="13CB5FFB"/>
    <w:rsid w:val="156C4165"/>
    <w:rsid w:val="18D94D16"/>
    <w:rsid w:val="1C4565B4"/>
    <w:rsid w:val="1CD05D0D"/>
    <w:rsid w:val="1DF82414"/>
    <w:rsid w:val="1E9115A9"/>
    <w:rsid w:val="20D9567F"/>
    <w:rsid w:val="21211D8E"/>
    <w:rsid w:val="240622C9"/>
    <w:rsid w:val="2479601B"/>
    <w:rsid w:val="247F2477"/>
    <w:rsid w:val="27540087"/>
    <w:rsid w:val="279D00CA"/>
    <w:rsid w:val="2BD66371"/>
    <w:rsid w:val="2CBF542B"/>
    <w:rsid w:val="2DBF7EE3"/>
    <w:rsid w:val="3170631D"/>
    <w:rsid w:val="338378A0"/>
    <w:rsid w:val="3AA12953"/>
    <w:rsid w:val="3E912D22"/>
    <w:rsid w:val="4D3C563B"/>
    <w:rsid w:val="549B1F66"/>
    <w:rsid w:val="54BB49E6"/>
    <w:rsid w:val="54C30EEA"/>
    <w:rsid w:val="5543046B"/>
    <w:rsid w:val="58EE6347"/>
    <w:rsid w:val="595E3E2E"/>
    <w:rsid w:val="5AE90F4A"/>
    <w:rsid w:val="5B65451D"/>
    <w:rsid w:val="5B8B2A29"/>
    <w:rsid w:val="6103734D"/>
    <w:rsid w:val="65613D99"/>
    <w:rsid w:val="6763337E"/>
    <w:rsid w:val="68905A38"/>
    <w:rsid w:val="71461A34"/>
    <w:rsid w:val="71A0509B"/>
    <w:rsid w:val="7209340F"/>
    <w:rsid w:val="76A30804"/>
    <w:rsid w:val="774C3E75"/>
    <w:rsid w:val="7C6130B2"/>
    <w:rsid w:val="7CCC1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Calibri" w:hAnsi="Calibri" w:eastAsia="宋体" w:cs="宋体"/>
      <w:color w:val="000000"/>
      <w:sz w:val="24"/>
      <w:szCs w:val="24"/>
      <w:lang w:val="en-US" w:eastAsia="zh-CN" w:bidi="ar-SA"/>
    </w:r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Plain Text"/>
    <w:basedOn w:val="1"/>
    <w:qFormat/>
    <w:uiPriority w:val="0"/>
    <w:rPr>
      <w:rFonts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1"/>
    <w:qFormat/>
    <w:uiPriority w:val="0"/>
    <w:pPr>
      <w:ind w:leftChars="0"/>
    </w:pPr>
    <w:rPr>
      <w:rFonts w:asciiTheme="minorHAnsi" w:hAnsiTheme="minorHAnsi" w:eastAsiaTheme="minorHAnsi" w:cstheme="minorBidi"/>
      <w:sz w:val="20"/>
      <w:szCs w:val="20"/>
    </w:rPr>
  </w:style>
  <w:style w:type="paragraph" w:customStyle="1" w:styleId="18">
    <w:name w:val="WPSOffice手动目录 2"/>
    <w:qFormat/>
    <w:uiPriority w:val="0"/>
    <w:pPr>
      <w:ind w:leftChars="200"/>
    </w:pPr>
    <w:rPr>
      <w:rFonts w:asciiTheme="minorHAnsi" w:hAnsiTheme="minorHAnsi" w:eastAsiaTheme="minorHAnsi" w:cstheme="minorBidi"/>
      <w:sz w:val="20"/>
      <w:szCs w:val="20"/>
    </w:rPr>
  </w:style>
  <w:style w:type="paragraph" w:customStyle="1" w:styleId="19">
    <w:name w:val="WPSOffice手动目录 3"/>
    <w:qFormat/>
    <w:uiPriority w:val="0"/>
    <w:pPr>
      <w:ind w:leftChars="400"/>
    </w:pPr>
    <w:rPr>
      <w:rFonts w:asciiTheme="minorHAnsi" w:hAnsiTheme="minorHAnsi" w:eastAsiaTheme="minorHAnsi" w:cstheme="minorBidi"/>
      <w:sz w:val="20"/>
      <w:szCs w:val="20"/>
    </w:rPr>
  </w:style>
  <w:style w:type="paragraph" w:customStyle="1" w:styleId="20">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5241</Words>
  <Characters>6214</Characters>
  <TotalTime>7</TotalTime>
  <ScaleCrop>false</ScaleCrop>
  <LinksUpToDate>false</LinksUpToDate>
  <CharactersWithSpaces>6454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cp:lastPrinted>2026-02-28T02:53:00Z</cp:lastPrinted>
  <dcterms:modified xsi:type="dcterms:W3CDTF">2026-03-02T07:31:59Z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2052-12.1.0.20784</vt:lpwstr>
  </property>
  <property fmtid="{D5CDD505-2E9C-101B-9397-08002B2CF9AE}" pid="6" name="ICV">
    <vt:lpwstr>19A6489293D14499A2E447A850DEABA6</vt:lpwstr>
  </property>
  <property fmtid="{D5CDD505-2E9C-101B-9397-08002B2CF9AE}" pid="7" name="KSOTemplateDocerSaveRecord">
    <vt:lpwstr>eyJoZGlkIjoiMzc3MTk0ZGI5NDRmNGE4NjdkMDg5ODZiMDMyOTNjNWIifQ==</vt:lpwstr>
  </property>
</Properties>
</file>