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744FDF">
      <w:pPr>
        <w:pStyle w:val="2"/>
        <w:jc w:val="center"/>
        <w:rPr>
          <w:rFonts w:hint="eastAsia" w:ascii="宋体" w:hAnsi="宋体" w:eastAsia="宋体" w:cs="宋体"/>
          <w:b/>
          <w:bCs/>
          <w:sz w:val="52"/>
          <w:szCs w:val="52"/>
          <w:shd w:val="clear" w:color="auto" w:fill="auto"/>
          <w:lang w:val="en-US" w:eastAsia="zh-CN"/>
        </w:rPr>
      </w:pPr>
    </w:p>
    <w:p w14:paraId="2C96A1AD">
      <w:pPr>
        <w:pStyle w:val="2"/>
        <w:jc w:val="center"/>
        <w:rPr>
          <w:rFonts w:hint="eastAsia" w:ascii="宋体" w:hAnsi="宋体" w:eastAsia="宋体" w:cs="宋体"/>
          <w:b/>
          <w:bCs/>
          <w:sz w:val="52"/>
          <w:szCs w:val="52"/>
          <w:shd w:val="clear" w:color="auto" w:fill="auto"/>
          <w:lang w:val="en-US" w:eastAsia="zh-CN"/>
        </w:rPr>
      </w:pPr>
    </w:p>
    <w:p w14:paraId="7FEBC4CD">
      <w:pPr>
        <w:pStyle w:val="2"/>
        <w:jc w:val="center"/>
        <w:rPr>
          <w:rFonts w:hint="eastAsia" w:ascii="宋体" w:hAnsi="宋体" w:eastAsia="宋体" w:cs="宋体"/>
          <w:b/>
          <w:bCs/>
          <w:sz w:val="52"/>
          <w:szCs w:val="52"/>
          <w:shd w:val="clear" w:color="auto" w:fill="auto"/>
          <w:lang w:val="en-US" w:eastAsia="zh-CN"/>
        </w:rPr>
      </w:pPr>
    </w:p>
    <w:p w14:paraId="5C9EEFCD">
      <w:pPr>
        <w:pStyle w:val="2"/>
        <w:jc w:val="center"/>
        <w:rPr>
          <w:rFonts w:hint="eastAsia" w:ascii="宋体" w:hAnsi="宋体" w:eastAsia="宋体" w:cs="宋体"/>
          <w:b/>
          <w:bCs/>
          <w:sz w:val="52"/>
          <w:szCs w:val="52"/>
          <w:shd w:val="clear" w:color="auto" w:fill="auto"/>
          <w:lang w:val="en-US" w:eastAsia="zh-CN"/>
        </w:rPr>
      </w:pPr>
    </w:p>
    <w:p w14:paraId="13B94989">
      <w:pPr>
        <w:pStyle w:val="2"/>
        <w:jc w:val="center"/>
        <w:rPr>
          <w:rFonts w:hint="eastAsia" w:ascii="宋体" w:hAnsi="宋体" w:eastAsia="宋体" w:cs="宋体"/>
          <w:b/>
          <w:bCs/>
          <w:sz w:val="52"/>
          <w:szCs w:val="52"/>
          <w:shd w:val="clear" w:color="auto" w:fill="auto"/>
          <w:lang w:val="en-US" w:eastAsia="zh-CN"/>
        </w:rPr>
      </w:pPr>
    </w:p>
    <w:p w14:paraId="46734144">
      <w:pPr>
        <w:pStyle w:val="2"/>
        <w:jc w:val="center"/>
        <w:rPr>
          <w:rFonts w:hint="eastAsia" w:ascii="宋体" w:hAnsi="宋体" w:eastAsia="宋体" w:cs="宋体"/>
          <w:b/>
          <w:bCs/>
          <w:sz w:val="52"/>
          <w:szCs w:val="52"/>
          <w:shd w:val="clear" w:color="auto" w:fill="auto"/>
          <w:lang w:val="en-US" w:eastAsia="zh-CN"/>
        </w:rPr>
      </w:pPr>
    </w:p>
    <w:p w14:paraId="775D69C0">
      <w:pPr>
        <w:pStyle w:val="2"/>
        <w:jc w:val="center"/>
        <w:rPr>
          <w:rFonts w:hint="eastAsia" w:ascii="宋体" w:hAnsi="宋体" w:eastAsia="宋体" w:cs="宋体"/>
          <w:b/>
          <w:bCs/>
          <w:sz w:val="52"/>
          <w:szCs w:val="52"/>
          <w:shd w:val="clear" w:color="auto" w:fill="auto"/>
          <w:lang w:val="en-US" w:eastAsia="zh-CN"/>
        </w:rPr>
      </w:pPr>
    </w:p>
    <w:p w14:paraId="2FD3D13A">
      <w:pPr>
        <w:pStyle w:val="2"/>
        <w:jc w:val="center"/>
        <w:rPr>
          <w:rFonts w:hint="eastAsia" w:ascii="宋体" w:hAnsi="宋体" w:eastAsia="宋体" w:cs="宋体"/>
          <w:b/>
          <w:bCs/>
          <w:sz w:val="52"/>
          <w:szCs w:val="52"/>
          <w:shd w:val="clear" w:color="auto" w:fill="auto"/>
          <w:lang w:val="en-US" w:eastAsia="zh-CN"/>
        </w:rPr>
      </w:pPr>
    </w:p>
    <w:p w14:paraId="7AD42196">
      <w:pPr>
        <w:pStyle w:val="2"/>
        <w:keepNext w:val="0"/>
        <w:keepLines w:val="0"/>
        <w:pageBreakBefore w:val="0"/>
        <w:widowControl w:val="0"/>
        <w:kinsoku/>
        <w:wordWrap/>
        <w:overflowPunct/>
        <w:topLinePunct w:val="0"/>
        <w:autoSpaceDE w:val="0"/>
        <w:autoSpaceDN w:val="0"/>
        <w:bidi w:val="0"/>
        <w:adjustRightInd/>
        <w:snapToGrid/>
        <w:spacing w:line="800" w:lineRule="exact"/>
        <w:jc w:val="center"/>
        <w:textAlignment w:val="auto"/>
        <w:rPr>
          <w:rFonts w:hint="eastAsia" w:ascii="宋体" w:hAnsi="宋体" w:eastAsia="方正小标宋简体" w:cs="方正小标宋简体"/>
          <w:b w:val="0"/>
          <w:bCs w:val="0"/>
          <w:sz w:val="52"/>
          <w:szCs w:val="52"/>
          <w:shd w:val="clear" w:color="auto" w:fill="auto"/>
          <w:lang w:val="en-US" w:eastAsia="zh-CN"/>
        </w:rPr>
      </w:pPr>
      <w:r>
        <w:rPr>
          <w:rFonts w:hint="eastAsia" w:ascii="宋体" w:hAnsi="宋体" w:eastAsia="方正小标宋简体" w:cs="方正小标宋简体"/>
          <w:b w:val="0"/>
          <w:bCs w:val="0"/>
          <w:sz w:val="52"/>
          <w:szCs w:val="52"/>
          <w:shd w:val="clear" w:color="auto" w:fill="auto"/>
          <w:lang w:val="en-US" w:eastAsia="zh-CN"/>
        </w:rPr>
        <w:t>乐山市五通桥区人民政府办公室</w:t>
      </w:r>
    </w:p>
    <w:p w14:paraId="28966365">
      <w:pPr>
        <w:pStyle w:val="2"/>
        <w:keepNext w:val="0"/>
        <w:keepLines w:val="0"/>
        <w:pageBreakBefore w:val="0"/>
        <w:widowControl w:val="0"/>
        <w:kinsoku/>
        <w:wordWrap/>
        <w:overflowPunct/>
        <w:topLinePunct w:val="0"/>
        <w:autoSpaceDE w:val="0"/>
        <w:autoSpaceDN w:val="0"/>
        <w:bidi w:val="0"/>
        <w:adjustRightInd/>
        <w:snapToGrid/>
        <w:spacing w:line="800" w:lineRule="exact"/>
        <w:jc w:val="center"/>
        <w:textAlignment w:val="auto"/>
        <w:rPr>
          <w:rFonts w:hint="default" w:ascii="宋体" w:hAnsi="宋体" w:eastAsia="方正小标宋简体" w:cs="方正小标宋简体"/>
          <w:b w:val="0"/>
          <w:bCs w:val="0"/>
          <w:sz w:val="52"/>
          <w:szCs w:val="52"/>
          <w:shd w:val="clear" w:color="auto" w:fill="auto"/>
          <w:lang w:val="en-US" w:eastAsia="zh-CN"/>
        </w:rPr>
      </w:pPr>
      <w:r>
        <w:rPr>
          <w:rFonts w:hint="eastAsia" w:ascii="宋体" w:hAnsi="宋体" w:eastAsia="方正小标宋简体" w:cs="方正小标宋简体"/>
          <w:b w:val="0"/>
          <w:bCs w:val="0"/>
          <w:sz w:val="52"/>
          <w:szCs w:val="52"/>
          <w:shd w:val="clear" w:color="auto" w:fill="auto"/>
          <w:lang w:val="en-US" w:eastAsia="zh-CN"/>
        </w:rPr>
        <w:t>2026年部门预算编制说明</w:t>
      </w:r>
    </w:p>
    <w:p w14:paraId="562407A4">
      <w:pPr>
        <w:pStyle w:val="2"/>
        <w:keepNext w:val="0"/>
        <w:keepLines w:val="0"/>
        <w:pageBreakBefore w:val="0"/>
        <w:widowControl w:val="0"/>
        <w:kinsoku/>
        <w:wordWrap/>
        <w:overflowPunct/>
        <w:topLinePunct w:val="0"/>
        <w:autoSpaceDE w:val="0"/>
        <w:autoSpaceDN w:val="0"/>
        <w:bidi w:val="0"/>
        <w:adjustRightInd/>
        <w:snapToGrid/>
        <w:spacing w:line="800" w:lineRule="exact"/>
        <w:jc w:val="center"/>
        <w:textAlignment w:val="auto"/>
        <w:rPr>
          <w:rFonts w:hint="eastAsia" w:ascii="宋体" w:hAnsi="宋体" w:eastAsia="方正小标宋简体" w:cs="方正小标宋简体"/>
          <w:b w:val="0"/>
          <w:bCs w:val="0"/>
          <w:color w:val="auto"/>
          <w:sz w:val="52"/>
          <w:szCs w:val="52"/>
          <w:highlight w:val="yellow"/>
          <w:shd w:val="clear" w:color="FFFFFF" w:fill="D9D9D9"/>
          <w:lang w:val="en-US" w:eastAsia="zh-CN"/>
        </w:rPr>
      </w:pPr>
      <w:r>
        <w:rPr>
          <w:rFonts w:hint="eastAsia" w:ascii="宋体" w:hAnsi="宋体" w:eastAsia="方正小标宋简体" w:cs="方正小标宋简体"/>
          <w:b w:val="0"/>
          <w:bCs w:val="0"/>
          <w:color w:val="auto"/>
          <w:sz w:val="52"/>
          <w:szCs w:val="52"/>
          <w:highlight w:val="yellow"/>
          <w:shd w:val="clear" w:color="FFFFFF" w:fill="D9D9D9"/>
          <w:lang w:val="en-US" w:eastAsia="zh-CN"/>
        </w:rPr>
        <w:t>（报告范围包括机关和下属单位）</w:t>
      </w:r>
    </w:p>
    <w:p w14:paraId="40E1B21F">
      <w:pPr>
        <w:spacing w:after="0"/>
        <w:rPr>
          <w:rFonts w:ascii="宋体" w:hAnsi="宋体"/>
        </w:rPr>
      </w:pPr>
    </w:p>
    <w:p w14:paraId="5D690CBB">
      <w:pPr>
        <w:rPr>
          <w:rFonts w:ascii="宋体" w:hAnsi="宋体"/>
          <w:sz w:val="4"/>
        </w:rPr>
        <w:sectPr>
          <w:headerReference r:id="rId5" w:type="default"/>
          <w:pgSz w:w="11910" w:h="16840"/>
          <w:pgMar w:top="1587" w:right="964" w:bottom="1701" w:left="1134" w:header="737" w:footer="737" w:gutter="0"/>
          <w:pgNumType w:fmt="decimal" w:start="1"/>
          <w:cols w:space="0" w:num="1"/>
          <w:rtlGutter w:val="0"/>
          <w:docGrid w:linePitch="0" w:charSpace="0"/>
        </w:sectPr>
      </w:pPr>
    </w:p>
    <w:p w14:paraId="65F305B8">
      <w:pPr>
        <w:rPr>
          <w:rFonts w:ascii="宋体" w:hAnsi="宋体"/>
          <w:sz w:val="4"/>
        </w:rPr>
      </w:pPr>
    </w:p>
    <w:p w14:paraId="10EB5EA3">
      <w:pPr>
        <w:pStyle w:val="2"/>
        <w:spacing w:before="2"/>
        <w:rPr>
          <w:rFonts w:ascii="宋体" w:hAnsi="宋体"/>
          <w:sz w:val="4"/>
        </w:rPr>
      </w:pPr>
    </w:p>
    <w:p w14:paraId="1D148278">
      <w:pPr>
        <w:pStyle w:val="2"/>
        <w:tabs>
          <w:tab w:val="left" w:pos="4798"/>
        </w:tabs>
        <w:jc w:val="center"/>
        <w:rPr>
          <w:rFonts w:hint="eastAsia" w:ascii="宋体" w:hAnsi="宋体" w:eastAsia="方正小标宋简体" w:cs="方正小标宋简体"/>
          <w:b/>
          <w:bCs/>
          <w:sz w:val="48"/>
          <w:szCs w:val="48"/>
          <w:lang w:val="en-US" w:eastAsia="zh-CN"/>
        </w:rPr>
      </w:pPr>
      <w:r>
        <w:rPr>
          <w:rFonts w:hint="eastAsia" w:ascii="宋体" w:hAnsi="宋体" w:eastAsia="方正小标宋简体" w:cs="方正小标宋简体"/>
          <w:b/>
          <w:bCs/>
          <w:sz w:val="48"/>
          <w:szCs w:val="48"/>
          <w:lang w:val="en-US" w:eastAsia="zh-CN"/>
        </w:rPr>
        <w:t>目  录</w:t>
      </w:r>
    </w:p>
    <w:sdt>
      <w:sdtPr>
        <w:rPr>
          <w:rFonts w:ascii="宋体" w:hAnsi="宋体" w:eastAsia="宋体" w:cs="宋体"/>
          <w:sz w:val="21"/>
          <w:szCs w:val="22"/>
          <w:lang w:val="zh-CN" w:eastAsia="zh-CN" w:bidi="zh-CN"/>
        </w:rPr>
        <w:id w:val="147453385"/>
        <w15:color w:val="DBDBDB"/>
        <w:docPartObj>
          <w:docPartGallery w:val="Table of Contents"/>
          <w:docPartUnique/>
        </w:docPartObj>
      </w:sdtPr>
      <w:sdtEndPr>
        <w:rPr>
          <w:rFonts w:hint="eastAsia" w:ascii="宋体" w:hAnsi="宋体" w:eastAsia="方正小标宋简体" w:cs="方正小标宋简体"/>
          <w:bCs/>
          <w:sz w:val="32"/>
          <w:szCs w:val="48"/>
          <w:lang w:val="en-US" w:eastAsia="zh-CN" w:bidi="zh-CN"/>
        </w:rPr>
      </w:sdtEndPr>
      <w:sdtContent>
        <w:p w14:paraId="38310798">
          <w:pPr>
            <w:spacing w:before="0" w:beforeLines="0" w:after="0" w:afterLines="0" w:line="240" w:lineRule="auto"/>
            <w:ind w:left="0" w:leftChars="0" w:right="0" w:rightChars="0" w:firstLine="0" w:firstLineChars="0"/>
            <w:jc w:val="center"/>
            <w:rPr>
              <w:rFonts w:ascii="宋体" w:hAnsi="宋体"/>
            </w:rPr>
          </w:pPr>
        </w:p>
        <w:p w14:paraId="669BBCC4">
          <w:pPr>
            <w:pStyle w:val="9"/>
            <w:tabs>
              <w:tab w:val="right" w:leader="dot" w:pos="9812"/>
            </w:tabs>
            <w:rPr>
              <w:sz w:val="30"/>
              <w:szCs w:val="30"/>
            </w:rPr>
          </w:pPr>
          <w:r>
            <w:rPr>
              <w:rFonts w:hint="eastAsia" w:ascii="宋体" w:hAnsi="宋体" w:eastAsia="方正小标宋简体" w:cs="方正小标宋简体"/>
              <w:b/>
              <w:bCs/>
              <w:sz w:val="48"/>
              <w:szCs w:val="48"/>
              <w:lang w:val="en-US" w:eastAsia="zh-CN"/>
            </w:rPr>
            <w:fldChar w:fldCharType="begin"/>
          </w:r>
          <w:r>
            <w:rPr>
              <w:rFonts w:hint="eastAsia" w:ascii="宋体" w:hAnsi="宋体" w:eastAsia="方正小标宋简体" w:cs="方正小标宋简体"/>
              <w:b/>
              <w:bCs/>
              <w:sz w:val="48"/>
              <w:szCs w:val="48"/>
              <w:lang w:val="en-US" w:eastAsia="zh-CN"/>
            </w:rPr>
            <w:instrText xml:space="preserve">TOC \o "1-3" \h \u </w:instrText>
          </w:r>
          <w:r>
            <w:rPr>
              <w:rFonts w:hint="eastAsia" w:ascii="宋体" w:hAnsi="宋体" w:eastAsia="方正小标宋简体" w:cs="方正小标宋简体"/>
              <w:b/>
              <w:bCs/>
              <w:sz w:val="48"/>
              <w:szCs w:val="48"/>
              <w:lang w:val="en-US" w:eastAsia="zh-CN"/>
            </w:rPr>
            <w:fldChar w:fldCharType="separate"/>
          </w: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_Toc4421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方正小标宋简体" w:cs="方正小标宋简体"/>
              <w:bCs/>
              <w:sz w:val="30"/>
              <w:szCs w:val="30"/>
              <w:lang w:val="en-US" w:eastAsia="zh-CN"/>
            </w:rPr>
            <w:t>第一部分 部门概况</w:t>
          </w:r>
          <w:r>
            <w:rPr>
              <w:sz w:val="30"/>
              <w:szCs w:val="30"/>
            </w:rPr>
            <w:tab/>
          </w:r>
          <w:r>
            <w:rPr>
              <w:sz w:val="30"/>
              <w:szCs w:val="30"/>
            </w:rPr>
            <w:fldChar w:fldCharType="begin"/>
          </w:r>
          <w:r>
            <w:rPr>
              <w:sz w:val="30"/>
              <w:szCs w:val="30"/>
            </w:rPr>
            <w:instrText xml:space="preserve"> PAGEREF _Toc4421 \h </w:instrText>
          </w:r>
          <w:r>
            <w:rPr>
              <w:sz w:val="30"/>
              <w:szCs w:val="30"/>
            </w:rPr>
            <w:fldChar w:fldCharType="separate"/>
          </w:r>
          <w:r>
            <w:rPr>
              <w:sz w:val="30"/>
              <w:szCs w:val="30"/>
            </w:rPr>
            <w:t>1</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100D4430">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_Toc15794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一、基本职能及主要工作</w:t>
          </w:r>
          <w:r>
            <w:rPr>
              <w:sz w:val="30"/>
              <w:szCs w:val="30"/>
            </w:rPr>
            <w:tab/>
          </w:r>
          <w:r>
            <w:rPr>
              <w:rFonts w:hint="eastAsia"/>
              <w:sz w:val="30"/>
              <w:szCs w:val="30"/>
              <w:lang w:val="en-US" w:eastAsia="zh-CN"/>
            </w:rPr>
            <w:t>1</w:t>
          </w:r>
          <w:r>
            <w:rPr>
              <w:rFonts w:hint="eastAsia" w:ascii="宋体" w:hAnsi="宋体" w:eastAsia="方正小标宋简体" w:cs="方正小标宋简体"/>
              <w:bCs/>
              <w:sz w:val="30"/>
              <w:szCs w:val="30"/>
              <w:lang w:val="en-US" w:eastAsia="zh-CN"/>
            </w:rPr>
            <w:fldChar w:fldCharType="end"/>
          </w:r>
        </w:p>
        <w:p w14:paraId="591F4EB8">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_Toc7055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（一）部门职能简介</w:t>
          </w:r>
          <w:r>
            <w:rPr>
              <w:sz w:val="30"/>
              <w:szCs w:val="30"/>
            </w:rPr>
            <w:tab/>
          </w:r>
          <w:r>
            <w:rPr>
              <w:rFonts w:hint="eastAsia"/>
              <w:sz w:val="30"/>
              <w:szCs w:val="30"/>
              <w:lang w:val="en-US" w:eastAsia="zh-CN"/>
            </w:rPr>
            <w:t>1</w:t>
          </w:r>
          <w:r>
            <w:rPr>
              <w:rFonts w:hint="eastAsia" w:ascii="宋体" w:hAnsi="宋体" w:eastAsia="方正小标宋简体" w:cs="方正小标宋简体"/>
              <w:bCs/>
              <w:sz w:val="30"/>
              <w:szCs w:val="30"/>
              <w:lang w:val="en-US" w:eastAsia="zh-CN"/>
            </w:rPr>
            <w:fldChar w:fldCharType="end"/>
          </w:r>
        </w:p>
        <w:p w14:paraId="636C6F30">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_Toc6714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（二）部门</w:t>
          </w:r>
          <w:r>
            <w:rPr>
              <w:rFonts w:hint="eastAsia" w:ascii="宋体" w:hAnsi="宋体"/>
              <w:sz w:val="30"/>
              <w:szCs w:val="30"/>
              <w:lang w:val="en-US" w:eastAsia="zh-CN"/>
            </w:rPr>
            <w:t>202</w:t>
          </w:r>
          <w:r>
            <w:rPr>
              <w:rFonts w:hint="eastAsia"/>
              <w:sz w:val="30"/>
              <w:szCs w:val="30"/>
              <w:lang w:val="en-US" w:eastAsia="zh-CN"/>
            </w:rPr>
            <w:t>6</w:t>
          </w:r>
          <w:r>
            <w:rPr>
              <w:rFonts w:ascii="宋体" w:hAnsi="宋体"/>
              <w:sz w:val="30"/>
              <w:szCs w:val="30"/>
            </w:rPr>
            <w:t>年重点工</w:t>
          </w:r>
          <w:r>
            <w:rPr>
              <w:rFonts w:hint="eastAsia" w:ascii="宋体" w:hAnsi="宋体"/>
              <w:sz w:val="30"/>
              <w:szCs w:val="30"/>
            </w:rPr>
            <w:t>作</w:t>
          </w:r>
          <w:r>
            <w:rPr>
              <w:sz w:val="30"/>
              <w:szCs w:val="30"/>
            </w:rPr>
            <w:tab/>
          </w:r>
          <w:r>
            <w:rPr>
              <w:sz w:val="30"/>
              <w:szCs w:val="30"/>
            </w:rPr>
            <w:fldChar w:fldCharType="begin"/>
          </w:r>
          <w:r>
            <w:rPr>
              <w:sz w:val="30"/>
              <w:szCs w:val="30"/>
            </w:rPr>
            <w:instrText xml:space="preserve"> PAGEREF _Toc6714 \h </w:instrText>
          </w:r>
          <w:r>
            <w:rPr>
              <w:sz w:val="30"/>
              <w:szCs w:val="30"/>
            </w:rPr>
            <w:fldChar w:fldCharType="separate"/>
          </w:r>
          <w:r>
            <w:rPr>
              <w:sz w:val="30"/>
              <w:szCs w:val="30"/>
            </w:rPr>
            <w:t>2</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5338F7CD">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_Toc20578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二、部门预算单位构成</w:t>
          </w:r>
          <w:r>
            <w:rPr>
              <w:sz w:val="30"/>
              <w:szCs w:val="30"/>
            </w:rPr>
            <w:tab/>
          </w:r>
          <w:r>
            <w:rPr>
              <w:sz w:val="30"/>
              <w:szCs w:val="30"/>
            </w:rPr>
            <w:fldChar w:fldCharType="begin"/>
          </w:r>
          <w:r>
            <w:rPr>
              <w:sz w:val="30"/>
              <w:szCs w:val="30"/>
            </w:rPr>
            <w:instrText xml:space="preserve"> PAGEREF _Toc20578 \h </w:instrText>
          </w:r>
          <w:r>
            <w:rPr>
              <w:sz w:val="30"/>
              <w:szCs w:val="30"/>
            </w:rPr>
            <w:fldChar w:fldCharType="separate"/>
          </w:r>
          <w:r>
            <w:rPr>
              <w:sz w:val="30"/>
              <w:szCs w:val="30"/>
            </w:rPr>
            <w:t>2</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DCFFC13">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_Toc26270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方正小标宋简体" w:cs="方正小标宋简体"/>
              <w:bCs/>
              <w:sz w:val="30"/>
              <w:szCs w:val="30"/>
              <w:lang w:val="en-US" w:eastAsia="zh-CN"/>
            </w:rPr>
            <w:t xml:space="preserve">第二部分 </w:t>
          </w:r>
          <w:r>
            <w:rPr>
              <w:rFonts w:hint="eastAsia" w:eastAsia="方正小标宋简体" w:cs="方正小标宋简体"/>
              <w:bCs/>
              <w:sz w:val="30"/>
              <w:szCs w:val="30"/>
              <w:lang w:val="en-US" w:eastAsia="zh-CN"/>
            </w:rPr>
            <w:t xml:space="preserve"> </w:t>
          </w:r>
          <w:r>
            <w:rPr>
              <w:rFonts w:hint="eastAsia" w:ascii="宋体" w:hAnsi="宋体" w:eastAsia="方正小标宋简体" w:cs="方正小标宋简体"/>
              <w:bCs/>
              <w:sz w:val="32"/>
              <w:szCs w:val="32"/>
            </w:rPr>
            <w:t>乐山市五通桥区人民政府办公室</w:t>
          </w:r>
          <w:r>
            <w:rPr>
              <w:rFonts w:hint="eastAsia" w:ascii="宋体" w:hAnsi="宋体" w:eastAsia="方正小标宋简体" w:cs="方正小标宋简体"/>
              <w:bCs/>
              <w:sz w:val="30"/>
              <w:szCs w:val="30"/>
              <w:lang w:val="en-US" w:eastAsia="zh-CN"/>
            </w:rPr>
            <w:t>202</w:t>
          </w:r>
          <w:r>
            <w:rPr>
              <w:rFonts w:hint="eastAsia" w:eastAsia="方正小标宋简体" w:cs="方正小标宋简体"/>
              <w:bCs/>
              <w:sz w:val="30"/>
              <w:szCs w:val="30"/>
              <w:lang w:val="en-US" w:eastAsia="zh-CN"/>
            </w:rPr>
            <w:t>6</w:t>
          </w:r>
          <w:r>
            <w:rPr>
              <w:rFonts w:hint="eastAsia" w:ascii="宋体" w:hAnsi="宋体" w:eastAsia="方正小标宋简体" w:cs="方正小标宋简体"/>
              <w:bCs/>
              <w:sz w:val="30"/>
              <w:szCs w:val="30"/>
              <w:lang w:val="en-US" w:eastAsia="zh-CN"/>
            </w:rPr>
            <w:t>年部门预算表</w:t>
          </w:r>
          <w:r>
            <w:rPr>
              <w:sz w:val="30"/>
              <w:szCs w:val="30"/>
            </w:rPr>
            <w:tab/>
          </w:r>
          <w:r>
            <w:rPr>
              <w:sz w:val="30"/>
              <w:szCs w:val="30"/>
            </w:rPr>
            <w:fldChar w:fldCharType="begin"/>
          </w:r>
          <w:r>
            <w:rPr>
              <w:sz w:val="30"/>
              <w:szCs w:val="30"/>
            </w:rPr>
            <w:instrText xml:space="preserve"> PAGEREF _Toc26270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515F91A0">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_Toc19525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一、收支预算总表（收支总表1）</w:t>
          </w:r>
          <w:r>
            <w:rPr>
              <w:sz w:val="30"/>
              <w:szCs w:val="30"/>
            </w:rPr>
            <w:tab/>
          </w:r>
          <w:r>
            <w:rPr>
              <w:sz w:val="30"/>
              <w:szCs w:val="30"/>
            </w:rPr>
            <w:fldChar w:fldCharType="begin"/>
          </w:r>
          <w:r>
            <w:rPr>
              <w:sz w:val="30"/>
              <w:szCs w:val="30"/>
            </w:rPr>
            <w:instrText xml:space="preserve"> PAGEREF _Toc19525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B3E7044">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_Toc27375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二、收入预算总表（收入总表2）</w:t>
          </w:r>
          <w:r>
            <w:rPr>
              <w:sz w:val="30"/>
              <w:szCs w:val="30"/>
            </w:rPr>
            <w:tab/>
          </w:r>
          <w:r>
            <w:rPr>
              <w:sz w:val="30"/>
              <w:szCs w:val="30"/>
            </w:rPr>
            <w:fldChar w:fldCharType="begin"/>
          </w:r>
          <w:r>
            <w:rPr>
              <w:sz w:val="30"/>
              <w:szCs w:val="30"/>
            </w:rPr>
            <w:instrText xml:space="preserve"> PAGEREF _Toc27375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1CFD46E9">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_Toc1535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三、征收预期表（征收预期3）</w:t>
          </w:r>
          <w:r>
            <w:rPr>
              <w:sz w:val="30"/>
              <w:szCs w:val="30"/>
            </w:rPr>
            <w:tab/>
          </w:r>
          <w:r>
            <w:rPr>
              <w:sz w:val="30"/>
              <w:szCs w:val="30"/>
            </w:rPr>
            <w:fldChar w:fldCharType="begin"/>
          </w:r>
          <w:r>
            <w:rPr>
              <w:sz w:val="30"/>
              <w:szCs w:val="30"/>
            </w:rPr>
            <w:instrText xml:space="preserve"> PAGEREF _Toc1535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28B7F80D">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_Toc24022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四、支出预算总表（支出总表4）</w:t>
          </w:r>
          <w:r>
            <w:rPr>
              <w:sz w:val="30"/>
              <w:szCs w:val="30"/>
            </w:rPr>
            <w:tab/>
          </w:r>
          <w:r>
            <w:rPr>
              <w:sz w:val="30"/>
              <w:szCs w:val="30"/>
            </w:rPr>
            <w:fldChar w:fldCharType="begin"/>
          </w:r>
          <w:r>
            <w:rPr>
              <w:sz w:val="30"/>
              <w:szCs w:val="30"/>
            </w:rPr>
            <w:instrText xml:space="preserve"> PAGEREF _Toc24022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EF34040">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_Toc28846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五、财政拨款预算总表（财拨总表5）</w:t>
          </w:r>
          <w:r>
            <w:rPr>
              <w:sz w:val="30"/>
              <w:szCs w:val="30"/>
            </w:rPr>
            <w:tab/>
          </w:r>
          <w:r>
            <w:rPr>
              <w:sz w:val="30"/>
              <w:szCs w:val="30"/>
            </w:rPr>
            <w:fldChar w:fldCharType="begin"/>
          </w:r>
          <w:r>
            <w:rPr>
              <w:sz w:val="30"/>
              <w:szCs w:val="30"/>
            </w:rPr>
            <w:instrText xml:space="preserve"> PAGEREF _Toc28846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5558F1EC">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_Toc26817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六、一般公共预算支出表（一般预算支出6）</w:t>
          </w:r>
          <w:r>
            <w:rPr>
              <w:sz w:val="30"/>
              <w:szCs w:val="30"/>
            </w:rPr>
            <w:tab/>
          </w:r>
          <w:r>
            <w:rPr>
              <w:sz w:val="30"/>
              <w:szCs w:val="30"/>
            </w:rPr>
            <w:fldChar w:fldCharType="begin"/>
          </w:r>
          <w:r>
            <w:rPr>
              <w:sz w:val="30"/>
              <w:szCs w:val="30"/>
            </w:rPr>
            <w:instrText xml:space="preserve"> PAGEREF _Toc26817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67F83959">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_Toc12197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七、一般公共预算基本支出表（基本支出7）</w:t>
          </w:r>
          <w:r>
            <w:rPr>
              <w:sz w:val="30"/>
              <w:szCs w:val="30"/>
            </w:rPr>
            <w:tab/>
          </w:r>
          <w:r>
            <w:rPr>
              <w:sz w:val="30"/>
              <w:szCs w:val="30"/>
            </w:rPr>
            <w:fldChar w:fldCharType="begin"/>
          </w:r>
          <w:r>
            <w:rPr>
              <w:sz w:val="30"/>
              <w:szCs w:val="30"/>
            </w:rPr>
            <w:instrText xml:space="preserve"> PAGEREF _Toc12197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0362ABDD">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_Toc19152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八、一般公共预算“三公”经费支出预算表（三公8）</w:t>
          </w:r>
          <w:r>
            <w:rPr>
              <w:sz w:val="30"/>
              <w:szCs w:val="30"/>
            </w:rPr>
            <w:tab/>
          </w:r>
          <w:r>
            <w:rPr>
              <w:sz w:val="30"/>
              <w:szCs w:val="30"/>
            </w:rPr>
            <w:fldChar w:fldCharType="begin"/>
          </w:r>
          <w:r>
            <w:rPr>
              <w:sz w:val="30"/>
              <w:szCs w:val="30"/>
            </w:rPr>
            <w:instrText xml:space="preserve"> PAGEREF _Toc19152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0D94BBA8">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_Toc29240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九、政府性基金预算支出表（基金9）</w:t>
          </w:r>
          <w:r>
            <w:rPr>
              <w:sz w:val="30"/>
              <w:szCs w:val="30"/>
            </w:rPr>
            <w:tab/>
          </w:r>
          <w:r>
            <w:rPr>
              <w:sz w:val="30"/>
              <w:szCs w:val="30"/>
            </w:rPr>
            <w:fldChar w:fldCharType="begin"/>
          </w:r>
          <w:r>
            <w:rPr>
              <w:sz w:val="30"/>
              <w:szCs w:val="30"/>
            </w:rPr>
            <w:instrText xml:space="preserve"> PAGEREF _Toc29240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12F5DF1F">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_Toc30708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十、国有资本经营预算支出表（国资10）</w:t>
          </w:r>
          <w:r>
            <w:rPr>
              <w:sz w:val="30"/>
              <w:szCs w:val="30"/>
            </w:rPr>
            <w:tab/>
          </w:r>
          <w:r>
            <w:rPr>
              <w:sz w:val="30"/>
              <w:szCs w:val="30"/>
            </w:rPr>
            <w:fldChar w:fldCharType="begin"/>
          </w:r>
          <w:r>
            <w:rPr>
              <w:sz w:val="30"/>
              <w:szCs w:val="30"/>
            </w:rPr>
            <w:instrText xml:space="preserve"> PAGEREF _Toc30708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A628378">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_Toc32474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十一、支出功能分类预算表（支出功能11）</w:t>
          </w:r>
          <w:r>
            <w:rPr>
              <w:sz w:val="30"/>
              <w:szCs w:val="30"/>
            </w:rPr>
            <w:tab/>
          </w:r>
          <w:r>
            <w:rPr>
              <w:sz w:val="30"/>
              <w:szCs w:val="30"/>
            </w:rPr>
            <w:fldChar w:fldCharType="begin"/>
          </w:r>
          <w:r>
            <w:rPr>
              <w:sz w:val="30"/>
              <w:szCs w:val="30"/>
            </w:rPr>
            <w:instrText xml:space="preserve"> PAGEREF _Toc32474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FC31AD6">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_Toc15884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十二、支出经济分类预算表（支出经济分类12）</w:t>
          </w:r>
          <w:r>
            <w:rPr>
              <w:sz w:val="30"/>
              <w:szCs w:val="30"/>
            </w:rPr>
            <w:tab/>
          </w:r>
          <w:r>
            <w:rPr>
              <w:sz w:val="30"/>
              <w:szCs w:val="30"/>
            </w:rPr>
            <w:fldChar w:fldCharType="begin"/>
          </w:r>
          <w:r>
            <w:rPr>
              <w:sz w:val="30"/>
              <w:szCs w:val="30"/>
            </w:rPr>
            <w:instrText xml:space="preserve"> PAGEREF _Toc15884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CD3AFF5">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_Toc28730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十三、上级资金安排情况表（上级资金安排13）</w:t>
          </w:r>
          <w:r>
            <w:rPr>
              <w:sz w:val="30"/>
              <w:szCs w:val="30"/>
            </w:rPr>
            <w:tab/>
          </w:r>
          <w:r>
            <w:rPr>
              <w:sz w:val="30"/>
              <w:szCs w:val="30"/>
            </w:rPr>
            <w:fldChar w:fldCharType="begin"/>
          </w:r>
          <w:r>
            <w:rPr>
              <w:sz w:val="30"/>
              <w:szCs w:val="30"/>
            </w:rPr>
            <w:instrText xml:space="preserve"> PAGEREF _Toc28730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60CDCC8D">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_Toc2069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十四、项目支出表（项目支出14）</w:t>
          </w:r>
          <w:r>
            <w:rPr>
              <w:sz w:val="30"/>
              <w:szCs w:val="30"/>
            </w:rPr>
            <w:tab/>
          </w:r>
          <w:r>
            <w:rPr>
              <w:sz w:val="30"/>
              <w:szCs w:val="30"/>
            </w:rPr>
            <w:fldChar w:fldCharType="begin"/>
          </w:r>
          <w:r>
            <w:rPr>
              <w:sz w:val="30"/>
              <w:szCs w:val="30"/>
            </w:rPr>
            <w:instrText xml:space="preserve"> PAGEREF _Toc2069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E82D477">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_Toc31813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十六、政府购买服务预算表（购买服务16）</w:t>
          </w:r>
          <w:r>
            <w:rPr>
              <w:sz w:val="30"/>
              <w:szCs w:val="30"/>
            </w:rPr>
            <w:tab/>
          </w:r>
          <w:r>
            <w:rPr>
              <w:sz w:val="30"/>
              <w:szCs w:val="30"/>
            </w:rPr>
            <w:fldChar w:fldCharType="begin"/>
          </w:r>
          <w:r>
            <w:rPr>
              <w:sz w:val="30"/>
              <w:szCs w:val="30"/>
            </w:rPr>
            <w:instrText xml:space="preserve"> PAGEREF _Toc31813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5FD00765">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_Toc22434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十七、采购需求表（采购需求表17）</w:t>
          </w:r>
          <w:r>
            <w:rPr>
              <w:sz w:val="30"/>
              <w:szCs w:val="30"/>
            </w:rPr>
            <w:tab/>
          </w:r>
          <w:r>
            <w:rPr>
              <w:sz w:val="30"/>
              <w:szCs w:val="30"/>
            </w:rPr>
            <w:fldChar w:fldCharType="begin"/>
          </w:r>
          <w:r>
            <w:rPr>
              <w:sz w:val="30"/>
              <w:szCs w:val="30"/>
            </w:rPr>
            <w:instrText xml:space="preserve"> PAGEREF _Toc22434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200DB612">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_Toc7220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十八、国有资产配置预算表（资产18）</w:t>
          </w:r>
          <w:r>
            <w:rPr>
              <w:sz w:val="30"/>
              <w:szCs w:val="30"/>
            </w:rPr>
            <w:tab/>
          </w:r>
          <w:r>
            <w:rPr>
              <w:sz w:val="30"/>
              <w:szCs w:val="30"/>
            </w:rPr>
            <w:fldChar w:fldCharType="begin"/>
          </w:r>
          <w:r>
            <w:rPr>
              <w:sz w:val="30"/>
              <w:szCs w:val="30"/>
            </w:rPr>
            <w:instrText xml:space="preserve"> PAGEREF _Toc7220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0FE068D6">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_Toc3888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十九、项目支出绩效表（项目绩效19）</w:t>
          </w:r>
          <w:r>
            <w:rPr>
              <w:sz w:val="30"/>
              <w:szCs w:val="30"/>
            </w:rPr>
            <w:tab/>
          </w:r>
          <w:r>
            <w:rPr>
              <w:sz w:val="30"/>
              <w:szCs w:val="30"/>
            </w:rPr>
            <w:fldChar w:fldCharType="begin"/>
          </w:r>
          <w:r>
            <w:rPr>
              <w:sz w:val="30"/>
              <w:szCs w:val="30"/>
            </w:rPr>
            <w:instrText xml:space="preserve"> PAGEREF _Toc3888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6A6C613">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_Toc26130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二十、部门绩效表（部门绩效20）</w:t>
          </w:r>
          <w:r>
            <w:rPr>
              <w:sz w:val="30"/>
              <w:szCs w:val="30"/>
            </w:rPr>
            <w:tab/>
          </w:r>
          <w:r>
            <w:rPr>
              <w:sz w:val="30"/>
              <w:szCs w:val="30"/>
            </w:rPr>
            <w:fldChar w:fldCharType="begin"/>
          </w:r>
          <w:r>
            <w:rPr>
              <w:sz w:val="30"/>
              <w:szCs w:val="30"/>
            </w:rPr>
            <w:instrText xml:space="preserve"> PAGEREF _Toc26130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146A8B7">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_Toc15389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二十一、年初政府采购项目预算表（政府采购项目预算表21）</w:t>
          </w:r>
          <w:r>
            <w:rPr>
              <w:sz w:val="30"/>
              <w:szCs w:val="30"/>
            </w:rPr>
            <w:tab/>
          </w:r>
          <w:r>
            <w:rPr>
              <w:sz w:val="30"/>
              <w:szCs w:val="30"/>
            </w:rPr>
            <w:fldChar w:fldCharType="begin"/>
          </w:r>
          <w:r>
            <w:rPr>
              <w:sz w:val="30"/>
              <w:szCs w:val="30"/>
            </w:rPr>
            <w:instrText xml:space="preserve"> PAGEREF _Toc15389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17B56C37">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_Toc11097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二十二、202</w:t>
          </w:r>
          <w:r>
            <w:rPr>
              <w:rFonts w:hint="eastAsia"/>
              <w:sz w:val="30"/>
              <w:szCs w:val="30"/>
              <w:lang w:val="en-US" w:eastAsia="zh-CN"/>
            </w:rPr>
            <w:t>6</w:t>
          </w:r>
          <w:r>
            <w:rPr>
              <w:rFonts w:hint="eastAsia" w:ascii="宋体" w:hAnsi="宋体"/>
              <w:sz w:val="30"/>
              <w:szCs w:val="30"/>
              <w:lang w:val="en-US" w:eastAsia="zh-CN"/>
            </w:rPr>
            <w:t>-202</w:t>
          </w:r>
          <w:r>
            <w:rPr>
              <w:rFonts w:hint="eastAsia"/>
              <w:sz w:val="30"/>
              <w:szCs w:val="30"/>
              <w:lang w:val="en-US" w:eastAsia="zh-CN"/>
            </w:rPr>
            <w:t>8</w:t>
          </w:r>
          <w:r>
            <w:rPr>
              <w:rFonts w:hint="eastAsia" w:ascii="宋体" w:hAnsi="宋体"/>
              <w:sz w:val="30"/>
              <w:szCs w:val="30"/>
              <w:lang w:val="en-US" w:eastAsia="zh-CN"/>
            </w:rPr>
            <w:t>年支出计划总表（三年计划总表22）</w:t>
          </w:r>
          <w:r>
            <w:rPr>
              <w:sz w:val="30"/>
              <w:szCs w:val="30"/>
            </w:rPr>
            <w:tab/>
          </w:r>
          <w:r>
            <w:rPr>
              <w:sz w:val="30"/>
              <w:szCs w:val="30"/>
            </w:rPr>
            <w:fldChar w:fldCharType="begin"/>
          </w:r>
          <w:r>
            <w:rPr>
              <w:sz w:val="30"/>
              <w:szCs w:val="30"/>
            </w:rPr>
            <w:instrText xml:space="preserve"> PAGEREF _Toc11097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3E82CE88">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_Toc17731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二十三、202</w:t>
          </w:r>
          <w:r>
            <w:rPr>
              <w:rFonts w:hint="eastAsia"/>
              <w:sz w:val="30"/>
              <w:szCs w:val="30"/>
              <w:lang w:val="en-US" w:eastAsia="zh-CN"/>
            </w:rPr>
            <w:t>6</w:t>
          </w:r>
          <w:r>
            <w:rPr>
              <w:rFonts w:hint="eastAsia" w:ascii="宋体" w:hAnsi="宋体"/>
              <w:sz w:val="30"/>
              <w:szCs w:val="30"/>
              <w:lang w:val="en-US" w:eastAsia="zh-CN"/>
            </w:rPr>
            <w:t>-202</w:t>
          </w:r>
          <w:r>
            <w:rPr>
              <w:rFonts w:hint="eastAsia"/>
              <w:sz w:val="30"/>
              <w:szCs w:val="30"/>
              <w:lang w:val="en-US" w:eastAsia="zh-CN"/>
            </w:rPr>
            <w:t>8</w:t>
          </w:r>
          <w:r>
            <w:rPr>
              <w:rFonts w:hint="eastAsia" w:ascii="宋体" w:hAnsi="宋体"/>
              <w:sz w:val="30"/>
              <w:szCs w:val="30"/>
              <w:lang w:val="en-US" w:eastAsia="zh-CN"/>
            </w:rPr>
            <w:t>年支出计划明细表（三年计划明细表23）</w:t>
          </w:r>
          <w:r>
            <w:rPr>
              <w:sz w:val="30"/>
              <w:szCs w:val="30"/>
            </w:rPr>
            <w:tab/>
          </w:r>
          <w:r>
            <w:rPr>
              <w:sz w:val="30"/>
              <w:szCs w:val="30"/>
            </w:rPr>
            <w:fldChar w:fldCharType="begin"/>
          </w:r>
          <w:r>
            <w:rPr>
              <w:sz w:val="30"/>
              <w:szCs w:val="30"/>
            </w:rPr>
            <w:instrText xml:space="preserve"> PAGEREF _Toc17731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00087DB8">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_Toc19864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二十四、人员和车辆基本情况表（人员24）</w:t>
          </w:r>
          <w:r>
            <w:rPr>
              <w:sz w:val="30"/>
              <w:szCs w:val="30"/>
            </w:rPr>
            <w:tab/>
          </w:r>
          <w:r>
            <w:rPr>
              <w:sz w:val="30"/>
              <w:szCs w:val="30"/>
            </w:rPr>
            <w:fldChar w:fldCharType="begin"/>
          </w:r>
          <w:r>
            <w:rPr>
              <w:sz w:val="30"/>
              <w:szCs w:val="30"/>
            </w:rPr>
            <w:instrText xml:space="preserve"> PAGEREF _Toc19864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4E511C50">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_Toc19339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bCs/>
              <w:sz w:val="30"/>
              <w:szCs w:val="30"/>
              <w:lang w:val="en-US" w:eastAsia="zh-CN"/>
            </w:rPr>
            <w:t>以上所有表格详见部门说明后附件。</w:t>
          </w:r>
          <w:r>
            <w:rPr>
              <w:sz w:val="30"/>
              <w:szCs w:val="30"/>
            </w:rPr>
            <w:tab/>
          </w:r>
          <w:r>
            <w:rPr>
              <w:sz w:val="30"/>
              <w:szCs w:val="30"/>
            </w:rPr>
            <w:fldChar w:fldCharType="begin"/>
          </w:r>
          <w:r>
            <w:rPr>
              <w:sz w:val="30"/>
              <w:szCs w:val="30"/>
            </w:rPr>
            <w:instrText xml:space="preserve"> PAGEREF _Toc19339 \h </w:instrText>
          </w:r>
          <w:r>
            <w:rPr>
              <w:sz w:val="30"/>
              <w:szCs w:val="30"/>
            </w:rPr>
            <w:fldChar w:fldCharType="separate"/>
          </w:r>
          <w:r>
            <w:rPr>
              <w:sz w:val="30"/>
              <w:szCs w:val="30"/>
            </w:rPr>
            <w:t>4</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1914A577">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_Toc330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方正小标宋简体" w:cs="方正小标宋简体"/>
              <w:sz w:val="30"/>
              <w:szCs w:val="30"/>
              <w:lang w:val="en-US" w:eastAsia="zh-CN"/>
            </w:rPr>
            <w:t xml:space="preserve">第三部分 </w:t>
          </w:r>
          <w:r>
            <w:rPr>
              <w:rFonts w:hint="eastAsia" w:eastAsia="方正小标宋简体" w:cs="方正小标宋简体"/>
              <w:sz w:val="30"/>
              <w:szCs w:val="30"/>
              <w:lang w:val="en-US" w:eastAsia="zh-CN"/>
            </w:rPr>
            <w:t>乐山市五通桥区人民政府办公室2026年部门预算说明</w:t>
          </w:r>
          <w:r>
            <w:rPr>
              <w:sz w:val="30"/>
              <w:szCs w:val="30"/>
            </w:rPr>
            <w:tab/>
          </w:r>
          <w:r>
            <w:rPr>
              <w:sz w:val="30"/>
              <w:szCs w:val="30"/>
            </w:rPr>
            <w:fldChar w:fldCharType="begin"/>
          </w:r>
          <w:r>
            <w:rPr>
              <w:sz w:val="30"/>
              <w:szCs w:val="30"/>
            </w:rPr>
            <w:instrText xml:space="preserve"> PAGEREF _Toc330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2130FC48">
          <w:pPr>
            <w:pStyle w:val="10"/>
            <w:tabs>
              <w:tab w:val="right" w:leader="dot" w:pos="9812"/>
            </w:tabs>
            <w:rPr>
              <w:rFonts w:hint="eastAsia" w:ascii="宋体" w:hAnsi="宋体" w:eastAsia="方正小标宋简体" w:cs="方正小标宋简体"/>
              <w:bCs/>
              <w:sz w:val="30"/>
              <w:szCs w:val="30"/>
              <w:lang w:val="en-US" w:eastAsia="zh-CN"/>
            </w:rPr>
            <w:sectPr>
              <w:footerReference r:id="rId6" w:type="default"/>
              <w:pgSz w:w="11910" w:h="16840"/>
              <w:pgMar w:top="1587" w:right="964" w:bottom="1701" w:left="1134" w:header="737" w:footer="737" w:gutter="0"/>
              <w:pgNumType w:fmt="decimal" w:start="1"/>
              <w:cols w:space="0" w:num="1"/>
              <w:rtlGutter w:val="0"/>
              <w:docGrid w:linePitch="0" w:charSpace="0"/>
            </w:sectPr>
          </w:pPr>
        </w:p>
        <w:p w14:paraId="1CEAAA4D">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_Toc14393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一、收支预算情况说明</w:t>
          </w:r>
          <w:r>
            <w:rPr>
              <w:sz w:val="30"/>
              <w:szCs w:val="30"/>
            </w:rPr>
            <w:tab/>
          </w:r>
          <w:r>
            <w:rPr>
              <w:sz w:val="30"/>
              <w:szCs w:val="30"/>
            </w:rPr>
            <w:fldChar w:fldCharType="begin"/>
          </w:r>
          <w:r>
            <w:rPr>
              <w:sz w:val="30"/>
              <w:szCs w:val="30"/>
            </w:rPr>
            <w:instrText xml:space="preserve"> PAGEREF _Toc14393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03DD6544">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_Toc20181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（一）收入预算情况</w:t>
          </w:r>
          <w:r>
            <w:rPr>
              <w:sz w:val="30"/>
              <w:szCs w:val="30"/>
            </w:rPr>
            <w:tab/>
          </w:r>
          <w:r>
            <w:rPr>
              <w:sz w:val="30"/>
              <w:szCs w:val="30"/>
            </w:rPr>
            <w:fldChar w:fldCharType="begin"/>
          </w:r>
          <w:r>
            <w:rPr>
              <w:sz w:val="30"/>
              <w:szCs w:val="30"/>
            </w:rPr>
            <w:instrText xml:space="preserve"> PAGEREF _Toc20181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6CF4984B">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_Toc30757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（二）支出预算情况</w:t>
          </w:r>
          <w:r>
            <w:rPr>
              <w:sz w:val="30"/>
              <w:szCs w:val="30"/>
            </w:rPr>
            <w:tab/>
          </w:r>
          <w:r>
            <w:rPr>
              <w:sz w:val="30"/>
              <w:szCs w:val="30"/>
            </w:rPr>
            <w:fldChar w:fldCharType="begin"/>
          </w:r>
          <w:r>
            <w:rPr>
              <w:sz w:val="30"/>
              <w:szCs w:val="30"/>
            </w:rPr>
            <w:instrText xml:space="preserve"> PAGEREF _Toc30757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980DD09">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_Toc28286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二、财政拨款收支预算情况说明</w:t>
          </w:r>
          <w:r>
            <w:rPr>
              <w:sz w:val="30"/>
              <w:szCs w:val="30"/>
            </w:rPr>
            <w:tab/>
          </w:r>
          <w:r>
            <w:rPr>
              <w:sz w:val="30"/>
              <w:szCs w:val="30"/>
            </w:rPr>
            <w:fldChar w:fldCharType="begin"/>
          </w:r>
          <w:r>
            <w:rPr>
              <w:sz w:val="30"/>
              <w:szCs w:val="30"/>
            </w:rPr>
            <w:instrText xml:space="preserve"> PAGEREF _Toc28286 \h </w:instrText>
          </w:r>
          <w:r>
            <w:rPr>
              <w:sz w:val="30"/>
              <w:szCs w:val="30"/>
            </w:rPr>
            <w:fldChar w:fldCharType="separate"/>
          </w:r>
          <w:r>
            <w:rPr>
              <w:sz w:val="30"/>
              <w:szCs w:val="30"/>
            </w:rPr>
            <w:t>6</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414AA30F">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_Toc18314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三、一般公共预算当年拨款情况说明</w:t>
          </w:r>
          <w:r>
            <w:rPr>
              <w:sz w:val="30"/>
              <w:szCs w:val="30"/>
            </w:rPr>
            <w:tab/>
          </w:r>
          <w:r>
            <w:rPr>
              <w:rFonts w:hint="eastAsia"/>
              <w:sz w:val="30"/>
              <w:szCs w:val="30"/>
              <w:lang w:val="en-US" w:eastAsia="zh-CN"/>
            </w:rPr>
            <w:t>6</w:t>
          </w:r>
          <w:r>
            <w:rPr>
              <w:rFonts w:hint="eastAsia" w:ascii="宋体" w:hAnsi="宋体" w:eastAsia="方正小标宋简体" w:cs="方正小标宋简体"/>
              <w:bCs/>
              <w:sz w:val="30"/>
              <w:szCs w:val="30"/>
              <w:lang w:val="en-US" w:eastAsia="zh-CN"/>
            </w:rPr>
            <w:fldChar w:fldCharType="end"/>
          </w:r>
        </w:p>
        <w:p w14:paraId="7C8C088F">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_Toc3917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（一）一般公共预算当年拨款规模变化情况</w:t>
          </w:r>
          <w:r>
            <w:rPr>
              <w:sz w:val="30"/>
              <w:szCs w:val="30"/>
            </w:rPr>
            <w:tab/>
          </w:r>
          <w:r>
            <w:rPr>
              <w:sz w:val="30"/>
              <w:szCs w:val="30"/>
            </w:rPr>
            <w:fldChar w:fldCharType="begin"/>
          </w:r>
          <w:r>
            <w:rPr>
              <w:sz w:val="30"/>
              <w:szCs w:val="30"/>
            </w:rPr>
            <w:instrText xml:space="preserve"> PAGEREF _Toc3917 \h </w:instrText>
          </w:r>
          <w:r>
            <w:rPr>
              <w:sz w:val="30"/>
              <w:szCs w:val="30"/>
            </w:rPr>
            <w:fldChar w:fldCharType="separate"/>
          </w:r>
          <w:r>
            <w:rPr>
              <w:sz w:val="30"/>
              <w:szCs w:val="30"/>
            </w:rPr>
            <w:t>6</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54766C0E">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_Toc27070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（二）一般公共预算当年拨款结构情况</w:t>
          </w:r>
          <w:r>
            <w:rPr>
              <w:sz w:val="30"/>
              <w:szCs w:val="30"/>
            </w:rPr>
            <w:tab/>
          </w:r>
          <w:r>
            <w:rPr>
              <w:sz w:val="30"/>
              <w:szCs w:val="30"/>
            </w:rPr>
            <w:fldChar w:fldCharType="begin"/>
          </w:r>
          <w:r>
            <w:rPr>
              <w:sz w:val="30"/>
              <w:szCs w:val="30"/>
            </w:rPr>
            <w:instrText xml:space="preserve"> PAGEREF _Toc27070 \h </w:instrText>
          </w:r>
          <w:r>
            <w:rPr>
              <w:sz w:val="30"/>
              <w:szCs w:val="30"/>
            </w:rPr>
            <w:fldChar w:fldCharType="separate"/>
          </w:r>
          <w:r>
            <w:rPr>
              <w:sz w:val="30"/>
              <w:szCs w:val="30"/>
            </w:rPr>
            <w:t>6</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7E2D174">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_Toc1521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（三）一般公共预算当年拨款具体使用情况</w:t>
          </w:r>
          <w:r>
            <w:rPr>
              <w:sz w:val="30"/>
              <w:szCs w:val="30"/>
            </w:rPr>
            <w:tab/>
          </w:r>
          <w:r>
            <w:rPr>
              <w:sz w:val="30"/>
              <w:szCs w:val="30"/>
            </w:rPr>
            <w:fldChar w:fldCharType="begin"/>
          </w:r>
          <w:r>
            <w:rPr>
              <w:sz w:val="30"/>
              <w:szCs w:val="30"/>
            </w:rPr>
            <w:instrText xml:space="preserve"> PAGEREF _Toc1521 \h </w:instrText>
          </w:r>
          <w:r>
            <w:rPr>
              <w:sz w:val="30"/>
              <w:szCs w:val="30"/>
            </w:rPr>
            <w:fldChar w:fldCharType="separate"/>
          </w:r>
          <w:r>
            <w:rPr>
              <w:sz w:val="30"/>
              <w:szCs w:val="30"/>
            </w:rPr>
            <w:t>6</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0D693123">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_Toc11444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四、一般公共预算基本支出情况说明</w:t>
          </w:r>
          <w:r>
            <w:rPr>
              <w:sz w:val="30"/>
              <w:szCs w:val="30"/>
            </w:rPr>
            <w:tab/>
          </w:r>
          <w:r>
            <w:rPr>
              <w:rFonts w:hint="eastAsia"/>
              <w:sz w:val="30"/>
              <w:szCs w:val="30"/>
              <w:lang w:val="en-US" w:eastAsia="zh-CN"/>
            </w:rPr>
            <w:t>8</w:t>
          </w:r>
          <w:r>
            <w:rPr>
              <w:rFonts w:hint="eastAsia" w:ascii="宋体" w:hAnsi="宋体" w:eastAsia="方正小标宋简体" w:cs="方正小标宋简体"/>
              <w:bCs/>
              <w:sz w:val="30"/>
              <w:szCs w:val="30"/>
              <w:lang w:val="en-US" w:eastAsia="zh-CN"/>
            </w:rPr>
            <w:fldChar w:fldCharType="end"/>
          </w:r>
        </w:p>
        <w:p w14:paraId="71FA6541">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_Toc3206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五、“三公”经费财政拨款预算安排情况说明</w:t>
          </w:r>
          <w:r>
            <w:rPr>
              <w:sz w:val="30"/>
              <w:szCs w:val="30"/>
            </w:rPr>
            <w:tab/>
          </w:r>
          <w:r>
            <w:rPr>
              <w:sz w:val="30"/>
              <w:szCs w:val="30"/>
            </w:rPr>
            <w:fldChar w:fldCharType="begin"/>
          </w:r>
          <w:r>
            <w:rPr>
              <w:sz w:val="30"/>
              <w:szCs w:val="30"/>
            </w:rPr>
            <w:instrText xml:space="preserve"> PAGEREF _Toc3206 \h </w:instrText>
          </w:r>
          <w:r>
            <w:rPr>
              <w:sz w:val="30"/>
              <w:szCs w:val="30"/>
            </w:rPr>
            <w:fldChar w:fldCharType="separate"/>
          </w:r>
          <w:r>
            <w:rPr>
              <w:sz w:val="30"/>
              <w:szCs w:val="30"/>
            </w:rPr>
            <w:t>9</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9CC0F0A">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_Toc24108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（一）</w:t>
          </w:r>
          <w:r>
            <w:rPr>
              <w:rFonts w:hint="eastAsia" w:ascii="宋体" w:hAnsi="宋体"/>
              <w:sz w:val="30"/>
              <w:szCs w:val="30"/>
              <w:lang w:val="en-US" w:eastAsia="zh-CN"/>
            </w:rPr>
            <w:t>公务接待费变化情况</w:t>
          </w:r>
          <w:r>
            <w:rPr>
              <w:sz w:val="30"/>
              <w:szCs w:val="30"/>
            </w:rPr>
            <w:tab/>
          </w:r>
          <w:r>
            <w:rPr>
              <w:sz w:val="30"/>
              <w:szCs w:val="30"/>
            </w:rPr>
            <w:fldChar w:fldCharType="begin"/>
          </w:r>
          <w:r>
            <w:rPr>
              <w:sz w:val="30"/>
              <w:szCs w:val="30"/>
            </w:rPr>
            <w:instrText xml:space="preserve"> PAGEREF _Toc24108 \h </w:instrText>
          </w:r>
          <w:r>
            <w:rPr>
              <w:sz w:val="30"/>
              <w:szCs w:val="30"/>
            </w:rPr>
            <w:fldChar w:fldCharType="separate"/>
          </w:r>
          <w:r>
            <w:rPr>
              <w:sz w:val="30"/>
              <w:szCs w:val="30"/>
            </w:rPr>
            <w:t>9</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317AE8A9">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_Toc3483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w:t>
          </w:r>
          <w:r>
            <w:rPr>
              <w:rFonts w:hint="eastAsia" w:ascii="宋体" w:hAnsi="宋体"/>
              <w:sz w:val="30"/>
              <w:szCs w:val="30"/>
              <w:lang w:val="en-US" w:eastAsia="zh-CN"/>
            </w:rPr>
            <w:t>二</w:t>
          </w:r>
          <w:r>
            <w:rPr>
              <w:rFonts w:ascii="宋体" w:hAnsi="宋体"/>
              <w:sz w:val="30"/>
              <w:szCs w:val="30"/>
            </w:rPr>
            <w:t>）</w:t>
          </w:r>
          <w:r>
            <w:rPr>
              <w:rFonts w:hint="eastAsia" w:ascii="宋体" w:hAnsi="宋体"/>
              <w:sz w:val="30"/>
              <w:szCs w:val="30"/>
              <w:lang w:val="en-US" w:eastAsia="zh-CN"/>
            </w:rPr>
            <w:t>公务用车购置及运行维护费变化情况</w:t>
          </w:r>
          <w:r>
            <w:rPr>
              <w:sz w:val="30"/>
              <w:szCs w:val="30"/>
            </w:rPr>
            <w:tab/>
          </w:r>
          <w:r>
            <w:rPr>
              <w:sz w:val="30"/>
              <w:szCs w:val="30"/>
            </w:rPr>
            <w:fldChar w:fldCharType="begin"/>
          </w:r>
          <w:r>
            <w:rPr>
              <w:sz w:val="30"/>
              <w:szCs w:val="30"/>
            </w:rPr>
            <w:instrText xml:space="preserve"> PAGEREF _Toc3483 \h </w:instrText>
          </w:r>
          <w:r>
            <w:rPr>
              <w:sz w:val="30"/>
              <w:szCs w:val="30"/>
            </w:rPr>
            <w:fldChar w:fldCharType="separate"/>
          </w:r>
          <w:r>
            <w:rPr>
              <w:sz w:val="30"/>
              <w:szCs w:val="30"/>
            </w:rPr>
            <w:t>9</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3D2F3F6D">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_Toc27419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六、政府性基金预算支出情况说明</w:t>
          </w:r>
          <w:r>
            <w:rPr>
              <w:sz w:val="30"/>
              <w:szCs w:val="30"/>
            </w:rPr>
            <w:tab/>
          </w:r>
          <w:r>
            <w:rPr>
              <w:sz w:val="30"/>
              <w:szCs w:val="30"/>
            </w:rPr>
            <w:fldChar w:fldCharType="begin"/>
          </w:r>
          <w:r>
            <w:rPr>
              <w:sz w:val="30"/>
              <w:szCs w:val="30"/>
            </w:rPr>
            <w:instrText xml:space="preserve"> PAGEREF _Toc27419 \h </w:instrText>
          </w:r>
          <w:r>
            <w:rPr>
              <w:sz w:val="30"/>
              <w:szCs w:val="30"/>
            </w:rPr>
            <w:fldChar w:fldCharType="separate"/>
          </w:r>
          <w:r>
            <w:rPr>
              <w:sz w:val="30"/>
              <w:szCs w:val="30"/>
            </w:rPr>
            <w:t>10</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68DA5784">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_Toc17512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lang w:val="en-US" w:eastAsia="zh-CN"/>
            </w:rPr>
            <w:t>七、</w:t>
          </w:r>
          <w:r>
            <w:rPr>
              <w:rFonts w:hint="eastAsia" w:ascii="宋体" w:hAnsi="宋体" w:eastAsia="黑体"/>
              <w:sz w:val="30"/>
              <w:szCs w:val="30"/>
            </w:rPr>
            <w:t>国有资本经营预算情况说明</w:t>
          </w:r>
          <w:r>
            <w:rPr>
              <w:sz w:val="30"/>
              <w:szCs w:val="30"/>
            </w:rPr>
            <w:tab/>
          </w:r>
          <w:r>
            <w:rPr>
              <w:sz w:val="30"/>
              <w:szCs w:val="30"/>
            </w:rPr>
            <w:fldChar w:fldCharType="begin"/>
          </w:r>
          <w:r>
            <w:rPr>
              <w:sz w:val="30"/>
              <w:szCs w:val="30"/>
            </w:rPr>
            <w:instrText xml:space="preserve"> PAGEREF _Toc17512 \h </w:instrText>
          </w:r>
          <w:r>
            <w:rPr>
              <w:sz w:val="30"/>
              <w:szCs w:val="30"/>
            </w:rPr>
            <w:fldChar w:fldCharType="separate"/>
          </w:r>
          <w:r>
            <w:rPr>
              <w:sz w:val="30"/>
              <w:szCs w:val="30"/>
            </w:rPr>
            <w:t>10</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685D63D5">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_Toc904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lang w:val="en-US" w:eastAsia="zh-CN"/>
            </w:rPr>
            <w:t>八、其他重要事项的情况说明</w:t>
          </w:r>
          <w:r>
            <w:rPr>
              <w:sz w:val="30"/>
              <w:szCs w:val="30"/>
            </w:rPr>
            <w:tab/>
          </w:r>
          <w:r>
            <w:rPr>
              <w:sz w:val="30"/>
              <w:szCs w:val="30"/>
            </w:rPr>
            <w:fldChar w:fldCharType="begin"/>
          </w:r>
          <w:r>
            <w:rPr>
              <w:sz w:val="30"/>
              <w:szCs w:val="30"/>
            </w:rPr>
            <w:instrText xml:space="preserve"> PAGEREF _Toc904 \h </w:instrText>
          </w:r>
          <w:r>
            <w:rPr>
              <w:sz w:val="30"/>
              <w:szCs w:val="30"/>
            </w:rPr>
            <w:fldChar w:fldCharType="separate"/>
          </w:r>
          <w:r>
            <w:rPr>
              <w:sz w:val="30"/>
              <w:szCs w:val="30"/>
            </w:rPr>
            <w:t>10</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F20BEFC">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_Toc17345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（一）机关运行经费情况</w:t>
          </w:r>
          <w:r>
            <w:rPr>
              <w:sz w:val="30"/>
              <w:szCs w:val="30"/>
            </w:rPr>
            <w:tab/>
          </w:r>
          <w:r>
            <w:rPr>
              <w:sz w:val="30"/>
              <w:szCs w:val="30"/>
            </w:rPr>
            <w:fldChar w:fldCharType="begin"/>
          </w:r>
          <w:r>
            <w:rPr>
              <w:sz w:val="30"/>
              <w:szCs w:val="30"/>
            </w:rPr>
            <w:instrText xml:space="preserve"> PAGEREF _Toc17345 \h </w:instrText>
          </w:r>
          <w:r>
            <w:rPr>
              <w:sz w:val="30"/>
              <w:szCs w:val="30"/>
            </w:rPr>
            <w:fldChar w:fldCharType="separate"/>
          </w:r>
          <w:r>
            <w:rPr>
              <w:sz w:val="30"/>
              <w:szCs w:val="30"/>
            </w:rPr>
            <w:t>10</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0ED8D20F">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_Toc11837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（二）政府采购情况</w:t>
          </w:r>
          <w:r>
            <w:rPr>
              <w:sz w:val="30"/>
              <w:szCs w:val="30"/>
            </w:rPr>
            <w:tab/>
          </w:r>
          <w:r>
            <w:rPr>
              <w:sz w:val="30"/>
              <w:szCs w:val="30"/>
            </w:rPr>
            <w:fldChar w:fldCharType="begin"/>
          </w:r>
          <w:r>
            <w:rPr>
              <w:sz w:val="30"/>
              <w:szCs w:val="30"/>
            </w:rPr>
            <w:instrText xml:space="preserve"> PAGEREF _Toc11837 \h </w:instrText>
          </w:r>
          <w:r>
            <w:rPr>
              <w:sz w:val="30"/>
              <w:szCs w:val="30"/>
            </w:rPr>
            <w:fldChar w:fldCharType="separate"/>
          </w:r>
          <w:r>
            <w:rPr>
              <w:sz w:val="30"/>
              <w:szCs w:val="30"/>
            </w:rPr>
            <w:t>11</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69EDF60A">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_Toc16771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（三）国有资产占有使用情况</w:t>
          </w:r>
          <w:r>
            <w:rPr>
              <w:sz w:val="30"/>
              <w:szCs w:val="30"/>
            </w:rPr>
            <w:tab/>
          </w:r>
          <w:r>
            <w:rPr>
              <w:sz w:val="30"/>
              <w:szCs w:val="30"/>
            </w:rPr>
            <w:fldChar w:fldCharType="begin"/>
          </w:r>
          <w:r>
            <w:rPr>
              <w:sz w:val="30"/>
              <w:szCs w:val="30"/>
            </w:rPr>
            <w:instrText xml:space="preserve"> PAGEREF _Toc16771 \h </w:instrText>
          </w:r>
          <w:r>
            <w:rPr>
              <w:sz w:val="30"/>
              <w:szCs w:val="30"/>
            </w:rPr>
            <w:fldChar w:fldCharType="separate"/>
          </w:r>
          <w:r>
            <w:rPr>
              <w:sz w:val="30"/>
              <w:szCs w:val="30"/>
            </w:rPr>
            <w:t>11</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E788BA0">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_Toc21233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eastAsia="zh-CN"/>
            </w:rPr>
            <w:t>（</w:t>
          </w:r>
          <w:r>
            <w:rPr>
              <w:rFonts w:hint="eastAsia" w:ascii="宋体" w:hAnsi="宋体"/>
              <w:sz w:val="30"/>
              <w:szCs w:val="30"/>
              <w:lang w:val="en-US" w:eastAsia="zh-CN"/>
            </w:rPr>
            <w:t>四</w:t>
          </w:r>
          <w:r>
            <w:rPr>
              <w:rFonts w:hint="eastAsia" w:ascii="宋体" w:hAnsi="宋体"/>
              <w:sz w:val="30"/>
              <w:szCs w:val="30"/>
              <w:lang w:eastAsia="zh-CN"/>
            </w:rPr>
            <w:t>）</w:t>
          </w:r>
          <w:r>
            <w:rPr>
              <w:rFonts w:ascii="宋体" w:hAnsi="宋体"/>
              <w:sz w:val="30"/>
              <w:szCs w:val="30"/>
            </w:rPr>
            <w:t>预算绩效情况</w:t>
          </w:r>
          <w:r>
            <w:rPr>
              <w:sz w:val="30"/>
              <w:szCs w:val="30"/>
            </w:rPr>
            <w:tab/>
          </w:r>
          <w:r>
            <w:rPr>
              <w:sz w:val="30"/>
              <w:szCs w:val="30"/>
            </w:rPr>
            <w:fldChar w:fldCharType="begin"/>
          </w:r>
          <w:r>
            <w:rPr>
              <w:sz w:val="30"/>
              <w:szCs w:val="30"/>
            </w:rPr>
            <w:instrText xml:space="preserve"> PAGEREF _Toc21233 \h </w:instrText>
          </w:r>
          <w:r>
            <w:rPr>
              <w:sz w:val="30"/>
              <w:szCs w:val="30"/>
            </w:rPr>
            <w:fldChar w:fldCharType="separate"/>
          </w:r>
          <w:r>
            <w:rPr>
              <w:sz w:val="30"/>
              <w:szCs w:val="30"/>
            </w:rPr>
            <w:t>11</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18B0950C">
          <w:pPr>
            <w:pStyle w:val="9"/>
            <w:tabs>
              <w:tab w:val="right" w:leader="dot" w:pos="9812"/>
            </w:tabs>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_Toc12947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方正小标宋简体" w:cs="方正小标宋简体"/>
              <w:sz w:val="30"/>
              <w:szCs w:val="30"/>
              <w:lang w:val="en-US" w:eastAsia="zh-CN"/>
            </w:rPr>
            <w:t>第四部分  名词解释</w:t>
          </w:r>
          <w:r>
            <w:rPr>
              <w:sz w:val="30"/>
              <w:szCs w:val="30"/>
            </w:rPr>
            <w:tab/>
          </w:r>
          <w:r>
            <w:rPr>
              <w:sz w:val="30"/>
              <w:szCs w:val="30"/>
            </w:rPr>
            <w:fldChar w:fldCharType="begin"/>
          </w:r>
          <w:r>
            <w:rPr>
              <w:sz w:val="30"/>
              <w:szCs w:val="30"/>
            </w:rPr>
            <w:instrText xml:space="preserve"> PAGEREF _Toc12947 \h </w:instrText>
          </w:r>
          <w:r>
            <w:rPr>
              <w:sz w:val="30"/>
              <w:szCs w:val="30"/>
            </w:rPr>
            <w:fldChar w:fldCharType="separate"/>
          </w:r>
          <w:r>
            <w:rPr>
              <w:sz w:val="30"/>
              <w:szCs w:val="30"/>
            </w:rPr>
            <w:t>12</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5B48E108">
          <w:pPr>
            <w:pStyle w:val="2"/>
            <w:tabs>
              <w:tab w:val="left" w:pos="4798"/>
            </w:tabs>
            <w:jc w:val="both"/>
            <w:rPr>
              <w:rFonts w:ascii="宋体" w:hAnsi="宋体"/>
              <w:sz w:val="20"/>
            </w:rPr>
            <w:sectPr>
              <w:footerReference r:id="rId7" w:type="default"/>
              <w:pgSz w:w="11910" w:h="16840"/>
              <w:pgMar w:top="1587" w:right="964" w:bottom="1701" w:left="1134" w:header="737" w:footer="737" w:gutter="0"/>
              <w:pgNumType w:fmt="decimal" w:start="1"/>
              <w:cols w:space="0" w:num="1"/>
              <w:rtlGutter w:val="0"/>
              <w:docGrid w:linePitch="0" w:charSpace="0"/>
            </w:sectPr>
          </w:pPr>
          <w:r>
            <w:rPr>
              <w:rFonts w:hint="eastAsia" w:ascii="宋体" w:hAnsi="宋体" w:eastAsia="方正小标宋简体" w:cs="方正小标宋简体"/>
              <w:bCs/>
              <w:szCs w:val="48"/>
              <w:lang w:val="en-US" w:eastAsia="zh-CN"/>
            </w:rPr>
            <w:fldChar w:fldCharType="end"/>
          </w:r>
        </w:p>
      </w:sdtContent>
    </w:sdt>
    <w:p w14:paraId="49AD0498">
      <w:pPr>
        <w:pStyle w:val="2"/>
        <w:spacing w:before="3"/>
        <w:rPr>
          <w:rFonts w:ascii="宋体" w:hAnsi="宋体"/>
          <w:sz w:val="28"/>
        </w:rPr>
      </w:pPr>
    </w:p>
    <w:p w14:paraId="2575E8FD">
      <w:pPr>
        <w:pStyle w:val="2"/>
        <w:numPr>
          <w:ilvl w:val="0"/>
          <w:numId w:val="1"/>
        </w:numPr>
        <w:jc w:val="center"/>
        <w:outlineLvl w:val="0"/>
        <w:rPr>
          <w:rFonts w:hint="eastAsia" w:ascii="宋体" w:hAnsi="宋体" w:eastAsia="方正小标宋简体" w:cs="方正小标宋简体"/>
          <w:b/>
          <w:bCs/>
          <w:sz w:val="52"/>
          <w:szCs w:val="52"/>
          <w:lang w:val="en-US" w:eastAsia="zh-CN"/>
        </w:rPr>
      </w:pPr>
      <w:bookmarkStart w:id="0" w:name="_Toc4421"/>
      <w:r>
        <w:rPr>
          <w:rFonts w:hint="eastAsia" w:ascii="宋体" w:hAnsi="宋体" w:eastAsia="方正小标宋简体" w:cs="方正小标宋简体"/>
          <w:b/>
          <w:bCs/>
          <w:sz w:val="52"/>
          <w:szCs w:val="52"/>
          <w:lang w:val="en-US" w:eastAsia="zh-CN"/>
        </w:rPr>
        <w:t>部门概况</w:t>
      </w:r>
      <w:bookmarkEnd w:id="0"/>
    </w:p>
    <w:p w14:paraId="15C7C4ED">
      <w:pPr>
        <w:pStyle w:val="2"/>
        <w:numPr>
          <w:ilvl w:val="0"/>
          <w:numId w:val="0"/>
        </w:numPr>
        <w:ind w:right="0" w:rightChars="0" w:firstLine="320" w:firstLineChars="100"/>
        <w:jc w:val="both"/>
        <w:outlineLvl w:val="0"/>
        <w:rPr>
          <w:rFonts w:ascii="宋体" w:hAnsi="宋体" w:eastAsia="黑体"/>
          <w:color w:val="333333"/>
        </w:rPr>
      </w:pPr>
      <w:r>
        <w:rPr>
          <w:rFonts w:hint="eastAsia" w:ascii="宋体" w:hAnsi="宋体" w:eastAsia="黑体"/>
          <w:color w:val="333333"/>
        </w:rPr>
        <w:t>一、基本职能及主要工作</w:t>
      </w:r>
    </w:p>
    <w:p w14:paraId="00382994">
      <w:pPr>
        <w:pStyle w:val="4"/>
        <w:spacing w:before="100" w:afterLines="50"/>
        <w:ind w:left="0" w:firstLine="315" w:firstLineChars="98"/>
        <w:rPr>
          <w:rFonts w:ascii="宋体" w:hAnsi="宋体"/>
        </w:rPr>
      </w:pPr>
      <w:bookmarkStart w:id="1" w:name="_Toc5540"/>
      <w:r>
        <w:rPr>
          <w:rFonts w:ascii="宋体" w:hAnsi="宋体"/>
        </w:rPr>
        <w:t>（一）部门职能简介</w:t>
      </w:r>
      <w:bookmarkEnd w:id="1"/>
    </w:p>
    <w:p w14:paraId="3D8B96D7">
      <w:pPr>
        <w:pStyle w:val="19"/>
        <w:spacing w:line="580" w:lineRule="exact"/>
      </w:pPr>
      <w:r>
        <w:rPr>
          <w:rFonts w:hint="eastAsia"/>
        </w:rPr>
        <w:t>乐山市五通桥区人民政府办公室（简称区政府办公室）是乐山市五通桥区人民政府工作部门。</w:t>
      </w:r>
    </w:p>
    <w:p w14:paraId="57D3A1D5">
      <w:pPr>
        <w:pStyle w:val="19"/>
        <w:spacing w:line="580" w:lineRule="exact"/>
      </w:pPr>
      <w:r>
        <w:t>区政府办公室是协助区政府领导同志处理区政府日常工作的机构</w:t>
      </w:r>
      <w:r>
        <w:rPr>
          <w:rFonts w:hint="eastAsia"/>
        </w:rPr>
        <w:t>。主要职责是：</w:t>
      </w:r>
    </w:p>
    <w:p w14:paraId="6D88BECE">
      <w:pPr>
        <w:pStyle w:val="19"/>
        <w:spacing w:line="580" w:lineRule="exact"/>
      </w:pPr>
      <w:r>
        <w:rPr>
          <w:rFonts w:hint="eastAsia"/>
        </w:rPr>
        <w:t>（一）协助区政府领导组织起草或审核以区政府、区政府办公室名义发布的公文。办理市政府、市政府办公室及市政府各部门发送区政府的文电。指导全区行政机关公文处理工作。</w:t>
      </w:r>
    </w:p>
    <w:p w14:paraId="55508E80">
      <w:pPr>
        <w:pStyle w:val="19"/>
        <w:spacing w:line="580" w:lineRule="exact"/>
      </w:pPr>
      <w:r>
        <w:rPr>
          <w:rFonts w:hint="eastAsia"/>
        </w:rPr>
        <w:t>（二）协助区政府领导研究区政府部门和镇人民政府请示、报告区政府的事项。</w:t>
      </w:r>
    </w:p>
    <w:p w14:paraId="087432B5">
      <w:pPr>
        <w:pStyle w:val="19"/>
        <w:spacing w:line="580" w:lineRule="exact"/>
      </w:pPr>
      <w:r>
        <w:rPr>
          <w:rFonts w:hint="eastAsia"/>
        </w:rPr>
        <w:t>（三）组织和协助做好区政府有关会议的会务工作，协助区政府领导组织实施会议决定事项。</w:t>
      </w:r>
    </w:p>
    <w:p w14:paraId="20A26E5D">
      <w:pPr>
        <w:pStyle w:val="6"/>
        <w:spacing w:line="580" w:lineRule="exact"/>
        <w:ind w:firstLine="640" w:firstLineChars="200"/>
        <w:rPr>
          <w:rFonts w:ascii="Times New Roman" w:hAnsi="Times New Roman" w:eastAsia="仿宋_GB2312" w:cs="Times New Roman"/>
          <w:color w:val="000000"/>
          <w:sz w:val="32"/>
        </w:rPr>
      </w:pPr>
      <w:r>
        <w:rPr>
          <w:rFonts w:hint="eastAsia" w:ascii="Times New Roman" w:hAnsi="Times New Roman" w:eastAsia="仿宋_GB2312" w:cs="Times New Roman"/>
          <w:color w:val="000000"/>
          <w:sz w:val="32"/>
        </w:rPr>
        <w:t>（四）督促区政府部门和镇人民政府正确履行工作职责，贯彻执行上级各项决定和部署，协调区政府部门和镇人民政府开展工作。</w:t>
      </w:r>
    </w:p>
    <w:p w14:paraId="5FB5BCBB">
      <w:pPr>
        <w:pStyle w:val="6"/>
        <w:spacing w:line="580" w:lineRule="exact"/>
        <w:ind w:firstLine="640" w:firstLineChars="200"/>
        <w:rPr>
          <w:rFonts w:ascii="Times New Roman" w:hAnsi="Times New Roman" w:eastAsia="仿宋_GB2312" w:cs="Times New Roman"/>
          <w:color w:val="000000"/>
          <w:sz w:val="32"/>
        </w:rPr>
      </w:pPr>
      <w:r>
        <w:rPr>
          <w:rFonts w:hint="eastAsia" w:ascii="Times New Roman" w:hAnsi="Times New Roman" w:eastAsia="仿宋_GB2312" w:cs="Times New Roman"/>
          <w:color w:val="000000"/>
          <w:sz w:val="32"/>
        </w:rPr>
        <w:t>（五）</w:t>
      </w:r>
      <w:r>
        <w:rPr>
          <w:rFonts w:hint="eastAsia" w:eastAsia="仿宋_GB2312"/>
          <w:color w:val="000000"/>
          <w:sz w:val="32"/>
        </w:rPr>
        <w:t>组织开展调查研究，负责起草区政府重要综合文稿、会议讲话和汇报材料，</w:t>
      </w:r>
      <w:r>
        <w:rPr>
          <w:rFonts w:hint="eastAsia" w:ascii="Times New Roman" w:hAnsi="Times New Roman" w:eastAsia="仿宋_GB2312" w:cs="Times New Roman"/>
          <w:color w:val="000000"/>
          <w:sz w:val="32"/>
        </w:rPr>
        <w:t>为区政府决策提供服务。</w:t>
      </w:r>
    </w:p>
    <w:p w14:paraId="03F9DE88">
      <w:pPr>
        <w:pStyle w:val="6"/>
        <w:spacing w:line="580" w:lineRule="exact"/>
        <w:ind w:firstLine="640" w:firstLineChars="200"/>
        <w:rPr>
          <w:rFonts w:ascii="Times New Roman" w:hAnsi="Times New Roman" w:eastAsia="仿宋_GB2312" w:cs="Times New Roman"/>
          <w:color w:val="000000"/>
          <w:sz w:val="32"/>
        </w:rPr>
      </w:pPr>
      <w:r>
        <w:rPr>
          <w:rFonts w:hint="eastAsia" w:ascii="Times New Roman" w:hAnsi="Times New Roman" w:eastAsia="仿宋_GB2312" w:cs="Times New Roman"/>
          <w:color w:val="000000"/>
          <w:sz w:val="32"/>
        </w:rPr>
        <w:t>（六）负责联系区人大常委会、区政协的有关日常工作和提案、议案、建议、意见的办理工作。</w:t>
      </w:r>
    </w:p>
    <w:p w14:paraId="6C94737C">
      <w:pPr>
        <w:pStyle w:val="6"/>
        <w:spacing w:line="580" w:lineRule="exact"/>
        <w:ind w:firstLine="640" w:firstLineChars="200"/>
        <w:rPr>
          <w:rFonts w:eastAsia="仿宋_GB2312"/>
          <w:color w:val="000000"/>
          <w:sz w:val="32"/>
        </w:rPr>
      </w:pPr>
      <w:r>
        <w:rPr>
          <w:rFonts w:hint="eastAsia" w:ascii="Times New Roman" w:hAnsi="Times New Roman" w:eastAsia="仿宋_GB2312" w:cs="Times New Roman"/>
          <w:color w:val="000000"/>
          <w:sz w:val="32"/>
        </w:rPr>
        <w:t>（七）</w:t>
      </w:r>
      <w:r>
        <w:rPr>
          <w:rFonts w:hint="eastAsia" w:eastAsia="仿宋_GB2312"/>
          <w:color w:val="000000"/>
          <w:sz w:val="32"/>
        </w:rPr>
        <w:t>负责区政府值班工作。</w:t>
      </w:r>
    </w:p>
    <w:p w14:paraId="1AED5815">
      <w:pPr>
        <w:spacing w:line="580" w:lineRule="exact"/>
        <w:ind w:firstLine="640" w:firstLineChars="200"/>
        <w:rPr>
          <w:rFonts w:eastAsia="仿宋_GB2312"/>
          <w:color w:val="000000"/>
          <w:sz w:val="32"/>
        </w:rPr>
      </w:pPr>
      <w:r>
        <w:rPr>
          <w:rFonts w:hint="eastAsia" w:eastAsia="仿宋_GB2312"/>
          <w:color w:val="000000"/>
          <w:sz w:val="32"/>
        </w:rPr>
        <w:t>（八）负责统筹协调全区机关事务管理工作。</w:t>
      </w:r>
    </w:p>
    <w:p w14:paraId="1AB957D1">
      <w:pPr>
        <w:pStyle w:val="6"/>
        <w:spacing w:line="580" w:lineRule="exact"/>
        <w:ind w:firstLine="640" w:firstLineChars="200"/>
        <w:rPr>
          <w:rFonts w:eastAsia="仿宋_GB2312"/>
          <w:color w:val="000000"/>
          <w:sz w:val="32"/>
        </w:rPr>
      </w:pPr>
      <w:r>
        <w:rPr>
          <w:rFonts w:hint="eastAsia" w:ascii="Times New Roman" w:hAnsi="Times New Roman" w:eastAsia="仿宋_GB2312" w:cs="Times New Roman"/>
          <w:color w:val="000000"/>
          <w:sz w:val="32"/>
        </w:rPr>
        <w:t>（九）</w:t>
      </w:r>
      <w:r>
        <w:rPr>
          <w:rFonts w:hint="eastAsia" w:eastAsia="仿宋_GB2312"/>
          <w:color w:val="000000"/>
          <w:sz w:val="32"/>
        </w:rPr>
        <w:t>指导、监督全区政府信息公开工作</w:t>
      </w:r>
      <w:r>
        <w:rPr>
          <w:rFonts w:hint="eastAsia" w:ascii="Times New Roman" w:hAnsi="Times New Roman" w:eastAsia="仿宋_GB2312" w:cs="Times New Roman"/>
          <w:color w:val="000000"/>
          <w:sz w:val="32"/>
        </w:rPr>
        <w:t>。</w:t>
      </w:r>
    </w:p>
    <w:p w14:paraId="7C4FEDCE">
      <w:pPr>
        <w:widowControl/>
        <w:snapToGrid w:val="0"/>
        <w:spacing w:line="580" w:lineRule="exact"/>
        <w:ind w:firstLine="640"/>
        <w:rPr>
          <w:rFonts w:ascii="仿宋_GB2312" w:hAnsi="仿宋_GB2312" w:eastAsia="仿宋_GB2312"/>
          <w:sz w:val="32"/>
        </w:rPr>
      </w:pPr>
      <w:r>
        <w:rPr>
          <w:rFonts w:hint="eastAsia" w:ascii="仿宋_GB2312" w:hAnsi="仿宋_GB2312" w:eastAsia="仿宋_GB2312"/>
          <w:sz w:val="32"/>
        </w:rPr>
        <w:t>（十）负责职责范围内的安全生产和职业健康、生态环境保护等工作。</w:t>
      </w:r>
    </w:p>
    <w:p w14:paraId="05580633">
      <w:pPr>
        <w:widowControl/>
        <w:snapToGrid w:val="0"/>
        <w:spacing w:line="580" w:lineRule="exact"/>
        <w:ind w:firstLine="640"/>
        <w:rPr>
          <w:rFonts w:hint="eastAsia" w:ascii="仿宋_GB2312" w:hAnsi="仿宋_GB2312" w:eastAsia="仿宋_GB2312"/>
          <w:sz w:val="32"/>
          <w:lang w:val="en-US" w:eastAsia="zh-CN"/>
        </w:rPr>
      </w:pPr>
      <w:r>
        <w:rPr>
          <w:rFonts w:hint="eastAsia" w:ascii="仿宋_GB2312" w:hAnsi="仿宋_GB2312" w:eastAsia="仿宋_GB2312"/>
          <w:sz w:val="32"/>
        </w:rPr>
        <w:t>（十一）完成区委、区政府交办的其他工作</w:t>
      </w:r>
      <w:r>
        <w:rPr>
          <w:rFonts w:hint="eastAsia" w:ascii="仿宋_GB2312" w:hAnsi="仿宋_GB2312" w:eastAsia="仿宋_GB2312"/>
          <w:sz w:val="32"/>
          <w:lang w:val="en-US" w:eastAsia="zh-CN"/>
        </w:rPr>
        <w:t>.</w:t>
      </w:r>
      <w:bookmarkStart w:id="2" w:name="_Toc6714"/>
    </w:p>
    <w:p w14:paraId="488EE274">
      <w:pPr>
        <w:pStyle w:val="4"/>
        <w:spacing w:before="100" w:afterLines="50"/>
        <w:ind w:left="0" w:firstLine="315" w:firstLineChars="98"/>
        <w:rPr>
          <w:rFonts w:hint="eastAsia" w:ascii="宋体" w:hAnsi="宋体"/>
        </w:rPr>
      </w:pPr>
      <w:r>
        <w:rPr>
          <w:rFonts w:ascii="宋体" w:hAnsi="宋体"/>
        </w:rPr>
        <w:t>（二）部门</w:t>
      </w:r>
      <w:r>
        <w:rPr>
          <w:rFonts w:hint="eastAsia" w:ascii="宋体" w:hAnsi="宋体"/>
          <w:lang w:val="en-US" w:eastAsia="zh-CN"/>
        </w:rPr>
        <w:t>2026</w:t>
      </w:r>
      <w:r>
        <w:rPr>
          <w:rFonts w:ascii="宋体" w:hAnsi="宋体"/>
        </w:rPr>
        <w:t>年重点工</w:t>
      </w:r>
      <w:r>
        <w:rPr>
          <w:rFonts w:hint="eastAsia" w:ascii="宋体" w:hAnsi="宋体"/>
        </w:rPr>
        <w:t>作</w:t>
      </w:r>
      <w:bookmarkEnd w:id="2"/>
    </w:p>
    <w:p w14:paraId="0E68C9B6">
      <w:pPr>
        <w:widowControl/>
        <w:snapToGrid w:val="0"/>
        <w:spacing w:line="580" w:lineRule="exact"/>
        <w:ind w:firstLine="640"/>
        <w:rPr>
          <w:rFonts w:hint="eastAsia" w:ascii="宋体" w:hAnsi="宋体"/>
        </w:rPr>
      </w:pPr>
      <w:r>
        <w:rPr>
          <w:rFonts w:hint="eastAsia" w:ascii="仿宋_GB2312" w:eastAsia="仿宋_GB2312"/>
          <w:sz w:val="32"/>
          <w:szCs w:val="32"/>
        </w:rPr>
        <w:t>202</w:t>
      </w:r>
      <w:r>
        <w:rPr>
          <w:rFonts w:hint="eastAsia" w:ascii="仿宋_GB2312" w:eastAsia="仿宋_GB2312"/>
          <w:sz w:val="32"/>
          <w:szCs w:val="32"/>
          <w:lang w:val="en-US" w:eastAsia="zh-CN"/>
        </w:rPr>
        <w:t>6</w:t>
      </w:r>
      <w:r>
        <w:rPr>
          <w:rFonts w:hint="eastAsia" w:ascii="仿宋_GB2312" w:eastAsia="仿宋_GB2312"/>
          <w:sz w:val="32"/>
          <w:szCs w:val="32"/>
        </w:rPr>
        <w:t>年，我办将围绕区委、区政府中心工作，充分发挥职能作用，以“服务经济社会发展、做好参谋辅政工作”为中心，紧紧围绕区委、区政府重大决策部署和中心工作安排，把办公室工作作为政府工作落实的关键环节、重要手段，进一步完善制度机制，充分发挥好参谋助手、管理保障作用，思路清晰地做好参谋辅政的各项工作。做好综合协调、信息调研、服务保障工作，进一步提升服务质量、服务效率，切实提高为领导、为基层、为群众服务的水平和办文、办会、办事的质量，力求使各项工作做到主动、规范、超前，努力推动办公室工作再现新进步、实现新突破、展现新作为。</w:t>
      </w:r>
    </w:p>
    <w:p w14:paraId="195BDA5D">
      <w:pPr>
        <w:pStyle w:val="2"/>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outlineLvl w:val="1"/>
        <w:rPr>
          <w:rFonts w:hint="eastAsia" w:ascii="宋体" w:hAnsi="宋体" w:eastAsia="黑体"/>
          <w:color w:val="333333"/>
        </w:rPr>
      </w:pPr>
      <w:bookmarkStart w:id="3" w:name="_Toc20578"/>
      <w:r>
        <w:rPr>
          <w:rFonts w:hint="eastAsia" w:ascii="宋体" w:hAnsi="宋体" w:eastAsia="黑体"/>
          <w:color w:val="333333"/>
        </w:rPr>
        <w:t>二、部门预算单位构成</w:t>
      </w:r>
      <w:bookmarkEnd w:id="3"/>
    </w:p>
    <w:p w14:paraId="021ABA3B">
      <w:pPr>
        <w:adjustRightInd w:val="0"/>
        <w:snapToGrid w:val="0"/>
        <w:spacing w:line="600" w:lineRule="exact"/>
        <w:ind w:firstLine="640" w:firstLineChars="200"/>
        <w:rPr>
          <w:rFonts w:ascii="仿宋_GB2312" w:eastAsia="仿宋_GB2312"/>
          <w:sz w:val="32"/>
          <w:szCs w:val="32"/>
          <w:lang w:val="en-US"/>
        </w:rPr>
      </w:pPr>
      <w:r>
        <w:rPr>
          <w:rFonts w:hint="eastAsia" w:ascii="仿宋_GB2312" w:eastAsia="仿宋_GB2312"/>
          <w:sz w:val="32"/>
          <w:szCs w:val="32"/>
          <w:lang w:val="en-US"/>
        </w:rPr>
        <w:t>部门下属预算单位3个（含区政府办公室机关），其中行政单位1个，参照公务员法管理的事业单位0个，其他事业单位2个。主要包括：</w:t>
      </w:r>
    </w:p>
    <w:tbl>
      <w:tblPr>
        <w:tblStyle w:val="11"/>
        <w:tblW w:w="0" w:type="auto"/>
        <w:tblInd w:w="75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67"/>
        <w:gridCol w:w="6472"/>
      </w:tblGrid>
      <w:tr w14:paraId="308290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63" w:hRule="atLeast"/>
        </w:trPr>
        <w:tc>
          <w:tcPr>
            <w:tcW w:w="2067" w:type="dxa"/>
          </w:tcPr>
          <w:p w14:paraId="068960DA">
            <w:pPr>
              <w:adjustRightInd w:val="0"/>
              <w:snapToGrid w:val="0"/>
              <w:spacing w:line="600" w:lineRule="exact"/>
              <w:ind w:firstLine="640" w:firstLineChars="200"/>
              <w:rPr>
                <w:rFonts w:ascii="仿宋_GB2312" w:eastAsia="仿宋_GB2312"/>
                <w:sz w:val="32"/>
                <w:szCs w:val="32"/>
              </w:rPr>
            </w:pPr>
            <w:r>
              <w:rPr>
                <w:rFonts w:hint="eastAsia" w:ascii="仿宋_GB2312" w:eastAsia="仿宋_GB2312"/>
                <w:sz w:val="32"/>
                <w:szCs w:val="32"/>
              </w:rPr>
              <w:t>序号</w:t>
            </w:r>
          </w:p>
        </w:tc>
        <w:tc>
          <w:tcPr>
            <w:tcW w:w="6472" w:type="dxa"/>
          </w:tcPr>
          <w:p w14:paraId="2C3842E5">
            <w:pPr>
              <w:adjustRightInd w:val="0"/>
              <w:snapToGrid w:val="0"/>
              <w:spacing w:line="600" w:lineRule="exact"/>
              <w:ind w:firstLine="640" w:firstLineChars="200"/>
              <w:rPr>
                <w:rFonts w:ascii="仿宋_GB2312" w:eastAsia="仿宋_GB2312"/>
                <w:sz w:val="32"/>
                <w:szCs w:val="32"/>
              </w:rPr>
            </w:pPr>
            <w:r>
              <w:rPr>
                <w:rFonts w:hint="eastAsia" w:ascii="仿宋_GB2312" w:eastAsia="仿宋_GB2312"/>
                <w:sz w:val="32"/>
                <w:szCs w:val="32"/>
              </w:rPr>
              <w:t>预算单位名称</w:t>
            </w:r>
          </w:p>
        </w:tc>
      </w:tr>
      <w:tr w14:paraId="2125A4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4" w:hRule="atLeast"/>
        </w:trPr>
        <w:tc>
          <w:tcPr>
            <w:tcW w:w="2067" w:type="dxa"/>
          </w:tcPr>
          <w:p w14:paraId="701DAC51">
            <w:pPr>
              <w:pStyle w:val="15"/>
              <w:spacing w:before="181"/>
              <w:ind w:left="748"/>
              <w:rPr>
                <w:sz w:val="32"/>
              </w:rPr>
            </w:pPr>
            <w:r>
              <w:rPr>
                <w:color w:val="333333"/>
                <w:w w:val="99"/>
                <w:sz w:val="32"/>
              </w:rPr>
              <w:t>1</w:t>
            </w:r>
          </w:p>
        </w:tc>
        <w:tc>
          <w:tcPr>
            <w:tcW w:w="6472" w:type="dxa"/>
          </w:tcPr>
          <w:p w14:paraId="694461B0">
            <w:pPr>
              <w:pStyle w:val="15"/>
              <w:spacing w:before="160"/>
              <w:rPr>
                <w:rFonts w:eastAsia="仿宋_GB2312"/>
                <w:sz w:val="32"/>
                <w:lang w:val="en-US"/>
              </w:rPr>
            </w:pPr>
            <w:r>
              <w:rPr>
                <w:rFonts w:hint="eastAsia" w:eastAsia="仿宋_GB2312"/>
                <w:sz w:val="32"/>
                <w:lang w:val="en-US"/>
              </w:rPr>
              <w:t>乐山市五通桥区人民政府办公室（本级）</w:t>
            </w:r>
          </w:p>
        </w:tc>
      </w:tr>
      <w:tr w14:paraId="2BA511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6" w:hRule="atLeast"/>
        </w:trPr>
        <w:tc>
          <w:tcPr>
            <w:tcW w:w="2067" w:type="dxa"/>
          </w:tcPr>
          <w:p w14:paraId="5F456A5A">
            <w:pPr>
              <w:pStyle w:val="15"/>
              <w:spacing w:before="183"/>
              <w:ind w:left="748"/>
              <w:rPr>
                <w:sz w:val="32"/>
              </w:rPr>
            </w:pPr>
            <w:r>
              <w:rPr>
                <w:color w:val="333333"/>
                <w:w w:val="99"/>
                <w:sz w:val="32"/>
              </w:rPr>
              <w:t>2</w:t>
            </w:r>
          </w:p>
        </w:tc>
        <w:tc>
          <w:tcPr>
            <w:tcW w:w="6472" w:type="dxa"/>
          </w:tcPr>
          <w:p w14:paraId="312F5619">
            <w:pPr>
              <w:pStyle w:val="15"/>
              <w:spacing w:before="162"/>
              <w:jc w:val="both"/>
              <w:rPr>
                <w:rFonts w:eastAsia="仿宋_GB2312"/>
                <w:sz w:val="32"/>
              </w:rPr>
            </w:pPr>
            <w:r>
              <w:rPr>
                <w:rFonts w:hint="eastAsia" w:eastAsia="仿宋_GB2312"/>
                <w:sz w:val="32"/>
              </w:rPr>
              <w:t>五通桥区信息中心</w:t>
            </w:r>
          </w:p>
        </w:tc>
      </w:tr>
      <w:tr w14:paraId="091A79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5" w:hRule="atLeast"/>
        </w:trPr>
        <w:tc>
          <w:tcPr>
            <w:tcW w:w="2067" w:type="dxa"/>
          </w:tcPr>
          <w:p w14:paraId="035FAADE">
            <w:pPr>
              <w:pStyle w:val="15"/>
              <w:spacing w:before="183"/>
              <w:ind w:left="748"/>
              <w:rPr>
                <w:sz w:val="32"/>
              </w:rPr>
            </w:pPr>
            <w:r>
              <w:rPr>
                <w:color w:val="333333"/>
                <w:w w:val="99"/>
                <w:sz w:val="32"/>
              </w:rPr>
              <w:t>3</w:t>
            </w:r>
          </w:p>
        </w:tc>
        <w:tc>
          <w:tcPr>
            <w:tcW w:w="6472" w:type="dxa"/>
          </w:tcPr>
          <w:p w14:paraId="2588BAA4">
            <w:pPr>
              <w:pStyle w:val="15"/>
              <w:spacing w:before="162"/>
              <w:rPr>
                <w:rFonts w:eastAsia="仿宋_GB2312"/>
                <w:sz w:val="32"/>
              </w:rPr>
            </w:pPr>
            <w:r>
              <w:rPr>
                <w:rFonts w:hint="eastAsia" w:eastAsia="仿宋_GB2312"/>
                <w:sz w:val="32"/>
              </w:rPr>
              <w:t>五通桥区机关事务服务中心</w:t>
            </w:r>
          </w:p>
        </w:tc>
      </w:tr>
    </w:tbl>
    <w:p w14:paraId="1F592852">
      <w:pPr>
        <w:rPr>
          <w:sz w:val="20"/>
        </w:rPr>
      </w:pPr>
      <w:r>
        <w:rPr>
          <w:sz w:val="20"/>
        </w:rPr>
        <w:br w:type="page"/>
      </w:r>
    </w:p>
    <w:p w14:paraId="17F877E9">
      <w:pPr>
        <w:pStyle w:val="2"/>
        <w:rPr>
          <w:rFonts w:ascii="宋体" w:hAnsi="宋体"/>
          <w:sz w:val="20"/>
        </w:rPr>
      </w:pPr>
    </w:p>
    <w:p w14:paraId="12B36EB8">
      <w:pPr>
        <w:pStyle w:val="2"/>
        <w:numPr>
          <w:ilvl w:val="0"/>
          <w:numId w:val="2"/>
        </w:numPr>
        <w:jc w:val="center"/>
        <w:outlineLvl w:val="0"/>
        <w:rPr>
          <w:rFonts w:hint="default" w:ascii="宋体" w:hAnsi="宋体" w:eastAsia="方正小标宋简体" w:cs="方正小标宋简体"/>
          <w:b/>
          <w:bCs/>
          <w:sz w:val="52"/>
          <w:szCs w:val="52"/>
          <w:lang w:val="en-US" w:eastAsia="zh-CN"/>
        </w:rPr>
      </w:pPr>
      <w:bookmarkStart w:id="4" w:name="_Toc26270"/>
      <w:r>
        <w:rPr>
          <w:rFonts w:hint="eastAsia" w:ascii="宋体" w:hAnsi="宋体" w:eastAsia="方正小标宋简体" w:cs="方正小标宋简体"/>
          <w:b/>
          <w:bCs/>
          <w:sz w:val="52"/>
          <w:szCs w:val="52"/>
          <w:lang w:val="en-US" w:eastAsia="zh-CN"/>
        </w:rPr>
        <w:t>乐山市五通桥区人民政府办公室2026年部门预算表</w:t>
      </w:r>
      <w:bookmarkEnd w:id="4"/>
    </w:p>
    <w:p w14:paraId="69886CE7">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left="660" w:leftChars="300" w:right="660" w:rightChars="300"/>
        <w:jc w:val="left"/>
        <w:textAlignment w:val="auto"/>
        <w:outlineLvl w:val="1"/>
        <w:rPr>
          <w:rFonts w:hint="eastAsia" w:ascii="宋体" w:hAnsi="宋体"/>
          <w:sz w:val="30"/>
          <w:szCs w:val="30"/>
          <w:lang w:val="en-US" w:eastAsia="zh-CN"/>
        </w:rPr>
      </w:pPr>
      <w:bookmarkStart w:id="5" w:name="_Toc19525"/>
      <w:r>
        <w:rPr>
          <w:rFonts w:hint="eastAsia" w:ascii="宋体" w:hAnsi="宋体"/>
          <w:sz w:val="30"/>
          <w:szCs w:val="30"/>
          <w:lang w:val="en-US" w:eastAsia="zh-CN"/>
        </w:rPr>
        <w:t>一、收支预算总表（收支总表1）</w:t>
      </w:r>
      <w:bookmarkEnd w:id="5"/>
    </w:p>
    <w:p w14:paraId="4A8537B4">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left="660" w:leftChars="300" w:right="660" w:rightChars="300"/>
        <w:jc w:val="left"/>
        <w:textAlignment w:val="auto"/>
        <w:outlineLvl w:val="1"/>
        <w:rPr>
          <w:rFonts w:hint="eastAsia" w:ascii="宋体" w:hAnsi="宋体"/>
          <w:sz w:val="30"/>
          <w:szCs w:val="30"/>
          <w:lang w:val="en-US" w:eastAsia="zh-CN"/>
        </w:rPr>
      </w:pPr>
      <w:bookmarkStart w:id="6" w:name="_Toc27375"/>
      <w:r>
        <w:rPr>
          <w:rFonts w:hint="eastAsia" w:ascii="宋体" w:hAnsi="宋体"/>
          <w:sz w:val="30"/>
          <w:szCs w:val="30"/>
          <w:lang w:val="en-US" w:eastAsia="zh-CN"/>
        </w:rPr>
        <w:t>二、收入预算总表（收入总表2）</w:t>
      </w:r>
      <w:bookmarkEnd w:id="6"/>
    </w:p>
    <w:p w14:paraId="00A79EC7">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left="660" w:leftChars="300" w:right="660" w:rightChars="300"/>
        <w:jc w:val="left"/>
        <w:textAlignment w:val="auto"/>
        <w:outlineLvl w:val="1"/>
        <w:rPr>
          <w:rFonts w:hint="eastAsia" w:ascii="宋体" w:hAnsi="宋体"/>
          <w:sz w:val="30"/>
          <w:szCs w:val="30"/>
          <w:lang w:val="en-US" w:eastAsia="zh-CN"/>
        </w:rPr>
      </w:pPr>
      <w:bookmarkStart w:id="7" w:name="_Toc1535"/>
      <w:r>
        <w:rPr>
          <w:rFonts w:hint="eastAsia" w:ascii="宋体" w:hAnsi="宋体"/>
          <w:sz w:val="30"/>
          <w:szCs w:val="30"/>
          <w:lang w:val="en-US" w:eastAsia="zh-CN"/>
        </w:rPr>
        <w:t>三、征收预期表（征收预期3）</w:t>
      </w:r>
      <w:bookmarkEnd w:id="7"/>
    </w:p>
    <w:p w14:paraId="43C889AF">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left="660" w:leftChars="300" w:right="660" w:rightChars="300"/>
        <w:jc w:val="left"/>
        <w:textAlignment w:val="auto"/>
        <w:outlineLvl w:val="1"/>
        <w:rPr>
          <w:rFonts w:hint="eastAsia" w:ascii="宋体" w:hAnsi="宋体"/>
          <w:sz w:val="30"/>
          <w:szCs w:val="30"/>
          <w:lang w:val="en-US" w:eastAsia="zh-CN"/>
        </w:rPr>
      </w:pPr>
      <w:bookmarkStart w:id="8" w:name="_Toc24022"/>
      <w:r>
        <w:rPr>
          <w:rFonts w:hint="eastAsia" w:ascii="宋体" w:hAnsi="宋体"/>
          <w:sz w:val="30"/>
          <w:szCs w:val="30"/>
          <w:lang w:val="en-US" w:eastAsia="zh-CN"/>
        </w:rPr>
        <w:t>四、支出预算总表（支出总表4）</w:t>
      </w:r>
      <w:bookmarkEnd w:id="8"/>
    </w:p>
    <w:p w14:paraId="1F0C6A4E">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left="660" w:leftChars="300" w:right="660" w:rightChars="300"/>
        <w:jc w:val="left"/>
        <w:textAlignment w:val="auto"/>
        <w:outlineLvl w:val="1"/>
        <w:rPr>
          <w:rFonts w:hint="eastAsia" w:ascii="宋体" w:hAnsi="宋体"/>
          <w:sz w:val="30"/>
          <w:szCs w:val="30"/>
          <w:lang w:val="en-US" w:eastAsia="zh-CN"/>
        </w:rPr>
      </w:pPr>
      <w:bookmarkStart w:id="9" w:name="_Toc28846"/>
      <w:r>
        <w:rPr>
          <w:rFonts w:hint="eastAsia" w:ascii="宋体" w:hAnsi="宋体"/>
          <w:sz w:val="30"/>
          <w:szCs w:val="30"/>
          <w:lang w:val="en-US" w:eastAsia="zh-CN"/>
        </w:rPr>
        <w:t>五、财政拨款预算总表（财拨总表5）</w:t>
      </w:r>
      <w:bookmarkEnd w:id="9"/>
    </w:p>
    <w:p w14:paraId="3DAA2C9E">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left="660" w:leftChars="300" w:right="660" w:rightChars="300"/>
        <w:jc w:val="left"/>
        <w:textAlignment w:val="auto"/>
        <w:outlineLvl w:val="1"/>
        <w:rPr>
          <w:rFonts w:hint="eastAsia" w:ascii="宋体" w:hAnsi="宋体"/>
          <w:sz w:val="30"/>
          <w:szCs w:val="30"/>
          <w:lang w:val="en-US" w:eastAsia="zh-CN"/>
        </w:rPr>
      </w:pPr>
      <w:bookmarkStart w:id="10" w:name="_Toc26817"/>
      <w:r>
        <w:rPr>
          <w:rFonts w:hint="eastAsia" w:ascii="宋体" w:hAnsi="宋体"/>
          <w:sz w:val="30"/>
          <w:szCs w:val="30"/>
          <w:lang w:val="en-US" w:eastAsia="zh-CN"/>
        </w:rPr>
        <w:t>六、一般公共预算支出表（一般预算支出6）</w:t>
      </w:r>
      <w:bookmarkEnd w:id="10"/>
    </w:p>
    <w:p w14:paraId="304EEC42">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left="660" w:leftChars="300" w:right="660" w:rightChars="300"/>
        <w:jc w:val="left"/>
        <w:textAlignment w:val="auto"/>
        <w:outlineLvl w:val="1"/>
        <w:rPr>
          <w:rFonts w:hint="eastAsia" w:ascii="宋体" w:hAnsi="宋体"/>
          <w:sz w:val="30"/>
          <w:szCs w:val="30"/>
          <w:lang w:val="en-US" w:eastAsia="zh-CN"/>
        </w:rPr>
      </w:pPr>
      <w:bookmarkStart w:id="11" w:name="_Toc12197"/>
      <w:r>
        <w:rPr>
          <w:rFonts w:hint="eastAsia" w:ascii="宋体" w:hAnsi="宋体"/>
          <w:sz w:val="30"/>
          <w:szCs w:val="30"/>
          <w:lang w:val="en-US" w:eastAsia="zh-CN"/>
        </w:rPr>
        <w:t>七、一般公共预算基本支出表（基本支出7）</w:t>
      </w:r>
      <w:bookmarkEnd w:id="11"/>
      <w:r>
        <w:rPr>
          <w:rFonts w:hint="eastAsia" w:ascii="宋体" w:hAnsi="宋体"/>
          <w:sz w:val="30"/>
          <w:szCs w:val="30"/>
          <w:lang w:val="en-US" w:eastAsia="zh-CN"/>
        </w:rPr>
        <w:t xml:space="preserve"> </w:t>
      </w:r>
    </w:p>
    <w:p w14:paraId="6DEAA523">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left="660" w:leftChars="300" w:right="660" w:rightChars="300"/>
        <w:jc w:val="left"/>
        <w:textAlignment w:val="auto"/>
        <w:outlineLvl w:val="1"/>
        <w:rPr>
          <w:rFonts w:hint="eastAsia" w:ascii="宋体" w:hAnsi="宋体"/>
          <w:sz w:val="30"/>
          <w:szCs w:val="30"/>
          <w:lang w:val="en-US" w:eastAsia="zh-CN"/>
        </w:rPr>
      </w:pPr>
      <w:bookmarkStart w:id="12" w:name="_Toc19152"/>
      <w:r>
        <w:rPr>
          <w:rFonts w:hint="eastAsia" w:ascii="宋体" w:hAnsi="宋体"/>
          <w:sz w:val="30"/>
          <w:szCs w:val="30"/>
          <w:lang w:val="en-US" w:eastAsia="zh-CN"/>
        </w:rPr>
        <w:t>八、一般公共预算“三公”经费支出预算表（三公8）</w:t>
      </w:r>
      <w:bookmarkEnd w:id="12"/>
    </w:p>
    <w:p w14:paraId="275BB5A7">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left="660" w:leftChars="300" w:right="660" w:rightChars="300"/>
        <w:jc w:val="left"/>
        <w:textAlignment w:val="auto"/>
        <w:outlineLvl w:val="1"/>
        <w:rPr>
          <w:rFonts w:hint="eastAsia" w:ascii="宋体" w:hAnsi="宋体"/>
          <w:sz w:val="30"/>
          <w:szCs w:val="30"/>
          <w:lang w:val="en-US" w:eastAsia="zh-CN"/>
        </w:rPr>
      </w:pPr>
      <w:bookmarkStart w:id="13" w:name="_Toc29240"/>
      <w:r>
        <w:rPr>
          <w:rFonts w:hint="eastAsia" w:ascii="宋体" w:hAnsi="宋体"/>
          <w:sz w:val="30"/>
          <w:szCs w:val="30"/>
          <w:lang w:val="en-US" w:eastAsia="zh-CN"/>
        </w:rPr>
        <w:t>九、政府性基金预算支出表（基金9）</w:t>
      </w:r>
      <w:bookmarkEnd w:id="13"/>
      <w:r>
        <w:rPr>
          <w:rFonts w:hint="eastAsia" w:ascii="宋体" w:hAnsi="宋体"/>
          <w:sz w:val="30"/>
          <w:szCs w:val="30"/>
          <w:lang w:val="en-US" w:eastAsia="zh-CN"/>
        </w:rPr>
        <w:t xml:space="preserve"> </w:t>
      </w:r>
    </w:p>
    <w:p w14:paraId="1FD31879">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left="660" w:leftChars="300" w:right="660" w:rightChars="300"/>
        <w:jc w:val="left"/>
        <w:textAlignment w:val="auto"/>
        <w:outlineLvl w:val="1"/>
        <w:rPr>
          <w:rFonts w:hint="eastAsia" w:ascii="宋体" w:hAnsi="宋体"/>
          <w:sz w:val="30"/>
          <w:szCs w:val="30"/>
          <w:lang w:val="en-US" w:eastAsia="zh-CN"/>
        </w:rPr>
      </w:pPr>
      <w:bookmarkStart w:id="14" w:name="_Toc30708"/>
      <w:r>
        <w:rPr>
          <w:rFonts w:hint="eastAsia" w:ascii="宋体" w:hAnsi="宋体"/>
          <w:sz w:val="30"/>
          <w:szCs w:val="30"/>
          <w:lang w:val="en-US" w:eastAsia="zh-CN"/>
        </w:rPr>
        <w:t>十、国有资本经营预算支出表（国资10）</w:t>
      </w:r>
      <w:bookmarkEnd w:id="14"/>
    </w:p>
    <w:p w14:paraId="66E7FD3F">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left="660" w:leftChars="300" w:right="660" w:rightChars="300"/>
        <w:jc w:val="left"/>
        <w:textAlignment w:val="auto"/>
        <w:outlineLvl w:val="1"/>
        <w:rPr>
          <w:rFonts w:hint="eastAsia" w:ascii="宋体" w:hAnsi="宋体"/>
          <w:sz w:val="30"/>
          <w:szCs w:val="30"/>
          <w:lang w:val="en-US" w:eastAsia="zh-CN"/>
        </w:rPr>
      </w:pPr>
      <w:bookmarkStart w:id="15" w:name="_Toc32474"/>
      <w:r>
        <w:rPr>
          <w:rFonts w:hint="eastAsia" w:ascii="宋体" w:hAnsi="宋体"/>
          <w:sz w:val="30"/>
          <w:szCs w:val="30"/>
          <w:lang w:val="en-US" w:eastAsia="zh-CN"/>
        </w:rPr>
        <w:t>十一、支出功能分类预算表（支出功能11）</w:t>
      </w:r>
      <w:bookmarkEnd w:id="15"/>
    </w:p>
    <w:p w14:paraId="2A1B53F4">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left="660" w:leftChars="300" w:right="660" w:rightChars="300"/>
        <w:jc w:val="left"/>
        <w:textAlignment w:val="auto"/>
        <w:outlineLvl w:val="1"/>
        <w:rPr>
          <w:rFonts w:hint="eastAsia" w:ascii="宋体" w:hAnsi="宋体"/>
          <w:sz w:val="30"/>
          <w:szCs w:val="30"/>
          <w:lang w:val="en-US" w:eastAsia="zh-CN"/>
        </w:rPr>
      </w:pPr>
      <w:bookmarkStart w:id="16" w:name="_Toc15884"/>
      <w:r>
        <w:rPr>
          <w:rFonts w:hint="eastAsia" w:ascii="宋体" w:hAnsi="宋体"/>
          <w:sz w:val="30"/>
          <w:szCs w:val="30"/>
          <w:lang w:val="en-US" w:eastAsia="zh-CN"/>
        </w:rPr>
        <w:t>十二、支出经济分类预算表（支出经济分类12）</w:t>
      </w:r>
      <w:bookmarkEnd w:id="16"/>
    </w:p>
    <w:p w14:paraId="40F32A8E">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left="660" w:leftChars="300" w:right="660" w:rightChars="300"/>
        <w:jc w:val="left"/>
        <w:textAlignment w:val="auto"/>
        <w:outlineLvl w:val="1"/>
        <w:rPr>
          <w:rFonts w:hint="eastAsia" w:ascii="宋体" w:hAnsi="宋体"/>
          <w:sz w:val="30"/>
          <w:szCs w:val="30"/>
          <w:lang w:val="en-US" w:eastAsia="zh-CN"/>
        </w:rPr>
      </w:pPr>
      <w:bookmarkStart w:id="17" w:name="_Toc28730"/>
      <w:r>
        <w:rPr>
          <w:rFonts w:hint="eastAsia" w:ascii="宋体" w:hAnsi="宋体"/>
          <w:sz w:val="30"/>
          <w:szCs w:val="30"/>
          <w:lang w:val="en-US" w:eastAsia="zh-CN"/>
        </w:rPr>
        <w:t>十三、上级资金安排情况表（上级资金安排13）</w:t>
      </w:r>
      <w:bookmarkEnd w:id="17"/>
      <w:r>
        <w:rPr>
          <w:rFonts w:hint="eastAsia" w:ascii="宋体" w:hAnsi="宋体"/>
          <w:sz w:val="30"/>
          <w:szCs w:val="30"/>
          <w:lang w:val="en-US" w:eastAsia="zh-CN"/>
        </w:rPr>
        <w:t xml:space="preserve"> </w:t>
      </w:r>
    </w:p>
    <w:p w14:paraId="6C3A2225">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left="660" w:leftChars="300" w:right="660" w:rightChars="300"/>
        <w:jc w:val="left"/>
        <w:textAlignment w:val="auto"/>
        <w:outlineLvl w:val="1"/>
        <w:rPr>
          <w:rFonts w:hint="eastAsia" w:ascii="宋体" w:hAnsi="宋体"/>
          <w:sz w:val="30"/>
          <w:szCs w:val="30"/>
          <w:lang w:val="en-US" w:eastAsia="zh-CN"/>
        </w:rPr>
      </w:pPr>
      <w:bookmarkStart w:id="18" w:name="_Toc2069"/>
      <w:r>
        <w:rPr>
          <w:rFonts w:hint="eastAsia" w:ascii="宋体" w:hAnsi="宋体"/>
          <w:sz w:val="30"/>
          <w:szCs w:val="30"/>
          <w:lang w:val="en-US" w:eastAsia="zh-CN"/>
        </w:rPr>
        <w:t>十四、项目支出表（项目支出14）</w:t>
      </w:r>
      <w:bookmarkEnd w:id="18"/>
    </w:p>
    <w:p w14:paraId="49ABCFCA">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left="660" w:leftChars="300" w:right="660" w:rightChars="300"/>
        <w:jc w:val="left"/>
        <w:textAlignment w:val="auto"/>
        <w:outlineLvl w:val="1"/>
        <w:rPr>
          <w:rFonts w:hint="eastAsia" w:ascii="宋体" w:hAnsi="宋体"/>
          <w:sz w:val="30"/>
          <w:szCs w:val="30"/>
          <w:lang w:val="en-US" w:eastAsia="zh-CN"/>
        </w:rPr>
      </w:pPr>
      <w:r>
        <w:rPr>
          <w:rFonts w:hint="eastAsia" w:ascii="宋体" w:hAnsi="宋体"/>
          <w:sz w:val="30"/>
          <w:szCs w:val="30"/>
          <w:lang w:val="en-US" w:eastAsia="zh-CN"/>
        </w:rPr>
        <w:t>十五、项目支出明细表（项目支出15）</w:t>
      </w:r>
    </w:p>
    <w:p w14:paraId="72314A0A">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left="660" w:leftChars="300" w:right="660" w:rightChars="300"/>
        <w:jc w:val="left"/>
        <w:textAlignment w:val="auto"/>
        <w:outlineLvl w:val="1"/>
        <w:rPr>
          <w:rFonts w:hint="eastAsia" w:ascii="宋体" w:hAnsi="宋体"/>
          <w:sz w:val="30"/>
          <w:szCs w:val="30"/>
          <w:lang w:val="en-US" w:eastAsia="zh-CN"/>
        </w:rPr>
      </w:pPr>
      <w:bookmarkStart w:id="19" w:name="_Toc31813"/>
      <w:r>
        <w:rPr>
          <w:rFonts w:hint="eastAsia" w:ascii="宋体" w:hAnsi="宋体"/>
          <w:sz w:val="30"/>
          <w:szCs w:val="30"/>
          <w:lang w:val="en-US" w:eastAsia="zh-CN"/>
        </w:rPr>
        <w:t>十六、政府购买服务预算表（购买服务16）</w:t>
      </w:r>
      <w:bookmarkEnd w:id="19"/>
    </w:p>
    <w:p w14:paraId="0260C3EF">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left="660" w:leftChars="300" w:right="660" w:rightChars="300"/>
        <w:jc w:val="left"/>
        <w:textAlignment w:val="auto"/>
        <w:outlineLvl w:val="1"/>
        <w:rPr>
          <w:rFonts w:hint="eastAsia" w:ascii="宋体" w:hAnsi="宋体"/>
          <w:sz w:val="30"/>
          <w:szCs w:val="30"/>
          <w:lang w:val="en-US" w:eastAsia="zh-CN"/>
        </w:rPr>
      </w:pPr>
      <w:bookmarkStart w:id="20" w:name="_Toc22434"/>
      <w:bookmarkStart w:id="21" w:name="_Toc16458"/>
      <w:r>
        <w:rPr>
          <w:rFonts w:hint="eastAsia" w:ascii="宋体" w:hAnsi="宋体"/>
          <w:sz w:val="30"/>
          <w:szCs w:val="30"/>
          <w:lang w:val="en-US" w:eastAsia="zh-CN"/>
        </w:rPr>
        <w:t>十七、采购需求表（采购需求表17）</w:t>
      </w:r>
      <w:bookmarkEnd w:id="20"/>
    </w:p>
    <w:p w14:paraId="3C38FA9E">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left="660" w:leftChars="300" w:right="660" w:rightChars="300"/>
        <w:jc w:val="left"/>
        <w:textAlignment w:val="auto"/>
        <w:outlineLvl w:val="1"/>
        <w:rPr>
          <w:rFonts w:hint="eastAsia" w:ascii="宋体" w:hAnsi="宋体"/>
          <w:sz w:val="30"/>
          <w:szCs w:val="30"/>
          <w:lang w:val="en-US" w:eastAsia="zh-CN"/>
        </w:rPr>
      </w:pPr>
      <w:bookmarkStart w:id="22" w:name="_Toc7220"/>
      <w:r>
        <w:rPr>
          <w:rFonts w:hint="eastAsia" w:ascii="宋体" w:hAnsi="宋体"/>
          <w:sz w:val="30"/>
          <w:szCs w:val="30"/>
          <w:lang w:val="en-US" w:eastAsia="zh-CN"/>
        </w:rPr>
        <w:t>十八、国有资产配置预算表（资产18）</w:t>
      </w:r>
      <w:bookmarkEnd w:id="22"/>
    </w:p>
    <w:p w14:paraId="3D795730">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left="660" w:leftChars="300" w:right="660" w:rightChars="300"/>
        <w:jc w:val="left"/>
        <w:textAlignment w:val="auto"/>
        <w:outlineLvl w:val="1"/>
        <w:rPr>
          <w:rFonts w:hint="eastAsia" w:ascii="宋体" w:hAnsi="宋体"/>
          <w:sz w:val="30"/>
          <w:szCs w:val="30"/>
          <w:lang w:val="en-US" w:eastAsia="zh-CN"/>
        </w:rPr>
      </w:pPr>
      <w:bookmarkStart w:id="23" w:name="_Toc3888"/>
      <w:r>
        <w:rPr>
          <w:rFonts w:hint="eastAsia" w:ascii="宋体" w:hAnsi="宋体"/>
          <w:sz w:val="30"/>
          <w:szCs w:val="30"/>
          <w:lang w:val="en-US" w:eastAsia="zh-CN"/>
        </w:rPr>
        <w:t>十九、项目支出绩效表（项目绩效19）</w:t>
      </w:r>
      <w:bookmarkEnd w:id="23"/>
    </w:p>
    <w:p w14:paraId="1E45CFC5">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left="660" w:leftChars="300" w:right="660" w:rightChars="300"/>
        <w:jc w:val="left"/>
        <w:textAlignment w:val="auto"/>
        <w:outlineLvl w:val="1"/>
        <w:rPr>
          <w:rFonts w:hint="eastAsia" w:ascii="宋体" w:hAnsi="宋体"/>
          <w:sz w:val="30"/>
          <w:szCs w:val="30"/>
          <w:lang w:val="en-US" w:eastAsia="zh-CN"/>
        </w:rPr>
      </w:pPr>
      <w:bookmarkStart w:id="24" w:name="_Toc26130"/>
      <w:r>
        <w:rPr>
          <w:rFonts w:hint="eastAsia" w:ascii="宋体" w:hAnsi="宋体"/>
          <w:sz w:val="30"/>
          <w:szCs w:val="30"/>
          <w:lang w:val="en-US" w:eastAsia="zh-CN"/>
        </w:rPr>
        <w:t>二十、部门绩效表（部门绩效20）</w:t>
      </w:r>
      <w:bookmarkEnd w:id="24"/>
    </w:p>
    <w:p w14:paraId="578F68EF">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left="660" w:leftChars="300" w:right="660" w:rightChars="300"/>
        <w:jc w:val="left"/>
        <w:textAlignment w:val="auto"/>
        <w:outlineLvl w:val="1"/>
        <w:rPr>
          <w:rFonts w:hint="eastAsia" w:ascii="宋体" w:hAnsi="宋体"/>
          <w:sz w:val="30"/>
          <w:szCs w:val="30"/>
          <w:lang w:val="en-US" w:eastAsia="zh-CN"/>
        </w:rPr>
      </w:pPr>
      <w:bookmarkStart w:id="25" w:name="_Toc15389"/>
      <w:r>
        <w:rPr>
          <w:rFonts w:hint="eastAsia" w:ascii="宋体" w:hAnsi="宋体"/>
          <w:sz w:val="30"/>
          <w:szCs w:val="30"/>
          <w:lang w:val="en-US" w:eastAsia="zh-CN"/>
        </w:rPr>
        <w:t>二十一、年初政府采购项目预算表（政府采购项目预算表21）</w:t>
      </w:r>
      <w:bookmarkEnd w:id="25"/>
    </w:p>
    <w:p w14:paraId="00715519">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left="660" w:leftChars="300" w:right="660" w:rightChars="300"/>
        <w:jc w:val="left"/>
        <w:textAlignment w:val="auto"/>
        <w:outlineLvl w:val="1"/>
        <w:rPr>
          <w:rFonts w:hint="eastAsia" w:ascii="宋体" w:hAnsi="宋体"/>
          <w:sz w:val="30"/>
          <w:szCs w:val="30"/>
          <w:lang w:val="en-US" w:eastAsia="zh-CN"/>
        </w:rPr>
      </w:pPr>
      <w:bookmarkStart w:id="26" w:name="_Toc11097"/>
      <w:r>
        <w:rPr>
          <w:rFonts w:hint="eastAsia" w:ascii="宋体" w:hAnsi="宋体"/>
          <w:sz w:val="30"/>
          <w:szCs w:val="30"/>
          <w:lang w:val="en-US" w:eastAsia="zh-CN"/>
        </w:rPr>
        <w:t>二十二、2026-2028年支出计划总表（三年计划总表22）</w:t>
      </w:r>
      <w:bookmarkEnd w:id="26"/>
    </w:p>
    <w:p w14:paraId="77FCD501">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left="660" w:leftChars="300" w:right="660" w:rightChars="300"/>
        <w:jc w:val="left"/>
        <w:textAlignment w:val="auto"/>
        <w:outlineLvl w:val="1"/>
        <w:rPr>
          <w:rFonts w:hint="eastAsia" w:ascii="宋体" w:hAnsi="宋体"/>
          <w:sz w:val="30"/>
          <w:szCs w:val="30"/>
          <w:lang w:val="en-US" w:eastAsia="zh-CN"/>
        </w:rPr>
      </w:pPr>
      <w:bookmarkStart w:id="27" w:name="_Toc17731"/>
      <w:r>
        <w:rPr>
          <w:rFonts w:hint="eastAsia" w:ascii="宋体" w:hAnsi="宋体"/>
          <w:sz w:val="30"/>
          <w:szCs w:val="30"/>
          <w:lang w:val="en-US" w:eastAsia="zh-CN"/>
        </w:rPr>
        <w:t>二十三、2026-2028年支出计划明细表（三年计划明细表23）</w:t>
      </w:r>
      <w:bookmarkEnd w:id="27"/>
    </w:p>
    <w:p w14:paraId="59DEA35E">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left="660" w:leftChars="300" w:right="660" w:rightChars="300"/>
        <w:jc w:val="left"/>
        <w:textAlignment w:val="auto"/>
        <w:outlineLvl w:val="1"/>
        <w:rPr>
          <w:rFonts w:hint="eastAsia" w:ascii="宋体" w:hAnsi="宋体"/>
          <w:sz w:val="30"/>
          <w:szCs w:val="30"/>
          <w:lang w:val="en-US" w:eastAsia="zh-CN"/>
        </w:rPr>
      </w:pPr>
      <w:bookmarkStart w:id="28" w:name="_Toc19864"/>
      <w:r>
        <w:rPr>
          <w:rFonts w:hint="eastAsia" w:ascii="宋体" w:hAnsi="宋体"/>
          <w:sz w:val="30"/>
          <w:szCs w:val="30"/>
          <w:lang w:val="en-US" w:eastAsia="zh-CN"/>
        </w:rPr>
        <w:t>二十四、人员和车辆基本情况表（人员24）</w:t>
      </w:r>
      <w:bookmarkEnd w:id="28"/>
    </w:p>
    <w:p w14:paraId="00158240">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440" w:lineRule="exact"/>
        <w:ind w:right="660" w:rightChars="300" w:firstLine="602" w:firstLineChars="200"/>
        <w:jc w:val="left"/>
        <w:textAlignment w:val="auto"/>
        <w:outlineLvl w:val="1"/>
        <w:rPr>
          <w:rFonts w:hint="default" w:ascii="宋体" w:hAnsi="宋体"/>
          <w:b/>
          <w:bCs/>
          <w:sz w:val="30"/>
          <w:szCs w:val="30"/>
          <w:lang w:val="en-US" w:eastAsia="zh-CN"/>
        </w:rPr>
      </w:pPr>
      <w:bookmarkStart w:id="29" w:name="_Toc19339"/>
      <w:r>
        <w:rPr>
          <w:rFonts w:hint="eastAsia" w:ascii="宋体" w:hAnsi="宋体"/>
          <w:b/>
          <w:bCs/>
          <w:sz w:val="30"/>
          <w:szCs w:val="30"/>
          <w:lang w:val="en-US" w:eastAsia="zh-CN"/>
        </w:rPr>
        <w:t>以上所有表格详见部门说明后附件。</w:t>
      </w:r>
      <w:bookmarkEnd w:id="21"/>
      <w:bookmarkEnd w:id="29"/>
    </w:p>
    <w:p w14:paraId="74110F85">
      <w:pPr>
        <w:keepNext w:val="0"/>
        <w:keepLines w:val="0"/>
        <w:pageBreakBefore w:val="0"/>
        <w:widowControl w:val="0"/>
        <w:kinsoku/>
        <w:wordWrap/>
        <w:overflowPunct/>
        <w:topLinePunct w:val="0"/>
        <w:autoSpaceDE w:val="0"/>
        <w:autoSpaceDN w:val="0"/>
        <w:bidi w:val="0"/>
        <w:adjustRightInd/>
        <w:snapToGrid/>
        <w:spacing w:line="480" w:lineRule="exact"/>
        <w:textAlignment w:val="auto"/>
        <w:rPr>
          <w:rFonts w:ascii="宋体" w:hAnsi="宋体"/>
          <w:sz w:val="30"/>
          <w:szCs w:val="30"/>
        </w:rPr>
      </w:pPr>
      <w:r>
        <w:rPr>
          <w:rFonts w:ascii="宋体" w:hAnsi="宋体"/>
          <w:sz w:val="30"/>
          <w:szCs w:val="30"/>
        </w:rPr>
        <w:br w:type="page"/>
      </w:r>
    </w:p>
    <w:p w14:paraId="487DDC95">
      <w:pPr>
        <w:pStyle w:val="2"/>
        <w:rPr>
          <w:rFonts w:ascii="宋体" w:hAnsi="宋体"/>
          <w:sz w:val="20"/>
        </w:rPr>
      </w:pPr>
    </w:p>
    <w:p w14:paraId="7F834C31">
      <w:pPr>
        <w:pStyle w:val="2"/>
        <w:numPr>
          <w:ilvl w:val="0"/>
          <w:numId w:val="2"/>
        </w:numPr>
        <w:spacing w:before="6"/>
        <w:ind w:left="0" w:leftChars="0" w:firstLine="0" w:firstLineChars="0"/>
        <w:jc w:val="center"/>
        <w:outlineLvl w:val="0"/>
        <w:rPr>
          <w:rFonts w:hint="eastAsia" w:ascii="宋体" w:hAnsi="宋体" w:eastAsia="方正小标宋简体" w:cs="方正小标宋简体"/>
          <w:sz w:val="52"/>
          <w:szCs w:val="52"/>
          <w:lang w:val="en-US" w:eastAsia="zh-CN"/>
        </w:rPr>
      </w:pPr>
      <w:bookmarkStart w:id="30" w:name="_Toc330"/>
    </w:p>
    <w:p w14:paraId="4541A68A">
      <w:pPr>
        <w:pStyle w:val="2"/>
        <w:numPr>
          <w:ilvl w:val="0"/>
          <w:numId w:val="0"/>
        </w:numPr>
        <w:spacing w:before="6"/>
        <w:ind w:leftChars="0" w:right="0" w:rightChars="0"/>
        <w:jc w:val="center"/>
        <w:outlineLvl w:val="0"/>
        <w:rPr>
          <w:rFonts w:hint="eastAsia" w:ascii="宋体" w:hAnsi="宋体" w:eastAsia="方正小标宋简体" w:cs="方正小标宋简体"/>
          <w:b w:val="0"/>
          <w:bCs w:val="0"/>
          <w:sz w:val="52"/>
          <w:szCs w:val="52"/>
          <w:lang w:val="en-US" w:eastAsia="zh-CN"/>
        </w:rPr>
      </w:pPr>
      <w:r>
        <w:rPr>
          <w:rFonts w:hint="eastAsia" w:ascii="宋体" w:hAnsi="宋体" w:eastAsia="方正小标宋简体" w:cs="方正小标宋简体"/>
          <w:b w:val="0"/>
          <w:bCs w:val="0"/>
          <w:sz w:val="52"/>
          <w:szCs w:val="52"/>
          <w:lang w:val="en-US" w:eastAsia="zh-CN"/>
        </w:rPr>
        <w:t>乐山市五通桥区人民政府办公室</w:t>
      </w:r>
      <w:bookmarkEnd w:id="30"/>
    </w:p>
    <w:p w14:paraId="750B2461">
      <w:pPr>
        <w:pStyle w:val="2"/>
        <w:numPr>
          <w:ilvl w:val="0"/>
          <w:numId w:val="0"/>
        </w:numPr>
        <w:spacing w:before="6"/>
        <w:ind w:leftChars="0" w:right="0" w:rightChars="0"/>
        <w:jc w:val="center"/>
        <w:outlineLvl w:val="1"/>
        <w:rPr>
          <w:rFonts w:hint="eastAsia" w:ascii="宋体" w:hAnsi="宋体" w:eastAsia="黑体"/>
          <w:b w:val="0"/>
          <w:bCs w:val="0"/>
          <w:color w:val="333333"/>
        </w:rPr>
      </w:pPr>
      <w:bookmarkStart w:id="31" w:name="_Toc13299"/>
      <w:bookmarkStart w:id="32" w:name="_Toc1047"/>
      <w:r>
        <w:rPr>
          <w:rFonts w:hint="eastAsia" w:ascii="宋体" w:hAnsi="宋体" w:eastAsia="方正小标宋简体" w:cs="方正小标宋简体"/>
          <w:b w:val="0"/>
          <w:bCs w:val="0"/>
          <w:sz w:val="52"/>
          <w:szCs w:val="52"/>
          <w:lang w:val="en-US" w:eastAsia="zh-CN"/>
        </w:rPr>
        <w:t>2026年部门预算情况说明</w:t>
      </w:r>
      <w:bookmarkEnd w:id="31"/>
      <w:bookmarkEnd w:id="32"/>
    </w:p>
    <w:p w14:paraId="0376D47D">
      <w:pPr>
        <w:pStyle w:val="2"/>
        <w:keepNext w:val="0"/>
        <w:keepLines w:val="0"/>
        <w:pageBreakBefore w:val="0"/>
        <w:widowControl w:val="0"/>
        <w:kinsoku/>
        <w:wordWrap/>
        <w:overflowPunct/>
        <w:topLinePunct w:val="0"/>
        <w:autoSpaceDE w:val="0"/>
        <w:autoSpaceDN w:val="0"/>
        <w:bidi w:val="0"/>
        <w:adjustRightInd/>
        <w:snapToGrid/>
        <w:spacing w:before="300" w:after="0" w:afterLines="50" w:line="600" w:lineRule="exact"/>
        <w:ind w:firstLine="640" w:firstLineChars="200"/>
        <w:textAlignment w:val="auto"/>
        <w:outlineLvl w:val="1"/>
        <w:rPr>
          <w:rFonts w:hint="eastAsia" w:ascii="宋体" w:hAnsi="宋体" w:eastAsia="黑体"/>
          <w:color w:val="333333"/>
        </w:rPr>
      </w:pPr>
      <w:bookmarkStart w:id="33" w:name="_Toc14393"/>
      <w:r>
        <w:rPr>
          <w:rFonts w:hint="eastAsia" w:ascii="宋体" w:hAnsi="宋体" w:eastAsia="黑体"/>
          <w:color w:val="333333"/>
          <w:lang w:val="en-US" w:eastAsia="zh-CN"/>
        </w:rPr>
        <w:t xml:space="preserve">  </w:t>
      </w:r>
      <w:r>
        <w:rPr>
          <w:rFonts w:hint="eastAsia" w:ascii="宋体" w:hAnsi="宋体" w:eastAsia="黑体"/>
          <w:color w:val="333333"/>
        </w:rPr>
        <w:t>一、收支预算情况说明</w:t>
      </w:r>
      <w:bookmarkEnd w:id="33"/>
    </w:p>
    <w:p w14:paraId="6C2BB000">
      <w:pPr>
        <w:pStyle w:val="19"/>
        <w:keepNext w:val="0"/>
        <w:keepLines w:val="0"/>
        <w:pageBreakBefore w:val="0"/>
        <w:widowControl w:val="0"/>
        <w:kinsoku/>
        <w:wordWrap/>
        <w:overflowPunct/>
        <w:autoSpaceDE w:val="0"/>
        <w:autoSpaceDN w:val="0"/>
        <w:bidi w:val="0"/>
        <w:adjustRightInd/>
        <w:snapToGrid/>
        <w:spacing w:before="0" w:after="0" w:line="600" w:lineRule="exact"/>
        <w:ind w:left="0" w:leftChars="0" w:right="0" w:firstLine="640" w:firstLineChars="200"/>
        <w:jc w:val="left"/>
        <w:textAlignment w:val="auto"/>
        <w:rPr>
          <w:rFonts w:hint="default" w:ascii="仿宋" w:hAnsi="仿宋" w:eastAsia="仿宋"/>
          <w:lang w:val="en-US" w:eastAsia="zh-CN"/>
        </w:rPr>
      </w:pPr>
      <w:bookmarkStart w:id="34" w:name="_Toc20181"/>
      <w:r>
        <w:rPr>
          <w:rFonts w:hint="eastAsia" w:ascii="仿宋" w:hAnsi="仿宋" w:eastAsia="仿宋"/>
          <w:lang w:val="en-US" w:eastAsia="zh-CN"/>
        </w:rPr>
        <w:t>按照综合预算的原则,乐山市五通桥区人民政府办公室所有收入和支出均纳入部门预算管理。收入包括：一般公共预算拨款收入，上年结转结余；支出包括：一般公共服务支出、 国防支出、社会保障和就业支出、医疗卫生与计划生育支出、住房保障支出。乐山市五通桥区人民政府办公室2026年收支预算总数1985.37万元,比2025年收支预算总数1715.97万元增加269.4万元。主要原因是项目经费增加。</w:t>
      </w:r>
    </w:p>
    <w:p w14:paraId="02818A86">
      <w:pPr>
        <w:pStyle w:val="4"/>
        <w:keepNext w:val="0"/>
        <w:keepLines w:val="0"/>
        <w:pageBreakBefore w:val="0"/>
        <w:widowControl w:val="0"/>
        <w:kinsoku/>
        <w:wordWrap/>
        <w:overflowPunct/>
        <w:topLinePunct w:val="0"/>
        <w:autoSpaceDE w:val="0"/>
        <w:autoSpaceDN w:val="0"/>
        <w:bidi w:val="0"/>
        <w:adjustRightInd/>
        <w:snapToGrid/>
        <w:spacing w:before="100" w:after="0" w:afterLines="50" w:line="600" w:lineRule="exact"/>
        <w:textAlignment w:val="auto"/>
        <w:rPr>
          <w:rFonts w:hint="eastAsia" w:ascii="宋体" w:hAnsi="宋体"/>
        </w:rPr>
      </w:pPr>
      <w:r>
        <w:rPr>
          <w:rFonts w:hint="eastAsia" w:ascii="宋体" w:hAnsi="宋体"/>
        </w:rPr>
        <w:t>（一）收入预算情况</w:t>
      </w:r>
      <w:bookmarkEnd w:id="34"/>
    </w:p>
    <w:p w14:paraId="333694ED">
      <w:pPr>
        <w:pStyle w:val="19"/>
        <w:keepNext w:val="0"/>
        <w:keepLines w:val="0"/>
        <w:pageBreakBefore w:val="0"/>
        <w:widowControl w:val="0"/>
        <w:kinsoku/>
        <w:wordWrap/>
        <w:overflowPunct/>
        <w:autoSpaceDE w:val="0"/>
        <w:autoSpaceDN w:val="0"/>
        <w:bidi w:val="0"/>
        <w:adjustRightInd/>
        <w:snapToGrid/>
        <w:spacing w:before="0" w:after="0" w:line="600" w:lineRule="exact"/>
        <w:ind w:left="1" w:right="0"/>
        <w:jc w:val="left"/>
        <w:textAlignment w:val="auto"/>
        <w:rPr>
          <w:rFonts w:hint="default" w:ascii="仿宋" w:hAnsi="仿宋" w:eastAsia="仿宋"/>
          <w:lang w:val="en-US" w:eastAsia="zh-CN"/>
        </w:rPr>
      </w:pPr>
      <w:r>
        <w:rPr>
          <w:rFonts w:hint="eastAsia" w:ascii="仿宋" w:hAnsi="仿宋" w:eastAsia="仿宋"/>
          <w:lang w:val="en-US" w:eastAsia="zh-CN"/>
        </w:rPr>
        <w:t>五通桥区政府办公室2026年收入预算1985.37万元，其中：上年结转178万元，占8.97%；一般公共预算拨款收入1807.37万元，占91.03%；政府基金预算拨款收入0万元，占0%；事业收入0万元，占0%；事业单位经营收入0万元，占0%；其他收入0万元，占0%。</w:t>
      </w:r>
    </w:p>
    <w:p w14:paraId="0BB964E2">
      <w:pPr>
        <w:pStyle w:val="4"/>
        <w:keepNext w:val="0"/>
        <w:keepLines w:val="0"/>
        <w:pageBreakBefore w:val="0"/>
        <w:widowControl w:val="0"/>
        <w:kinsoku/>
        <w:wordWrap/>
        <w:overflowPunct/>
        <w:topLinePunct w:val="0"/>
        <w:autoSpaceDE w:val="0"/>
        <w:autoSpaceDN w:val="0"/>
        <w:bidi w:val="0"/>
        <w:adjustRightInd/>
        <w:snapToGrid/>
        <w:spacing w:before="100" w:after="0" w:afterLines="50" w:line="600" w:lineRule="exact"/>
        <w:textAlignment w:val="auto"/>
        <w:rPr>
          <w:rFonts w:ascii="宋体" w:hAnsi="宋体"/>
        </w:rPr>
      </w:pPr>
      <w:bookmarkStart w:id="35" w:name="_Toc30757"/>
      <w:r>
        <w:rPr>
          <w:rFonts w:ascii="宋体" w:hAnsi="宋体"/>
        </w:rPr>
        <w:t>（二）支出预算情况</w:t>
      </w:r>
      <w:bookmarkEnd w:id="35"/>
    </w:p>
    <w:p w14:paraId="13CB5907">
      <w:pPr>
        <w:pStyle w:val="19"/>
        <w:spacing w:before="0" w:after="0"/>
        <w:ind w:left="1" w:right="0"/>
        <w:jc w:val="left"/>
        <w:rPr>
          <w:rFonts w:hint="default" w:ascii="仿宋" w:hAnsi="仿宋" w:eastAsia="仿宋"/>
          <w:lang w:val="en-US" w:eastAsia="zh-CN"/>
        </w:rPr>
      </w:pPr>
      <w:r>
        <w:rPr>
          <w:rFonts w:hint="eastAsia" w:ascii="宋体" w:hAnsi="宋体"/>
          <w:sz w:val="32"/>
          <w:lang w:val="en-US" w:eastAsia="zh-CN"/>
        </w:rPr>
        <w:t xml:space="preserve"> </w:t>
      </w:r>
      <w:r>
        <w:rPr>
          <w:rFonts w:hint="eastAsia"/>
          <w:lang w:eastAsia="zh-CN"/>
        </w:rPr>
        <w:t>五通桥</w:t>
      </w:r>
      <w:r>
        <w:rPr>
          <w:rFonts w:hint="eastAsia"/>
        </w:rPr>
        <w:t>区政府办公室</w:t>
      </w:r>
      <w:r>
        <w:rPr>
          <w:rFonts w:hint="eastAsia" w:ascii="仿宋" w:hAnsi="仿宋" w:eastAsia="仿宋"/>
          <w:lang w:val="en-US" w:eastAsia="zh-CN"/>
        </w:rPr>
        <w:t>2026年支出预算1985.37万元，其中：人员工资福利支出763.88万元，日常公用支出万373.53元，对个人和家庭的补助支出36.86万元，专项支出811.1万元。</w:t>
      </w:r>
    </w:p>
    <w:p w14:paraId="7494BCE7">
      <w:pPr>
        <w:pStyle w:val="4"/>
        <w:keepNext w:val="0"/>
        <w:keepLines w:val="0"/>
        <w:pageBreakBefore w:val="0"/>
        <w:widowControl w:val="0"/>
        <w:kinsoku/>
        <w:wordWrap/>
        <w:overflowPunct/>
        <w:topLinePunct w:val="0"/>
        <w:autoSpaceDE w:val="0"/>
        <w:autoSpaceDN w:val="0"/>
        <w:bidi w:val="0"/>
        <w:adjustRightInd/>
        <w:snapToGrid/>
        <w:spacing w:before="100" w:after="0" w:afterLines="50" w:line="600" w:lineRule="exact"/>
        <w:ind w:left="0" w:leftChars="0" w:firstLine="0" w:firstLineChars="0"/>
        <w:textAlignment w:val="auto"/>
        <w:rPr>
          <w:rFonts w:hint="default" w:ascii="宋体" w:hAnsi="宋体"/>
          <w:sz w:val="32"/>
          <w:lang w:val="en-US" w:eastAsia="zh-CN"/>
        </w:rPr>
      </w:pPr>
    </w:p>
    <w:p w14:paraId="00ED1318">
      <w:pPr>
        <w:pStyle w:val="2"/>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36" w:name="_Toc28286"/>
      <w:r>
        <w:rPr>
          <w:rFonts w:hint="eastAsia" w:ascii="宋体" w:hAnsi="宋体" w:eastAsia="黑体"/>
          <w:color w:val="333333"/>
        </w:rPr>
        <w:t>二、财政拨款收支预算情况说明</w:t>
      </w:r>
      <w:bookmarkEnd w:id="36"/>
    </w:p>
    <w:p w14:paraId="3B058686">
      <w:pPr>
        <w:pStyle w:val="19"/>
        <w:spacing w:before="0" w:after="0"/>
        <w:ind w:left="1" w:right="0"/>
        <w:jc w:val="left"/>
        <w:rPr>
          <w:rFonts w:hint="eastAsia" w:ascii="仿宋" w:hAnsi="仿宋" w:eastAsia="仿宋"/>
          <w:lang w:val="en-US" w:eastAsia="zh-CN"/>
        </w:rPr>
      </w:pPr>
      <w:bookmarkStart w:id="37" w:name="_Toc18314"/>
      <w:r>
        <w:rPr>
          <w:rFonts w:hint="eastAsia"/>
          <w:lang w:eastAsia="zh-CN"/>
        </w:rPr>
        <w:t>五通桥</w:t>
      </w:r>
      <w:r>
        <w:rPr>
          <w:rFonts w:hint="eastAsia"/>
        </w:rPr>
        <w:t>区政府办公室</w:t>
      </w:r>
      <w:r>
        <w:rPr>
          <w:rFonts w:hint="eastAsia" w:ascii="仿宋" w:hAnsi="仿宋" w:eastAsia="仿宋"/>
          <w:lang w:val="en-US" w:eastAsia="zh-CN"/>
        </w:rPr>
        <w:t>2026年财政拨款收支预算总数1985.37万元,比2025年财政拨款收支预算总数1715.97万元增加269.4万元。主要原因是项目经费增加。</w:t>
      </w:r>
    </w:p>
    <w:p w14:paraId="1824741E">
      <w:pPr>
        <w:pStyle w:val="19"/>
        <w:spacing w:before="0" w:after="0"/>
        <w:ind w:left="1" w:right="0"/>
        <w:jc w:val="left"/>
        <w:rPr>
          <w:rFonts w:hint="eastAsia" w:ascii="仿宋" w:hAnsi="仿宋" w:eastAsia="仿宋"/>
          <w:lang w:val="en-US" w:eastAsia="zh-CN"/>
        </w:rPr>
      </w:pPr>
      <w:r>
        <w:rPr>
          <w:rFonts w:hint="eastAsia" w:ascii="仿宋" w:hAnsi="仿宋" w:eastAsia="仿宋"/>
          <w:lang w:val="en-US" w:eastAsia="zh-CN"/>
        </w:rPr>
        <w:t>其中：基本支出1174.27万元，占59.15%；项目支出811.1万元，占41.85%。</w:t>
      </w:r>
    </w:p>
    <w:p w14:paraId="1A31E1F7">
      <w:pPr>
        <w:pStyle w:val="19"/>
        <w:spacing w:before="0" w:after="0"/>
        <w:ind w:left="1" w:right="0"/>
        <w:jc w:val="left"/>
        <w:rPr>
          <w:rFonts w:hint="eastAsia" w:ascii="仿宋" w:hAnsi="仿宋" w:eastAsia="仿宋"/>
          <w:lang w:val="en-US" w:eastAsia="zh-CN"/>
        </w:rPr>
      </w:pPr>
      <w:r>
        <w:rPr>
          <w:rFonts w:hint="eastAsia" w:ascii="仿宋" w:hAnsi="仿宋" w:eastAsia="仿宋"/>
          <w:lang w:val="en-US" w:eastAsia="zh-CN"/>
        </w:rPr>
        <w:t>基本支出，是用于保障</w:t>
      </w:r>
      <w:r>
        <w:rPr>
          <w:rFonts w:hint="eastAsia"/>
          <w:lang w:eastAsia="zh-CN"/>
        </w:rPr>
        <w:t>五通桥</w:t>
      </w:r>
      <w:r>
        <w:rPr>
          <w:rFonts w:hint="eastAsia"/>
        </w:rPr>
        <w:t>区政府办公室</w:t>
      </w:r>
      <w:r>
        <w:rPr>
          <w:rFonts w:hint="eastAsia" w:ascii="仿宋" w:hAnsi="仿宋" w:eastAsia="仿宋"/>
          <w:lang w:val="en-US" w:eastAsia="zh-CN"/>
        </w:rPr>
        <w:t>机关、下属事业单位等机构正常运转的日常支出，包括基本工资、津贴补贴等人员经费以及办公费、印刷费、水电费、办公设备购置等日常公用经费。</w:t>
      </w:r>
    </w:p>
    <w:p w14:paraId="6CD7CD2D">
      <w:pPr>
        <w:pStyle w:val="19"/>
        <w:spacing w:before="0" w:after="0"/>
        <w:ind w:left="1" w:right="0"/>
        <w:jc w:val="left"/>
        <w:rPr>
          <w:rFonts w:hint="eastAsia" w:ascii="宋体" w:hAnsi="宋体"/>
          <w:sz w:val="32"/>
          <w:lang w:val="en-US" w:eastAsia="zh-CN"/>
        </w:rPr>
      </w:pPr>
      <w:r>
        <w:rPr>
          <w:rFonts w:hint="eastAsia" w:ascii="仿宋" w:hAnsi="仿宋" w:eastAsia="仿宋"/>
          <w:lang w:val="en-US" w:eastAsia="zh-CN"/>
        </w:rPr>
        <w:t>项目支出，是用于</w:t>
      </w:r>
      <w:r>
        <w:rPr>
          <w:rFonts w:hint="eastAsia"/>
          <w:lang w:eastAsia="zh-CN"/>
        </w:rPr>
        <w:t>五通桥</w:t>
      </w:r>
      <w:r>
        <w:rPr>
          <w:rFonts w:hint="eastAsia"/>
        </w:rPr>
        <w:t>区政府办公室</w:t>
      </w:r>
      <w:r>
        <w:rPr>
          <w:rFonts w:hint="eastAsia" w:ascii="仿宋" w:hAnsi="仿宋" w:eastAsia="仿宋"/>
          <w:lang w:val="en-US" w:eastAsia="zh-CN"/>
        </w:rPr>
        <w:t>机关、下属事业单位等机构为完成特定的行政工作任务</w:t>
      </w:r>
      <w:r>
        <w:rPr>
          <w:rFonts w:hint="eastAsia" w:ascii="宋体" w:hAnsi="宋体"/>
          <w:sz w:val="32"/>
          <w:lang w:val="en-US" w:eastAsia="zh-CN"/>
        </w:rPr>
        <w:t>或事业发展目标，用于专项业务工作的经费支出。</w:t>
      </w:r>
    </w:p>
    <w:p w14:paraId="3A00B498">
      <w:pPr>
        <w:pStyle w:val="2"/>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r>
        <w:rPr>
          <w:rFonts w:hint="eastAsia" w:ascii="宋体" w:hAnsi="宋体" w:eastAsia="黑体"/>
          <w:color w:val="333333"/>
        </w:rPr>
        <w:t>三、一般公共预算当年拨款情况说明</w:t>
      </w:r>
      <w:bookmarkEnd w:id="37"/>
    </w:p>
    <w:p w14:paraId="1DBB31A1">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643" w:firstLineChars="200"/>
        <w:textAlignment w:val="auto"/>
        <w:rPr>
          <w:rFonts w:ascii="宋体" w:hAnsi="宋体"/>
        </w:rPr>
      </w:pPr>
      <w:bookmarkStart w:id="38" w:name="_Toc3917"/>
      <w:r>
        <w:rPr>
          <w:rFonts w:ascii="宋体" w:hAnsi="宋体"/>
        </w:rPr>
        <w:t>（一）一般公共预算当年拨款规模变化情况</w:t>
      </w:r>
      <w:bookmarkEnd w:id="38"/>
    </w:p>
    <w:p w14:paraId="2DEE91BA">
      <w:pPr>
        <w:pStyle w:val="19"/>
        <w:spacing w:before="0" w:after="0"/>
        <w:ind w:left="1" w:right="0"/>
        <w:jc w:val="left"/>
        <w:rPr>
          <w:rFonts w:hint="eastAsia" w:ascii="仿宋" w:hAnsi="仿宋" w:eastAsia="仿宋"/>
          <w:lang w:val="en-US" w:eastAsia="zh-CN"/>
        </w:rPr>
      </w:pPr>
      <w:bookmarkStart w:id="39" w:name="_Toc27070"/>
      <w:r>
        <w:rPr>
          <w:rFonts w:hint="eastAsia"/>
          <w:lang w:eastAsia="zh-CN"/>
        </w:rPr>
        <w:t>五通桥</w:t>
      </w:r>
      <w:r>
        <w:rPr>
          <w:rFonts w:hint="eastAsia"/>
        </w:rPr>
        <w:t>区政府办公室</w:t>
      </w:r>
      <w:r>
        <w:rPr>
          <w:rFonts w:hint="eastAsia" w:ascii="仿宋" w:hAnsi="仿宋" w:eastAsia="仿宋"/>
          <w:lang w:val="en-US" w:eastAsia="zh-CN"/>
        </w:rPr>
        <w:t>2026年一般公共预算当年拨款1985.37万元，比2025年财政拨款收支预算总数1715.97万元增加269.4万元。主要原因是项目经费增加。</w:t>
      </w:r>
    </w:p>
    <w:p w14:paraId="0A701D18">
      <w:pPr>
        <w:pStyle w:val="19"/>
        <w:spacing w:before="0" w:after="0"/>
        <w:ind w:left="1" w:right="0"/>
        <w:jc w:val="left"/>
        <w:rPr>
          <w:rFonts w:ascii="宋体" w:hAnsi="宋体"/>
          <w:b/>
          <w:bCs/>
        </w:rPr>
      </w:pPr>
      <w:r>
        <w:rPr>
          <w:rFonts w:ascii="宋体" w:hAnsi="宋体"/>
          <w:b/>
          <w:bCs/>
        </w:rPr>
        <w:t>（二）一般公共预算当年拨款结构情况</w:t>
      </w:r>
      <w:bookmarkEnd w:id="39"/>
    </w:p>
    <w:p w14:paraId="1B586A9F">
      <w:pPr>
        <w:pStyle w:val="19"/>
        <w:spacing w:before="0" w:after="0"/>
        <w:ind w:left="1" w:right="0"/>
        <w:jc w:val="left"/>
        <w:rPr>
          <w:rFonts w:hint="eastAsia" w:ascii="仿宋" w:hAnsi="仿宋" w:eastAsia="仿宋"/>
          <w:lang w:val="en-US" w:eastAsia="zh-CN"/>
        </w:rPr>
      </w:pPr>
      <w:bookmarkStart w:id="40" w:name="_Toc1521"/>
      <w:r>
        <w:rPr>
          <w:rFonts w:hint="eastAsia"/>
          <w:lang w:eastAsia="zh-CN"/>
        </w:rPr>
        <w:t>五通桥</w:t>
      </w:r>
      <w:r>
        <w:rPr>
          <w:rFonts w:hint="eastAsia"/>
        </w:rPr>
        <w:t>区政府办公室</w:t>
      </w:r>
      <w:r>
        <w:rPr>
          <w:rFonts w:hint="eastAsia" w:ascii="仿宋" w:hAnsi="仿宋" w:eastAsia="仿宋"/>
          <w:lang w:val="en-US" w:eastAsia="zh-CN"/>
        </w:rPr>
        <w:t>2026年一般公共预算支出1985.37万元，主要包括一般公共服务支出1553.39万元，占78.24%；国防支出178万元，占8.97%；社会保障和就业支出 155.67万元，占7.84%；卫生健康支出31.16万元，占1.57%；住房保障支出67.15万元，占3.38%。</w:t>
      </w:r>
    </w:p>
    <w:p w14:paraId="0C9D2D4A">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643" w:firstLineChars="200"/>
        <w:textAlignment w:val="auto"/>
        <w:rPr>
          <w:rFonts w:hint="eastAsia" w:ascii="宋体" w:hAnsi="宋体" w:eastAsia="楷体"/>
          <w:highlight w:val="yellow"/>
          <w:lang w:eastAsia="zh-CN"/>
        </w:rPr>
      </w:pPr>
      <w:r>
        <w:rPr>
          <w:rFonts w:ascii="宋体" w:hAnsi="宋体"/>
        </w:rPr>
        <w:t>（三）一般公共预算当年拨款具体使用情况</w:t>
      </w:r>
      <w:bookmarkEnd w:id="40"/>
    </w:p>
    <w:p w14:paraId="5BE27B3C">
      <w:pPr>
        <w:pStyle w:val="19"/>
        <w:spacing w:before="0" w:after="0"/>
        <w:ind w:left="1" w:right="0"/>
        <w:jc w:val="left"/>
        <w:rPr>
          <w:rFonts w:hint="eastAsia" w:ascii="仿宋" w:hAnsi="仿宋" w:eastAsia="仿宋"/>
          <w:lang w:val="en-US" w:eastAsia="zh-CN"/>
        </w:rPr>
      </w:pPr>
      <w:bookmarkStart w:id="41" w:name="_Toc11444"/>
      <w:r>
        <w:rPr>
          <w:rFonts w:hint="eastAsia" w:ascii="仿宋" w:hAnsi="仿宋" w:eastAsia="仿宋"/>
          <w:lang w:val="en-US" w:eastAsia="zh-CN"/>
        </w:rPr>
        <w:t>1.一般公共服务（类）政府办公厅（室）及相关机构事务（款）行政运行（项）:2026年预算数为769.28万元，主要用于：区政府办公室机关正常运转的基本支出，包括基本工资、津贴补贴等人员经费以及办公费、印刷费、水电费等日常公用经费。</w:t>
      </w:r>
    </w:p>
    <w:p w14:paraId="18E8546F">
      <w:pPr>
        <w:pStyle w:val="19"/>
        <w:spacing w:before="0" w:after="0"/>
        <w:ind w:left="1" w:right="0"/>
        <w:jc w:val="left"/>
        <w:rPr>
          <w:rFonts w:hint="eastAsia" w:ascii="仿宋" w:hAnsi="仿宋" w:eastAsia="仿宋"/>
          <w:lang w:val="en-US" w:eastAsia="zh-CN"/>
        </w:rPr>
      </w:pPr>
      <w:r>
        <w:rPr>
          <w:rFonts w:hint="eastAsia" w:ascii="仿宋" w:hAnsi="仿宋" w:eastAsia="仿宋"/>
          <w:lang w:val="en-US" w:eastAsia="zh-CN"/>
        </w:rPr>
        <w:t>2. 一般公共服务（类）政府办公厅（室）及相关机构事务（款）事业运行（项）:2026年预算数为151.01万元，主要用于：区政府办公室下属事业单位正常运转的基本支出，包括基本工资、津贴补贴等人员经费以及办公费等日常公用经费。</w:t>
      </w:r>
    </w:p>
    <w:p w14:paraId="070BBE39">
      <w:pPr>
        <w:pStyle w:val="19"/>
        <w:spacing w:before="0" w:after="0"/>
        <w:ind w:left="1" w:right="0"/>
        <w:jc w:val="left"/>
        <w:rPr>
          <w:rFonts w:hint="eastAsia" w:ascii="仿宋" w:hAnsi="仿宋" w:eastAsia="仿宋"/>
          <w:lang w:val="en-US" w:eastAsia="zh-CN"/>
        </w:rPr>
      </w:pPr>
      <w:r>
        <w:rPr>
          <w:rFonts w:hint="eastAsia" w:ascii="仿宋" w:hAnsi="仿宋" w:eastAsia="仿宋"/>
          <w:lang w:val="en-US" w:eastAsia="zh-CN"/>
        </w:rPr>
        <w:t>3.一般公共服务（类）政府办公厅（室）及相关机构事务（款）其他政府办公厅（室）及相关机构事务（项）:2026年预算数为633.1万元，主要用于：区本级集中统筹管理公务用车运行维护、电子政务外网IPV6升级改造、春节慰问一线在岗职工、区政府后勤保障、公务用车信息化平台终端运行、信息化维护及光纤租用等工作任务的项目支出。</w:t>
      </w:r>
    </w:p>
    <w:p w14:paraId="621DE688">
      <w:pPr>
        <w:pStyle w:val="19"/>
        <w:spacing w:before="0" w:after="0"/>
        <w:ind w:left="1" w:right="0"/>
        <w:jc w:val="left"/>
        <w:rPr>
          <w:rFonts w:hint="default" w:ascii="仿宋" w:hAnsi="仿宋" w:eastAsia="仿宋"/>
          <w:lang w:val="en-US" w:eastAsia="zh-CN"/>
        </w:rPr>
      </w:pPr>
      <w:r>
        <w:rPr>
          <w:rFonts w:hint="eastAsia" w:ascii="仿宋" w:hAnsi="仿宋" w:eastAsia="仿宋"/>
          <w:lang w:val="en-US" w:eastAsia="zh-CN"/>
        </w:rPr>
        <w:t>4.国防支出（类）国防动员（款）其他国防动员支出（项）：2026年预算数为178万元，用于国防动员专项工作经费。</w:t>
      </w:r>
    </w:p>
    <w:p w14:paraId="2DE17977">
      <w:pPr>
        <w:pStyle w:val="19"/>
        <w:spacing w:before="0" w:after="0"/>
        <w:ind w:left="1" w:right="0"/>
        <w:jc w:val="left"/>
        <w:rPr>
          <w:rFonts w:hint="eastAsia" w:ascii="仿宋" w:hAnsi="仿宋" w:eastAsia="仿宋"/>
          <w:lang w:val="en-US" w:eastAsia="zh-CN"/>
        </w:rPr>
      </w:pPr>
      <w:r>
        <w:rPr>
          <w:rFonts w:hint="eastAsia" w:ascii="仿宋" w:hAnsi="仿宋" w:eastAsia="仿宋"/>
          <w:lang w:val="en-US" w:eastAsia="zh-CN"/>
        </w:rPr>
        <w:t>5.社会保障和就业（类）行政事业单位离退休（款）机关事业单位基本养老保险缴费支出（项）:2026年预算数为78.31万元，主要用于：实施养老保险制度后，部门按规定由单位缴纳的基本养老保险费支出。</w:t>
      </w:r>
    </w:p>
    <w:p w14:paraId="23E4C16D">
      <w:pPr>
        <w:pStyle w:val="19"/>
        <w:spacing w:before="0" w:after="0"/>
        <w:ind w:left="1" w:right="0"/>
        <w:jc w:val="left"/>
        <w:rPr>
          <w:rFonts w:hint="eastAsia" w:ascii="仿宋" w:hAnsi="仿宋" w:eastAsia="仿宋"/>
          <w:lang w:val="en-US" w:eastAsia="zh-CN"/>
        </w:rPr>
      </w:pPr>
      <w:r>
        <w:rPr>
          <w:rFonts w:hint="eastAsia" w:ascii="仿宋" w:hAnsi="仿宋" w:eastAsia="仿宋"/>
          <w:lang w:val="en-US" w:eastAsia="zh-CN"/>
        </w:rPr>
        <w:t>6.社会保障和就业（类）行政事业单位离退休（款）机关事业单位职业年金缴费支出（项）:2026年预算数为39.15万元，主要用于：实施养老保险制度后，部门按规定由单位缴纳的职业年金支出。</w:t>
      </w:r>
    </w:p>
    <w:p w14:paraId="13D20E69">
      <w:pPr>
        <w:pStyle w:val="19"/>
        <w:spacing w:before="0" w:after="0"/>
        <w:ind w:left="1" w:right="0"/>
        <w:jc w:val="left"/>
        <w:rPr>
          <w:rFonts w:hint="eastAsia" w:ascii="仿宋" w:hAnsi="仿宋" w:eastAsia="仿宋"/>
          <w:lang w:val="en-US" w:eastAsia="zh-CN"/>
        </w:rPr>
      </w:pPr>
      <w:r>
        <w:rPr>
          <w:rFonts w:hint="eastAsia" w:ascii="仿宋" w:hAnsi="仿宋" w:eastAsia="仿宋"/>
          <w:lang w:val="en-US" w:eastAsia="zh-CN"/>
        </w:rPr>
        <w:t>7.社会保障和就业（类）其他社会保障和就业支出（款）其他行政事业单位养老支出（项）：2026年预算数为35.82万元，主要用于：</w:t>
      </w:r>
    </w:p>
    <w:p w14:paraId="14EBC61A">
      <w:pPr>
        <w:pStyle w:val="19"/>
        <w:spacing w:before="0" w:after="0"/>
        <w:ind w:left="0" w:leftChars="0" w:right="0" w:firstLine="0" w:firstLineChars="0"/>
        <w:jc w:val="left"/>
        <w:rPr>
          <w:rFonts w:hint="default" w:ascii="仿宋" w:hAnsi="仿宋" w:eastAsia="仿宋"/>
          <w:lang w:val="en-US" w:eastAsia="zh-CN"/>
        </w:rPr>
      </w:pPr>
      <w:r>
        <w:rPr>
          <w:rFonts w:hint="eastAsia" w:ascii="仿宋" w:hAnsi="仿宋" w:eastAsia="仿宋"/>
          <w:lang w:val="en-US" w:eastAsia="zh-CN"/>
        </w:rPr>
        <w:t>退休人员慰问费及其他用于行政事业单位养老方面的支出。</w:t>
      </w:r>
    </w:p>
    <w:p w14:paraId="4800FD13">
      <w:pPr>
        <w:pStyle w:val="19"/>
        <w:spacing w:before="0" w:after="0"/>
        <w:ind w:left="1" w:right="0"/>
        <w:jc w:val="left"/>
        <w:rPr>
          <w:rFonts w:hint="eastAsia" w:ascii="仿宋" w:hAnsi="仿宋" w:eastAsia="仿宋"/>
          <w:lang w:val="en-US" w:eastAsia="zh-CN"/>
        </w:rPr>
      </w:pPr>
      <w:r>
        <w:rPr>
          <w:rFonts w:hint="eastAsia" w:ascii="仿宋" w:hAnsi="仿宋" w:eastAsia="仿宋"/>
          <w:lang w:val="en-US" w:eastAsia="zh-CN"/>
        </w:rPr>
        <w:t>8.社会保障和就业（类）其他社会保障和就业支出（款）其他社会保障和就业支出（项）:2026年预算数为2.39万元，主要用于：部门按规定由单位缴纳的工伤保险和失业保险缴费支出。</w:t>
      </w:r>
    </w:p>
    <w:p w14:paraId="386FD78A">
      <w:pPr>
        <w:pStyle w:val="19"/>
        <w:spacing w:before="0" w:after="0"/>
        <w:ind w:left="1" w:right="0"/>
        <w:jc w:val="left"/>
        <w:rPr>
          <w:rFonts w:hint="eastAsia" w:ascii="仿宋" w:hAnsi="仿宋" w:eastAsia="仿宋"/>
          <w:lang w:val="en-US" w:eastAsia="zh-CN"/>
        </w:rPr>
      </w:pPr>
      <w:r>
        <w:rPr>
          <w:rFonts w:hint="eastAsia" w:ascii="仿宋" w:hAnsi="仿宋" w:eastAsia="仿宋"/>
          <w:lang w:val="en-US" w:eastAsia="zh-CN"/>
        </w:rPr>
        <w:t>9.卫生健康（类）行政事业单位医疗（款）行政单位医疗（项）:2026年预算数为16.8万元，主要用于：区政府办公室机关单位基本医疗保险缴费支出。</w:t>
      </w:r>
    </w:p>
    <w:p w14:paraId="47470669">
      <w:pPr>
        <w:pStyle w:val="19"/>
        <w:spacing w:before="0" w:after="0"/>
        <w:ind w:left="1" w:right="0"/>
        <w:jc w:val="left"/>
        <w:rPr>
          <w:rFonts w:hint="eastAsia" w:ascii="仿宋" w:hAnsi="仿宋" w:eastAsia="仿宋"/>
          <w:lang w:val="en-US" w:eastAsia="zh-CN"/>
        </w:rPr>
      </w:pPr>
      <w:r>
        <w:rPr>
          <w:rFonts w:hint="eastAsia" w:ascii="仿宋" w:hAnsi="仿宋" w:eastAsia="仿宋"/>
          <w:lang w:val="en-US" w:eastAsia="zh-CN"/>
        </w:rPr>
        <w:t>10.卫生健康（类）行政事业单位医疗（款）事业单位医疗（项）:2026年预算数为6.06万元，主要用于：部门下属事业单位基本医疗保险缴费支出。</w:t>
      </w:r>
    </w:p>
    <w:p w14:paraId="6B0B6EEF">
      <w:pPr>
        <w:pStyle w:val="19"/>
        <w:spacing w:before="0" w:after="0"/>
        <w:ind w:left="1" w:right="0"/>
        <w:jc w:val="left"/>
        <w:rPr>
          <w:rFonts w:hint="eastAsia" w:ascii="仿宋" w:hAnsi="仿宋" w:eastAsia="仿宋"/>
          <w:lang w:val="en-US" w:eastAsia="zh-CN"/>
        </w:rPr>
      </w:pPr>
      <w:r>
        <w:rPr>
          <w:rFonts w:hint="eastAsia" w:ascii="仿宋" w:hAnsi="仿宋" w:eastAsia="仿宋"/>
          <w:lang w:val="en-US" w:eastAsia="zh-CN"/>
        </w:rPr>
        <w:t>11.卫生健康（类）行政事业单位医疗（款）公务员医疗补助（项）:2026年预算数为8.3万元，主要用于：区政府办公室机关及下属事业单位公务员医疗补助缴费支出。</w:t>
      </w:r>
    </w:p>
    <w:p w14:paraId="35A59FC5">
      <w:pPr>
        <w:pStyle w:val="19"/>
        <w:spacing w:before="0" w:after="0"/>
        <w:ind w:left="1" w:right="0"/>
        <w:jc w:val="left"/>
        <w:rPr>
          <w:rFonts w:hint="eastAsia" w:ascii="仿宋" w:hAnsi="仿宋" w:eastAsia="仿宋"/>
          <w:lang w:val="en-US" w:eastAsia="zh-CN"/>
        </w:rPr>
      </w:pPr>
      <w:r>
        <w:rPr>
          <w:rFonts w:hint="eastAsia" w:ascii="仿宋" w:hAnsi="仿宋" w:eastAsia="仿宋"/>
          <w:lang w:val="en-US" w:eastAsia="zh-CN"/>
        </w:rPr>
        <w:t>12.住房保障（类）住房改革支出（款）住房公积金（项）:2026年预算数为67.15万元，主要用于：部门按人力资源和社会保障部、财政部规定的基本工资和津贴补贴以及规定比例为职工缴纳的住房公积金支出。</w:t>
      </w:r>
    </w:p>
    <w:p w14:paraId="54531674">
      <w:pPr>
        <w:pStyle w:val="2"/>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r>
        <w:rPr>
          <w:rFonts w:hint="eastAsia" w:ascii="宋体" w:hAnsi="宋体" w:eastAsia="黑体"/>
          <w:color w:val="333333"/>
        </w:rPr>
        <w:t>四、一般公共预算基本支出情况说明</w:t>
      </w:r>
      <w:bookmarkEnd w:id="41"/>
    </w:p>
    <w:p w14:paraId="3954067F">
      <w:pPr>
        <w:pStyle w:val="19"/>
        <w:spacing w:before="0" w:after="0"/>
        <w:ind w:left="1" w:right="0"/>
        <w:jc w:val="left"/>
        <w:rPr>
          <w:rFonts w:hint="eastAsia" w:ascii="仿宋" w:hAnsi="仿宋" w:eastAsia="仿宋"/>
          <w:lang w:val="en-US" w:eastAsia="zh-CN"/>
        </w:rPr>
      </w:pPr>
      <w:bookmarkStart w:id="42" w:name="_Toc3206"/>
      <w:r>
        <w:rPr>
          <w:rFonts w:hint="eastAsia"/>
          <w:lang w:eastAsia="zh-CN"/>
        </w:rPr>
        <w:t>五通桥</w:t>
      </w:r>
      <w:r>
        <w:rPr>
          <w:rFonts w:hint="eastAsia"/>
        </w:rPr>
        <w:t>区政府办公室</w:t>
      </w:r>
      <w:r>
        <w:rPr>
          <w:rFonts w:hint="eastAsia" w:ascii="仿宋" w:hAnsi="仿宋" w:eastAsia="仿宋"/>
          <w:lang w:val="en-US" w:eastAsia="zh-CN"/>
        </w:rPr>
        <w:t>2026年一般公共预算基本支出1174.27万元，其中：</w:t>
      </w:r>
    </w:p>
    <w:p w14:paraId="41C39F0D">
      <w:pPr>
        <w:pStyle w:val="19"/>
        <w:spacing w:before="0" w:after="0"/>
        <w:ind w:left="1" w:right="0"/>
        <w:jc w:val="left"/>
        <w:rPr>
          <w:rFonts w:hint="eastAsia" w:ascii="仿宋" w:hAnsi="仿宋" w:eastAsia="仿宋"/>
          <w:lang w:val="en-US" w:eastAsia="zh-CN"/>
        </w:rPr>
      </w:pPr>
      <w:r>
        <w:rPr>
          <w:rFonts w:hint="eastAsia" w:ascii="仿宋" w:hAnsi="仿宋" w:eastAsia="仿宋"/>
          <w:lang w:val="en-US" w:eastAsia="zh-CN"/>
        </w:rPr>
        <w:t>人员经费800.74万元，主要包括：基本工资、津贴补贴、奖金、伙食补助费、绩效工资、机关事业单位基本养老保险缴费、职业年金缴费、职工基本医疗保险缴费、其他社会保障缴费、住房公积金、其他工资福利支出、生活补助、其他对个人和家庭的补助支出。</w:t>
      </w:r>
    </w:p>
    <w:p w14:paraId="36AD808A">
      <w:pPr>
        <w:pStyle w:val="19"/>
        <w:spacing w:before="0" w:after="0"/>
        <w:ind w:left="1" w:right="0"/>
        <w:jc w:val="left"/>
        <w:rPr>
          <w:rFonts w:hint="eastAsia" w:ascii="仿宋" w:hAnsi="仿宋" w:eastAsia="仿宋"/>
          <w:lang w:val="en-US" w:eastAsia="zh-CN"/>
        </w:rPr>
      </w:pPr>
      <w:r>
        <w:rPr>
          <w:rFonts w:hint="eastAsia" w:ascii="仿宋" w:hAnsi="仿宋" w:eastAsia="仿宋"/>
          <w:lang w:val="en-US" w:eastAsia="zh-CN"/>
        </w:rPr>
        <w:t>公用经费373.53万元，主要包括：办公费、水费、电费、邮电费、差旅费、维修（护）费、会议费、培训费、公务接待费、劳务费、工会经费、福利费、公务用车运行维护费、其他交通费、其他商品和服务支出。</w:t>
      </w:r>
    </w:p>
    <w:p w14:paraId="4C59572A">
      <w:pPr>
        <w:pStyle w:val="2"/>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r>
        <w:rPr>
          <w:rFonts w:hint="eastAsia" w:ascii="宋体" w:hAnsi="宋体" w:eastAsia="黑体"/>
          <w:color w:val="333333"/>
        </w:rPr>
        <w:t>五、“三公”经费财政拨款预算安排情况说明</w:t>
      </w:r>
      <w:bookmarkEnd w:id="42"/>
    </w:p>
    <w:p w14:paraId="738B853F">
      <w:pPr>
        <w:pStyle w:val="19"/>
        <w:spacing w:before="0" w:after="0"/>
        <w:ind w:left="1" w:right="0"/>
        <w:jc w:val="left"/>
        <w:rPr>
          <w:rFonts w:hint="default" w:ascii="仿宋" w:hAnsi="仿宋" w:eastAsia="仿宋"/>
          <w:lang w:val="en-US" w:eastAsia="zh-CN"/>
        </w:rPr>
      </w:pPr>
      <w:r>
        <w:rPr>
          <w:rFonts w:hint="eastAsia" w:ascii="仿宋" w:hAnsi="仿宋" w:eastAsia="仿宋"/>
          <w:lang w:val="en-US" w:eastAsia="zh-CN"/>
        </w:rPr>
        <w:t>五通桥区政府办公室2026年“三公”经费财政拨款预算数232.3万元，其中：公务接待费17.3万元，公务用车购置0万元，公车运行维护费215万元。2026年公务接待费计划用于接待国内考察调研、学习交流、执行任务等公务活动。无外事接待活动</w:t>
      </w:r>
      <w:r>
        <w:rPr>
          <w:rFonts w:hint="eastAsia" w:ascii="宋体" w:hAnsi="宋体"/>
          <w:sz w:val="32"/>
          <w:lang w:val="en-US" w:eastAsia="zh-CN"/>
        </w:rPr>
        <w:t>。</w:t>
      </w:r>
    </w:p>
    <w:p w14:paraId="40964FB6">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643" w:firstLineChars="200"/>
        <w:textAlignment w:val="auto"/>
        <w:rPr>
          <w:rFonts w:hint="eastAsia" w:ascii="宋体" w:hAnsi="宋体"/>
          <w:lang w:val="en-US" w:eastAsia="zh-CN"/>
        </w:rPr>
      </w:pPr>
      <w:bookmarkStart w:id="43" w:name="_Toc24108"/>
      <w:r>
        <w:rPr>
          <w:rFonts w:ascii="宋体" w:hAnsi="宋体"/>
        </w:rPr>
        <w:t>（一）</w:t>
      </w:r>
      <w:r>
        <w:rPr>
          <w:rFonts w:hint="eastAsia" w:ascii="宋体" w:hAnsi="宋体"/>
          <w:lang w:val="en-US" w:eastAsia="zh-CN"/>
        </w:rPr>
        <w:t>公务接待费变化情况</w:t>
      </w:r>
      <w:bookmarkEnd w:id="43"/>
    </w:p>
    <w:p w14:paraId="28FCA215">
      <w:pPr>
        <w:pStyle w:val="19"/>
        <w:spacing w:before="0" w:after="0"/>
        <w:ind w:left="1" w:right="0"/>
        <w:jc w:val="left"/>
        <w:rPr>
          <w:rFonts w:hint="default" w:ascii="仿宋" w:hAnsi="仿宋" w:eastAsia="仿宋"/>
          <w:lang w:val="en-US" w:eastAsia="zh-CN"/>
        </w:rPr>
      </w:pPr>
      <w:r>
        <w:rPr>
          <w:rFonts w:hint="default" w:ascii="仿宋" w:hAnsi="仿宋" w:eastAsia="仿宋"/>
          <w:lang w:val="en-US" w:eastAsia="zh-CN"/>
        </w:rPr>
        <w:t>公务接待费较</w:t>
      </w:r>
      <w:r>
        <w:rPr>
          <w:rFonts w:hint="eastAsia" w:ascii="仿宋" w:hAnsi="仿宋" w:eastAsia="仿宋"/>
          <w:lang w:val="en-US" w:eastAsia="zh-CN"/>
        </w:rPr>
        <w:t>2025</w:t>
      </w:r>
      <w:r>
        <w:rPr>
          <w:rFonts w:hint="default" w:ascii="仿宋" w:hAnsi="仿宋" w:eastAsia="仿宋"/>
          <w:lang w:val="en-US" w:eastAsia="zh-CN"/>
        </w:rPr>
        <w:t>年预算</w:t>
      </w:r>
      <w:r>
        <w:rPr>
          <w:rFonts w:hint="eastAsia" w:ascii="仿宋" w:hAnsi="仿宋" w:eastAsia="仿宋"/>
          <w:lang w:val="en-US" w:eastAsia="zh-CN"/>
        </w:rPr>
        <w:t>18.3</w:t>
      </w:r>
      <w:r>
        <w:rPr>
          <w:rFonts w:hint="default" w:ascii="仿宋" w:hAnsi="仿宋" w:eastAsia="仿宋"/>
          <w:lang w:val="en-US" w:eastAsia="zh-CN"/>
        </w:rPr>
        <w:t>万元减少</w:t>
      </w:r>
      <w:r>
        <w:rPr>
          <w:rFonts w:hint="eastAsia" w:ascii="仿宋" w:hAnsi="仿宋" w:eastAsia="仿宋"/>
          <w:lang w:val="en-US" w:eastAsia="zh-CN"/>
        </w:rPr>
        <w:t>1</w:t>
      </w:r>
      <w:r>
        <w:rPr>
          <w:rFonts w:hint="default" w:ascii="仿宋" w:hAnsi="仿宋" w:eastAsia="仿宋"/>
          <w:lang w:val="en-US" w:eastAsia="zh-CN"/>
        </w:rPr>
        <w:t>万元。主要原因是厉行节约，压缩接待规模和接待费用。</w:t>
      </w:r>
    </w:p>
    <w:p w14:paraId="16FFFE75">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643" w:firstLineChars="200"/>
        <w:textAlignment w:val="auto"/>
        <w:rPr>
          <w:rFonts w:ascii="宋体" w:hAnsi="宋体"/>
        </w:rPr>
      </w:pPr>
      <w:bookmarkStart w:id="44" w:name="_Toc3483"/>
      <w:bookmarkStart w:id="53" w:name="_GoBack"/>
      <w:bookmarkEnd w:id="53"/>
      <w:r>
        <w:rPr>
          <w:rFonts w:ascii="宋体" w:hAnsi="宋体"/>
        </w:rPr>
        <w:t>（</w:t>
      </w:r>
      <w:r>
        <w:rPr>
          <w:rFonts w:hint="eastAsia" w:ascii="宋体" w:hAnsi="宋体"/>
          <w:lang w:val="en-US" w:eastAsia="zh-CN"/>
        </w:rPr>
        <w:t>二</w:t>
      </w:r>
      <w:r>
        <w:rPr>
          <w:rFonts w:ascii="宋体" w:hAnsi="宋体"/>
        </w:rPr>
        <w:t>）</w:t>
      </w:r>
      <w:r>
        <w:rPr>
          <w:rFonts w:hint="eastAsia" w:ascii="宋体" w:hAnsi="宋体"/>
          <w:lang w:val="en-US" w:eastAsia="zh-CN"/>
        </w:rPr>
        <w:t>公务用车购置及运行维护费变化情况</w:t>
      </w:r>
      <w:bookmarkEnd w:id="44"/>
    </w:p>
    <w:p w14:paraId="2784B282">
      <w:pPr>
        <w:pStyle w:val="19"/>
        <w:spacing w:before="0" w:after="0"/>
        <w:ind w:left="1" w:right="0"/>
        <w:jc w:val="left"/>
        <w:rPr>
          <w:rFonts w:hint="eastAsia" w:ascii="仿宋" w:hAnsi="仿宋" w:eastAsia="仿宋"/>
          <w:lang w:val="en-US" w:eastAsia="zh-CN"/>
        </w:rPr>
      </w:pPr>
      <w:r>
        <w:rPr>
          <w:rFonts w:hint="default" w:ascii="宋体" w:hAnsi="宋体"/>
          <w:sz w:val="32"/>
          <w:lang w:val="en-US" w:eastAsia="zh-CN"/>
        </w:rPr>
        <w:t>公务用车购置及运行维护费较</w:t>
      </w:r>
      <w:r>
        <w:rPr>
          <w:rFonts w:hint="eastAsia" w:ascii="宋体" w:hAnsi="宋体"/>
          <w:sz w:val="32"/>
          <w:lang w:val="en-US" w:eastAsia="zh-CN"/>
        </w:rPr>
        <w:t>2025</w:t>
      </w:r>
      <w:r>
        <w:rPr>
          <w:rFonts w:hint="default" w:ascii="宋体" w:hAnsi="宋体"/>
          <w:sz w:val="32"/>
          <w:lang w:val="en-US" w:eastAsia="zh-CN"/>
        </w:rPr>
        <w:t>预算</w:t>
      </w:r>
      <w:r>
        <w:rPr>
          <w:rFonts w:hint="eastAsia" w:ascii="宋体" w:hAnsi="宋体"/>
          <w:sz w:val="32"/>
          <w:lang w:val="en-US" w:eastAsia="zh-CN"/>
        </w:rPr>
        <w:t>213</w:t>
      </w:r>
      <w:r>
        <w:rPr>
          <w:rFonts w:hint="default" w:ascii="宋体" w:hAnsi="宋体"/>
          <w:sz w:val="32"/>
          <w:lang w:val="en-US" w:eastAsia="zh-CN"/>
        </w:rPr>
        <w:t>万元</w:t>
      </w:r>
      <w:r>
        <w:rPr>
          <w:rFonts w:hint="eastAsia" w:ascii="宋体" w:hAnsi="宋体"/>
          <w:sz w:val="32"/>
          <w:lang w:val="en-US" w:eastAsia="zh-CN"/>
        </w:rPr>
        <w:t>增加2万元</w:t>
      </w:r>
      <w:r>
        <w:rPr>
          <w:rFonts w:hint="default" w:ascii="宋体" w:hAnsi="宋体"/>
          <w:sz w:val="32"/>
          <w:lang w:val="en-US" w:eastAsia="zh-CN"/>
        </w:rPr>
        <w:t>。主要原因是</w:t>
      </w:r>
      <w:r>
        <w:rPr>
          <w:rFonts w:hint="eastAsia" w:ascii="宋体" w:hAnsi="宋体"/>
          <w:sz w:val="32"/>
          <w:lang w:val="en-US" w:eastAsia="zh-CN"/>
        </w:rPr>
        <w:t>增加国防动员车辆运行维护费2万元。</w:t>
      </w:r>
      <w:r>
        <w:rPr>
          <w:rFonts w:hint="default" w:ascii="宋体" w:hAnsi="宋体"/>
          <w:sz w:val="32"/>
          <w:lang w:val="en-US" w:eastAsia="zh-CN"/>
        </w:rPr>
        <w:t>单位实有公务用车</w:t>
      </w:r>
      <w:r>
        <w:rPr>
          <w:rFonts w:hint="eastAsia" w:ascii="宋体" w:hAnsi="宋体"/>
          <w:sz w:val="32"/>
          <w:lang w:val="en-US" w:eastAsia="zh-CN"/>
        </w:rPr>
        <w:t>42</w:t>
      </w:r>
      <w:r>
        <w:rPr>
          <w:rFonts w:hint="default" w:ascii="宋体" w:hAnsi="宋体"/>
          <w:sz w:val="32"/>
          <w:lang w:val="en-US" w:eastAsia="zh-CN"/>
        </w:rPr>
        <w:t>辆，其中：</w:t>
      </w:r>
      <w:r>
        <w:rPr>
          <w:rFonts w:hint="eastAsia" w:ascii="仿宋" w:hAnsi="仿宋" w:eastAsia="仿宋"/>
          <w:lang w:val="en-US" w:eastAsia="zh-CN"/>
        </w:rPr>
        <w:t>轿车36辆，越野车4辆，商务车1辆，中型客车1辆。</w:t>
      </w:r>
    </w:p>
    <w:p w14:paraId="5BAB5904">
      <w:pPr>
        <w:pStyle w:val="19"/>
        <w:spacing w:before="0" w:after="0"/>
        <w:ind w:left="1" w:right="0"/>
        <w:jc w:val="left"/>
        <w:rPr>
          <w:rFonts w:hint="default" w:ascii="宋体" w:hAnsi="宋体"/>
          <w:sz w:val="32"/>
          <w:lang w:val="en-US" w:eastAsia="zh-CN"/>
        </w:rPr>
      </w:pPr>
      <w:r>
        <w:rPr>
          <w:rFonts w:hint="eastAsia" w:ascii="宋体" w:hAnsi="宋体"/>
          <w:sz w:val="32"/>
          <w:lang w:val="en-US" w:eastAsia="zh-CN"/>
        </w:rPr>
        <w:t>2026</w:t>
      </w:r>
      <w:r>
        <w:rPr>
          <w:rFonts w:hint="default" w:ascii="宋体" w:hAnsi="宋体"/>
          <w:sz w:val="32"/>
          <w:lang w:val="en-US" w:eastAsia="zh-CN"/>
        </w:rPr>
        <w:t>年安排公务用车购置费</w:t>
      </w:r>
      <w:r>
        <w:rPr>
          <w:rFonts w:hint="eastAsia" w:ascii="宋体" w:hAnsi="宋体"/>
          <w:sz w:val="32"/>
          <w:lang w:val="en-US" w:eastAsia="zh-CN"/>
        </w:rPr>
        <w:t>0</w:t>
      </w:r>
      <w:r>
        <w:rPr>
          <w:rFonts w:hint="default" w:ascii="宋体" w:hAnsi="宋体"/>
          <w:sz w:val="32"/>
          <w:lang w:val="en-US" w:eastAsia="zh-CN"/>
        </w:rPr>
        <w:t>万元，拟购置公务用车</w:t>
      </w:r>
      <w:r>
        <w:rPr>
          <w:rFonts w:hint="eastAsia" w:ascii="宋体" w:hAnsi="宋体"/>
          <w:sz w:val="32"/>
          <w:lang w:val="en-US" w:eastAsia="zh-CN"/>
        </w:rPr>
        <w:t>0</w:t>
      </w:r>
      <w:r>
        <w:rPr>
          <w:rFonts w:hint="default" w:ascii="宋体" w:hAnsi="宋体"/>
          <w:sz w:val="32"/>
          <w:lang w:val="en-US" w:eastAsia="zh-CN"/>
        </w:rPr>
        <w:t>辆</w:t>
      </w:r>
      <w:r>
        <w:rPr>
          <w:rFonts w:hint="eastAsia" w:ascii="宋体" w:hAnsi="宋体"/>
          <w:sz w:val="32"/>
          <w:lang w:val="en-US" w:eastAsia="zh-CN"/>
        </w:rPr>
        <w:t>,</w:t>
      </w:r>
      <w:r>
        <w:rPr>
          <w:rFonts w:hint="default" w:ascii="宋体" w:hAnsi="宋体"/>
          <w:sz w:val="32"/>
          <w:lang w:val="en-US" w:eastAsia="zh-CN"/>
        </w:rPr>
        <w:t>其中：轿车</w:t>
      </w:r>
      <w:r>
        <w:rPr>
          <w:rFonts w:hint="eastAsia" w:ascii="宋体" w:hAnsi="宋体"/>
          <w:sz w:val="32"/>
          <w:lang w:val="en-US" w:eastAsia="zh-CN"/>
        </w:rPr>
        <w:t>0</w:t>
      </w:r>
      <w:r>
        <w:rPr>
          <w:rFonts w:hint="default" w:ascii="宋体" w:hAnsi="宋体"/>
          <w:sz w:val="32"/>
          <w:lang w:val="en-US" w:eastAsia="zh-CN"/>
        </w:rPr>
        <w:t>辆，旅行车（含商务车）</w:t>
      </w:r>
      <w:r>
        <w:rPr>
          <w:rFonts w:hint="eastAsia" w:ascii="宋体" w:hAnsi="宋体"/>
          <w:sz w:val="32"/>
          <w:lang w:val="en-US" w:eastAsia="zh-CN"/>
        </w:rPr>
        <w:t>0</w:t>
      </w:r>
      <w:r>
        <w:rPr>
          <w:rFonts w:hint="default" w:ascii="宋体" w:hAnsi="宋体"/>
          <w:sz w:val="32"/>
          <w:lang w:val="en-US" w:eastAsia="zh-CN"/>
        </w:rPr>
        <w:t>辆，越野车</w:t>
      </w:r>
      <w:r>
        <w:rPr>
          <w:rFonts w:hint="eastAsia" w:ascii="宋体" w:hAnsi="宋体"/>
          <w:sz w:val="32"/>
          <w:lang w:val="en-US" w:eastAsia="zh-CN"/>
        </w:rPr>
        <w:t>0</w:t>
      </w:r>
      <w:r>
        <w:rPr>
          <w:rFonts w:hint="default" w:ascii="宋体" w:hAnsi="宋体"/>
          <w:sz w:val="32"/>
          <w:lang w:val="en-US" w:eastAsia="zh-CN"/>
        </w:rPr>
        <w:t>辆，大型客、货车</w:t>
      </w:r>
      <w:r>
        <w:rPr>
          <w:rFonts w:hint="eastAsia" w:ascii="宋体" w:hAnsi="宋体"/>
          <w:sz w:val="32"/>
          <w:lang w:val="en-US" w:eastAsia="zh-CN"/>
        </w:rPr>
        <w:t>0</w:t>
      </w:r>
      <w:r>
        <w:rPr>
          <w:rFonts w:hint="default" w:ascii="宋体" w:hAnsi="宋体"/>
          <w:sz w:val="32"/>
          <w:lang w:val="en-US" w:eastAsia="zh-CN"/>
        </w:rPr>
        <w:t>辆。</w:t>
      </w:r>
    </w:p>
    <w:p w14:paraId="0CBF6795">
      <w:pPr>
        <w:pStyle w:val="19"/>
        <w:spacing w:before="0" w:after="0"/>
        <w:ind w:right="0"/>
        <w:jc w:val="left"/>
        <w:rPr>
          <w:rFonts w:hint="default" w:ascii="仿宋" w:hAnsi="仿宋" w:eastAsia="仿宋"/>
          <w:lang w:val="en-US" w:eastAsia="zh-CN"/>
        </w:rPr>
      </w:pPr>
      <w:r>
        <w:rPr>
          <w:rFonts w:hint="eastAsia" w:ascii="宋体" w:hAnsi="宋体"/>
          <w:sz w:val="32"/>
          <w:lang w:val="en-US" w:eastAsia="zh-CN"/>
        </w:rPr>
        <w:t>2026</w:t>
      </w:r>
      <w:r>
        <w:rPr>
          <w:rFonts w:hint="default" w:ascii="宋体" w:hAnsi="宋体"/>
          <w:sz w:val="32"/>
          <w:lang w:val="en-US" w:eastAsia="zh-CN"/>
        </w:rPr>
        <w:t>年安排公务用车运行维护费</w:t>
      </w:r>
      <w:r>
        <w:rPr>
          <w:rFonts w:hint="eastAsia" w:ascii="宋体" w:hAnsi="宋体"/>
          <w:sz w:val="32"/>
          <w:lang w:val="en-US" w:eastAsia="zh-CN"/>
        </w:rPr>
        <w:t>215</w:t>
      </w:r>
      <w:r>
        <w:rPr>
          <w:rFonts w:hint="default" w:ascii="宋体" w:hAnsi="宋体"/>
          <w:sz w:val="32"/>
          <w:lang w:val="en-US" w:eastAsia="zh-CN"/>
        </w:rPr>
        <w:t>万元，</w:t>
      </w:r>
      <w:r>
        <w:rPr>
          <w:rFonts w:hint="eastAsia" w:ascii="仿宋" w:hAnsi="仿宋" w:eastAsia="仿宋"/>
          <w:lang w:val="en-US" w:eastAsia="zh-CN"/>
        </w:rPr>
        <w:t>用于区本级统筹管理71</w:t>
      </w:r>
      <w:r>
        <w:rPr>
          <w:rFonts w:hint="default" w:ascii="仿宋" w:hAnsi="仿宋" w:eastAsia="仿宋"/>
          <w:lang w:val="en-US" w:eastAsia="zh-CN"/>
        </w:rPr>
        <w:t>辆公务用车</w:t>
      </w:r>
      <w:r>
        <w:rPr>
          <w:rFonts w:hint="eastAsia" w:ascii="仿宋" w:hAnsi="仿宋" w:eastAsia="仿宋"/>
          <w:lang w:val="en-US" w:eastAsia="zh-CN"/>
        </w:rPr>
        <w:t>和1辆国防动员车辆开展</w:t>
      </w:r>
      <w:r>
        <w:rPr>
          <w:rFonts w:hint="default" w:ascii="仿宋" w:hAnsi="仿宋" w:eastAsia="仿宋"/>
          <w:lang w:val="en-US" w:eastAsia="zh-CN"/>
        </w:rPr>
        <w:t>调研、学习交流、执行任务等公务活动工作所需的公务用车汽油费、维修费、过路过桥费、保险费、停车费等支出。</w:t>
      </w:r>
    </w:p>
    <w:p w14:paraId="4885ABD5">
      <w:pPr>
        <w:pStyle w:val="2"/>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45" w:name="_Toc27419"/>
      <w:r>
        <w:rPr>
          <w:rFonts w:hint="eastAsia" w:ascii="宋体" w:hAnsi="宋体" w:eastAsia="黑体"/>
          <w:color w:val="333333"/>
        </w:rPr>
        <w:t>六、政府性基金预算支出情况说明</w:t>
      </w:r>
      <w:bookmarkEnd w:id="45"/>
    </w:p>
    <w:p w14:paraId="5C67E459">
      <w:pPr>
        <w:pStyle w:val="19"/>
        <w:spacing w:before="0" w:after="0"/>
        <w:ind w:left="1" w:right="0"/>
        <w:jc w:val="left"/>
        <w:rPr>
          <w:rFonts w:hint="default" w:ascii="仿宋" w:hAnsi="仿宋" w:eastAsia="仿宋"/>
          <w:lang w:val="en-US" w:eastAsia="zh-CN"/>
        </w:rPr>
      </w:pPr>
      <w:bookmarkStart w:id="46" w:name="_Toc17512"/>
      <w:r>
        <w:rPr>
          <w:rFonts w:hint="eastAsia"/>
          <w:lang w:eastAsia="zh-CN"/>
        </w:rPr>
        <w:t>五通桥</w:t>
      </w:r>
      <w:r>
        <w:rPr>
          <w:rFonts w:hint="eastAsia"/>
        </w:rPr>
        <w:t>区政府办公室</w:t>
      </w:r>
      <w:r>
        <w:rPr>
          <w:rFonts w:hint="eastAsia" w:ascii="仿宋" w:hAnsi="仿宋" w:eastAsia="仿宋"/>
          <w:lang w:val="en-US" w:eastAsia="zh-CN"/>
        </w:rPr>
        <w:t>2026</w:t>
      </w:r>
      <w:r>
        <w:rPr>
          <w:rFonts w:hint="default" w:ascii="仿宋" w:hAnsi="仿宋" w:eastAsia="仿宋"/>
          <w:lang w:val="en-US" w:eastAsia="zh-CN"/>
        </w:rPr>
        <w:t>年政府性基金预算拨款安排支出</w:t>
      </w:r>
      <w:r>
        <w:rPr>
          <w:rFonts w:hint="eastAsia" w:ascii="仿宋" w:hAnsi="仿宋" w:eastAsia="仿宋"/>
          <w:lang w:val="en-US" w:eastAsia="zh-CN"/>
        </w:rPr>
        <w:t>0万元，较上年预算数持平。</w:t>
      </w:r>
    </w:p>
    <w:p w14:paraId="100624E5">
      <w:pPr>
        <w:pStyle w:val="2"/>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r>
        <w:rPr>
          <w:rFonts w:hint="eastAsia" w:ascii="宋体" w:hAnsi="宋体" w:eastAsia="黑体"/>
          <w:color w:val="333333"/>
          <w:lang w:val="en-US" w:eastAsia="zh-CN"/>
        </w:rPr>
        <w:t>七、</w:t>
      </w:r>
      <w:r>
        <w:rPr>
          <w:rFonts w:hint="eastAsia" w:ascii="宋体" w:hAnsi="宋体" w:eastAsia="黑体"/>
          <w:color w:val="333333"/>
        </w:rPr>
        <w:t>国有资本经营预算情况说明</w:t>
      </w:r>
      <w:bookmarkEnd w:id="46"/>
    </w:p>
    <w:p w14:paraId="1437FC93">
      <w:pPr>
        <w:pStyle w:val="19"/>
        <w:spacing w:before="0" w:after="0"/>
        <w:ind w:left="1" w:right="0"/>
        <w:jc w:val="left"/>
        <w:rPr>
          <w:rFonts w:hint="eastAsia" w:ascii="仿宋" w:hAnsi="仿宋" w:eastAsia="仿宋"/>
          <w:lang w:val="en-US" w:eastAsia="zh-CN"/>
        </w:rPr>
      </w:pPr>
      <w:bookmarkStart w:id="47" w:name="_Toc904"/>
      <w:r>
        <w:rPr>
          <w:rFonts w:hint="eastAsia"/>
          <w:lang w:eastAsia="zh-CN"/>
        </w:rPr>
        <w:t>五通桥</w:t>
      </w:r>
      <w:r>
        <w:rPr>
          <w:rFonts w:hint="eastAsia"/>
        </w:rPr>
        <w:t>区政府办公室</w:t>
      </w:r>
      <w:r>
        <w:rPr>
          <w:rFonts w:hint="eastAsia" w:ascii="仿宋" w:hAnsi="仿宋" w:eastAsia="仿宋"/>
          <w:lang w:val="en-US" w:eastAsia="zh-CN"/>
        </w:rPr>
        <w:t>2026年国有资本经营预算拨款安排支出0万元,较上年预算数持平。</w:t>
      </w:r>
    </w:p>
    <w:p w14:paraId="5BD0B55F">
      <w:pPr>
        <w:pStyle w:val="2"/>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lang w:val="en-US" w:eastAsia="zh-CN"/>
        </w:rPr>
      </w:pPr>
      <w:r>
        <w:rPr>
          <w:rFonts w:hint="eastAsia" w:ascii="宋体" w:hAnsi="宋体" w:eastAsia="黑体"/>
          <w:color w:val="333333"/>
          <w:lang w:val="en-US" w:eastAsia="zh-CN"/>
        </w:rPr>
        <w:t>八、其他重要事项的情况说明</w:t>
      </w:r>
      <w:bookmarkEnd w:id="47"/>
    </w:p>
    <w:p w14:paraId="76425360">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643" w:firstLineChars="200"/>
        <w:textAlignment w:val="auto"/>
        <w:rPr>
          <w:rFonts w:hint="default" w:ascii="宋体" w:hAnsi="宋体"/>
          <w:lang w:val="en-US" w:eastAsia="zh-CN"/>
        </w:rPr>
      </w:pPr>
      <w:bookmarkStart w:id="48" w:name="_Toc17345"/>
      <w:r>
        <w:rPr>
          <w:rFonts w:hint="eastAsia" w:ascii="宋体" w:hAnsi="宋体"/>
          <w:lang w:val="en-US" w:eastAsia="zh-CN"/>
        </w:rPr>
        <w:t>(</w:t>
      </w:r>
      <w:r>
        <w:rPr>
          <w:rFonts w:ascii="宋体" w:hAnsi="宋体"/>
        </w:rPr>
        <w:t>一）机关运行经费情况</w:t>
      </w:r>
      <w:bookmarkEnd w:id="48"/>
    </w:p>
    <w:p w14:paraId="6F579EC6">
      <w:pPr>
        <w:pStyle w:val="19"/>
        <w:spacing w:before="0" w:after="0"/>
        <w:ind w:left="1" w:right="0"/>
        <w:jc w:val="left"/>
        <w:rPr>
          <w:rFonts w:hint="eastAsia" w:ascii="仿宋" w:hAnsi="仿宋" w:eastAsia="仿宋"/>
          <w:lang w:val="en-US" w:eastAsia="zh-CN"/>
        </w:rPr>
      </w:pPr>
      <w:r>
        <w:rPr>
          <w:rFonts w:hint="eastAsia" w:ascii="仿宋" w:hAnsi="仿宋" w:eastAsia="仿宋"/>
          <w:lang w:val="en-US" w:eastAsia="zh-CN"/>
        </w:rPr>
        <w:t>2026年，</w:t>
      </w:r>
      <w:r>
        <w:rPr>
          <w:rFonts w:hint="eastAsia"/>
          <w:lang w:eastAsia="zh-CN"/>
        </w:rPr>
        <w:t>五通桥</w:t>
      </w:r>
      <w:r>
        <w:rPr>
          <w:rFonts w:hint="eastAsia"/>
        </w:rPr>
        <w:t>区政府办公室</w:t>
      </w:r>
      <w:r>
        <w:rPr>
          <w:rFonts w:hint="eastAsia" w:ascii="仿宋" w:hAnsi="仿宋" w:eastAsia="仿宋"/>
          <w:lang w:val="en-US" w:eastAsia="zh-CN"/>
        </w:rPr>
        <w:t>下属区政府办公室（机关）1家行政单位和区信息中心、区机关事务服务中心2家事业单位安排的机关运行经费预算为349.19万元，比2025年350.34万元预算减少1.15万元，基本持平。</w:t>
      </w:r>
    </w:p>
    <w:p w14:paraId="09F9593B">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643" w:firstLineChars="200"/>
        <w:textAlignment w:val="auto"/>
        <w:rPr>
          <w:rFonts w:ascii="宋体" w:hAnsi="宋体"/>
        </w:rPr>
      </w:pPr>
      <w:bookmarkStart w:id="49" w:name="_Toc11837"/>
      <w:r>
        <w:rPr>
          <w:rFonts w:ascii="宋体" w:hAnsi="宋体"/>
        </w:rPr>
        <w:t>（二）政府采购情况</w:t>
      </w:r>
      <w:bookmarkEnd w:id="49"/>
    </w:p>
    <w:p w14:paraId="0A564506">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2026年，五通桥区政府办公室部门政府采购项目0万元。其中，政府采购货物预算0万元；政府采购工程预算0万元；政府采购服务预算0万元。</w:t>
      </w:r>
    </w:p>
    <w:p w14:paraId="122D2D14">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643" w:firstLineChars="200"/>
        <w:textAlignment w:val="auto"/>
        <w:rPr>
          <w:rFonts w:ascii="宋体" w:hAnsi="宋体"/>
        </w:rPr>
      </w:pPr>
      <w:bookmarkStart w:id="50" w:name="_Toc16771"/>
      <w:r>
        <w:rPr>
          <w:rFonts w:ascii="宋体" w:hAnsi="宋体"/>
        </w:rPr>
        <w:t>（三）国有资产占有使用情况</w:t>
      </w:r>
      <w:bookmarkEnd w:id="50"/>
    </w:p>
    <w:p w14:paraId="58CAC570">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截至2026年底，五通桥区政府办公室部门所属各预算单位共有车辆42辆。单位价值100万元以上大型设备0套。</w:t>
      </w:r>
    </w:p>
    <w:p w14:paraId="005C3ACD">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2026年部门预算未安排购置车辆及单位价值100万元以上大型设备。</w:t>
      </w:r>
    </w:p>
    <w:p w14:paraId="0395549F">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643" w:firstLineChars="200"/>
        <w:textAlignment w:val="auto"/>
        <w:rPr>
          <w:rFonts w:ascii="宋体" w:hAnsi="宋体"/>
        </w:rPr>
      </w:pPr>
      <w:bookmarkStart w:id="51" w:name="_Toc21233"/>
      <w:r>
        <w:rPr>
          <w:rFonts w:hint="eastAsia" w:ascii="宋体" w:hAnsi="宋体"/>
          <w:lang w:val="en-US" w:eastAsia="zh-CN"/>
        </w:rPr>
        <w:t>(四</w:t>
      </w:r>
      <w:r>
        <w:rPr>
          <w:rFonts w:hint="eastAsia" w:ascii="宋体" w:hAnsi="宋体"/>
          <w:lang w:eastAsia="zh-CN"/>
        </w:rPr>
        <w:t>）</w:t>
      </w:r>
      <w:r>
        <w:rPr>
          <w:rFonts w:ascii="宋体" w:hAnsi="宋体"/>
        </w:rPr>
        <w:t>预算绩效情况</w:t>
      </w:r>
      <w:bookmarkEnd w:id="51"/>
    </w:p>
    <w:p w14:paraId="59B6E348">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right="660" w:rightChars="300" w:firstLine="640" w:firstLineChars="200"/>
        <w:jc w:val="both"/>
        <w:textAlignment w:val="auto"/>
        <w:rPr>
          <w:rFonts w:ascii="宋体" w:hAnsi="宋体"/>
          <w:spacing w:val="6"/>
        </w:rPr>
        <w:sectPr>
          <w:headerReference r:id="rId8" w:type="default"/>
          <w:footerReference r:id="rId9" w:type="default"/>
          <w:pgSz w:w="11910" w:h="16840"/>
          <w:pgMar w:top="1587" w:right="964" w:bottom="1701" w:left="1134" w:header="737" w:footer="737" w:gutter="0"/>
          <w:pgNumType w:fmt="decimal" w:start="1"/>
          <w:cols w:space="0" w:num="1"/>
          <w:rtlGutter w:val="0"/>
          <w:docGrid w:linePitch="0" w:charSpace="0"/>
        </w:sectPr>
      </w:pPr>
      <w:r>
        <w:rPr>
          <w:rFonts w:hint="eastAsia" w:ascii="宋体" w:hAnsi="宋体"/>
          <w:sz w:val="32"/>
          <w:lang w:val="en-US" w:eastAsia="zh-CN"/>
        </w:rPr>
        <w:t>2026年五通桥区政府办公室开展绩效目标管理的项目  46个，涉及预算1985.37万元。其中：人员类项目21个，涉及预算800.74万元；运转类项目8个，涉及预373.53万元；特定目标类项目18个，涉及预算811.1万元。</w:t>
      </w:r>
    </w:p>
    <w:p w14:paraId="066CF097">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1040" w:firstLineChars="200"/>
        <w:jc w:val="center"/>
        <w:textAlignment w:val="auto"/>
        <w:rPr>
          <w:rFonts w:hint="eastAsia" w:ascii="方正小标宋简体" w:hAnsi="方正小标宋简体" w:eastAsia="方正小标宋简体" w:cs="方正小标宋简体"/>
          <w:b w:val="0"/>
          <w:bCs w:val="0"/>
          <w:sz w:val="52"/>
          <w:szCs w:val="52"/>
          <w:lang w:val="en-US" w:eastAsia="zh-CN"/>
        </w:rPr>
      </w:pPr>
      <w:bookmarkStart w:id="52" w:name="_Toc12947"/>
      <w:r>
        <w:rPr>
          <w:rFonts w:hint="eastAsia" w:ascii="方正小标宋简体" w:hAnsi="方正小标宋简体" w:eastAsia="方正小标宋简体" w:cs="方正小标宋简体"/>
          <w:b w:val="0"/>
          <w:bCs w:val="0"/>
          <w:sz w:val="52"/>
          <w:szCs w:val="52"/>
          <w:lang w:val="en-US" w:eastAsia="zh-CN"/>
        </w:rPr>
        <w:t>第四部分  名词解释</w:t>
      </w:r>
      <w:bookmarkEnd w:id="52"/>
    </w:p>
    <w:p w14:paraId="603BD142">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1.财政拨款收入：指单位从同级财政部门取得的财政预算资金。</w:t>
      </w:r>
    </w:p>
    <w:p w14:paraId="1F340D77">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2.事业收入：指事业单位开展专业业务活动及辅助活动取得的收入。</w:t>
      </w:r>
    </w:p>
    <w:p w14:paraId="4B38355D">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3.经营收入：指事业单位在专业业务活动及其辅助活动之外开展非独立核算经营活动取得的收入。</w:t>
      </w:r>
    </w:p>
    <w:p w14:paraId="099B77E1">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 xml:space="preserve">4.其他收入：指单位取得的除上述收入以外的各项收入。 </w:t>
      </w:r>
    </w:p>
    <w:p w14:paraId="38E6F945">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 xml:space="preserve">5.使用非财政拨款结余（含专用结余）：指事业单位使用以前年度积累的非财政拨款结余弥补当年收支差额的金额。 </w:t>
      </w:r>
    </w:p>
    <w:p w14:paraId="5EE33E15">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 xml:space="preserve">6.年初结转和结余：指以前年度尚未完成、结转到本年按有关规定继续使用的资金。 </w:t>
      </w:r>
    </w:p>
    <w:p w14:paraId="2C527B0F">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7.结余分配：指事业单位按照会计制度规定缴纳的所得税、提取的专用结余以及转入非财政拨款结余的金额等。</w:t>
      </w:r>
    </w:p>
    <w:p w14:paraId="3756B09D">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8.年末结转和结余：指单位按有关规定结转到下年或以后年度继续使用的资金。</w:t>
      </w:r>
    </w:p>
    <w:p w14:paraId="74B6163D">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9.一般公共服务201（类）03（款）01（项）：指行政运行，反映行政单位（包括实行公务员管理的事业单位）的基本支出；201（类）03（款）02（项）：指一般行政管理事务，反映行政单位（包括实行公务员管理的事业单位）未单独设置项级科目的其他项目支出；201（类）03（款）50（项）：指事业运行，反映事业单位的基本支出，不包括行政单位（包括实行公务员管理的事业单位）后勤服务中心、医务室等附属事业单位；201（类）03（款）99（项）：指其他政府办公厅（室）及相关机构事务支出，反映除上述项目以外的其他政府办公厅（室）及相关机构事务支出。</w:t>
      </w:r>
    </w:p>
    <w:p w14:paraId="5CDA1545">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10．国防支出203（类）06（款）99（项）：指其他国防动员支出，反映其他用于国防动员方面的支出。</w:t>
      </w:r>
    </w:p>
    <w:p w14:paraId="63C1C1E1">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11.社会保障和就业208（类）05（款）05（项）：指机关事业单位基本养老保险缴费支出，反映机关事业单位实施养老保险制度由单位缴纳的基本养老保险费支出；社会保障和就业208（类）05（款）06（项）：指机关事业单位职业年金缴费支出，反映机关事业单位实施养老保险制度由单位实际缴纳的职业年金支出；社会保障和就业208（类）05（款）99（项）：指其他行政事业单位养老支出，反映其他用于行政事业单位养老方面的支出；社会保障和就业208（类）08（款）01（项）：指死亡抚恤支出，反映按规定用于烈士和牺牲、病故人员家属的一次性和定期抚恤金、丧葬补助费以及烈士褒扬金；社会保障和就业208（类）99（款）99（项）：指其他社会保障机制和就业支出，反映除上述项目以外其他用于社会保障和就业方面的支出。</w:t>
      </w:r>
    </w:p>
    <w:p w14:paraId="2036CADE">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12．卫生健康210（类）11（款）01（项）：指行政单位医疗，反映财政部门安排的行政单位（包括实行公务员管理的事业单位）基本医疗保险缴费经费；210（类）11（款）02（项）：指事业单位医疗，反映财政部门安排的事业单位基本医疗保险缴费经费；210（类）11（款）03（项）：指公务员医疗补助，反映财政部门安排的公务员医疗补助经费。</w:t>
      </w:r>
    </w:p>
    <w:p w14:paraId="1A6237F5">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13．住房保障221（类）02（款）01（项）：指住房公积金，反映行政事业单位按人力资源和社会保障部、财政部规定的基本工资和津贴补贴以及规定比例为职工缴纳的住房公积金。</w:t>
      </w:r>
    </w:p>
    <w:p w14:paraId="1149CF25">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14.基本支出：指为保障机构正常运转、完成日常工作任务而发生的人员支出和公用支出。</w:t>
      </w:r>
    </w:p>
    <w:p w14:paraId="58897830">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 xml:space="preserve">15.项目支出：指在基本支出之外为完成特定行政任务和事业发展目标所发生的支出。 </w:t>
      </w:r>
    </w:p>
    <w:p w14:paraId="265163DE">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16.经营支出：指事业单位在专业业务活动及其辅助活动之外开展非独立核算经营活动发生的支出。</w:t>
      </w:r>
    </w:p>
    <w:p w14:paraId="4F2A1062">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17.“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6CF468B3">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18.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1BEE29FB">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p>
    <w:sectPr>
      <w:headerReference r:id="rId10" w:type="default"/>
      <w:footerReference r:id="rId11" w:type="default"/>
      <w:pgSz w:w="11910" w:h="16840"/>
      <w:pgMar w:top="1587" w:right="964" w:bottom="1701" w:left="1134" w:header="737" w:footer="737" w:gutter="0"/>
      <w:pgNumType w:fmt="decimal"/>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embedRegular r:id="rId1" w:fontKey="{61F321FF-6A60-4CE9-8CE6-8D698755600D}"/>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A00002EF" w:usb1="4000207B" w:usb2="00000000" w:usb3="00000000" w:csb0="2000009F" w:csb1="00000000"/>
  </w:font>
  <w:font w:name="Calibri">
    <w:panose1 w:val="020F0502020204030204"/>
    <w:charset w:val="86"/>
    <w:family w:val="swiss"/>
    <w:pitch w:val="default"/>
    <w:sig w:usb0="A00002EF" w:usb1="4000207B" w:usb2="00000000" w:usb3="00000000" w:csb0="2000009F" w:csb1="00000000"/>
  </w:font>
  <w:font w:name="Calibri">
    <w:panose1 w:val="020F0502020204030204"/>
    <w:charset w:val="00"/>
    <w:family w:val="auto"/>
    <w:pitch w:val="default"/>
    <w:sig w:usb0="A00002EF" w:usb1="4000207B" w:usb2="00000000" w:usb3="00000000" w:csb0="2000009F" w:csb1="00000000"/>
    <w:embedRegular r:id="rId2" w:fontKey="{47DC7828-729A-462B-8441-F83F992C0758}"/>
  </w:font>
  <w:font w:name="楷体">
    <w:panose1 w:val="02010609060101010101"/>
    <w:charset w:val="86"/>
    <w:family w:val="modern"/>
    <w:pitch w:val="default"/>
    <w:sig w:usb0="800002BF" w:usb1="38CF7CFA" w:usb2="00000016" w:usb3="00000000" w:csb0="00040001" w:csb1="00000000"/>
    <w:embedRegular r:id="rId3" w:fontKey="{E1E87720-6C3E-4F05-AFC2-56468276E67B}"/>
  </w:font>
  <w:font w:name="仿宋_GB2312">
    <w:panose1 w:val="02010609030101010101"/>
    <w:charset w:val="86"/>
    <w:family w:val="modern"/>
    <w:pitch w:val="default"/>
    <w:sig w:usb0="00000001" w:usb1="080E0000" w:usb2="00000000" w:usb3="00000000" w:csb0="00040000" w:csb1="00000000"/>
    <w:embedRegular r:id="rId4" w:fontKey="{07CA8F86-8960-4F0A-9342-9FD58224A237}"/>
  </w:font>
  <w:font w:name="方正小标宋简体">
    <w:panose1 w:val="03000509000000000000"/>
    <w:charset w:val="86"/>
    <w:family w:val="script"/>
    <w:pitch w:val="default"/>
    <w:sig w:usb0="00000001" w:usb1="080E0000" w:usb2="00000000" w:usb3="00000000" w:csb0="00040000" w:csb1="00000000"/>
    <w:embedRegular r:id="rId5" w:fontKey="{260A1C6D-47B7-42E0-B5C1-E26486C44D63}"/>
  </w:font>
  <w:font w:name="仿宋">
    <w:panose1 w:val="02010609060101010101"/>
    <w:charset w:val="86"/>
    <w:family w:val="modern"/>
    <w:pitch w:val="default"/>
    <w:sig w:usb0="800002BF" w:usb1="38CF7CFA" w:usb2="00000016" w:usb3="00000000" w:csb0="00040001" w:csb1="00000000"/>
    <w:embedRegular r:id="rId6" w:fontKey="{0A66D239-1718-4C98-969B-FE21B70CCD6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1A6EC1">
    <w:pPr>
      <w:pStyle w:val="2"/>
      <w:spacing w:line="240" w:lineRule="auto"/>
      <w:rPr>
        <w:sz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37D085">
    <w:pPr>
      <w:pStyle w:val="2"/>
      <w:spacing w:line="240" w:lineRule="auto"/>
      <w:rPr>
        <w:sz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16A65D">
    <w:pPr>
      <w:pStyle w:val="2"/>
      <w:spacing w:line="14" w:lineRule="auto"/>
      <w:rPr>
        <w:sz w:val="20"/>
      </w:rPr>
    </w:pPr>
    <w:r>
      <w:rPr>
        <w:sz w:val="3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79D571">
                          <w:pPr>
                            <w:pStyle w:val="7"/>
                          </w:pPr>
                          <w:r>
                            <w:t xml:space="preserve">— </w:t>
                          </w:r>
                          <w:r>
                            <w:fldChar w:fldCharType="begin"/>
                          </w:r>
                          <w:r>
                            <w:instrText xml:space="preserve"> PAGE  \* MERGEFORMAT </w:instrText>
                          </w:r>
                          <w:r>
                            <w:fldChar w:fldCharType="separate"/>
                          </w:r>
                          <w:r>
                            <w:t>- 7 -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B79D571">
                    <w:pPr>
                      <w:pStyle w:val="7"/>
                    </w:pPr>
                    <w:r>
                      <w:t xml:space="preserve">— </w:t>
                    </w:r>
                    <w:r>
                      <w:fldChar w:fldCharType="begin"/>
                    </w:r>
                    <w:r>
                      <w:instrText xml:space="preserve"> PAGE  \* MERGEFORMAT </w:instrText>
                    </w:r>
                    <w:r>
                      <w:fldChar w:fldCharType="separate"/>
                    </w:r>
                    <w:r>
                      <w:t>- 7 -</w:t>
                    </w:r>
                    <w:r>
                      <w:fldChar w:fldCharType="end"/>
                    </w:r>
                    <w:r>
                      <w:t xml:space="preserve"> —</w:t>
                    </w:r>
                  </w:p>
                </w:txbxContent>
              </v:textbox>
            </v:shape>
          </w:pict>
        </mc:Fallback>
      </mc:AlternateContent>
    </w:r>
    <w:r>
      <w:drawing>
        <wp:anchor distT="0" distB="0" distL="0" distR="0" simplePos="0" relativeHeight="251659264" behindDoc="1" locked="0" layoutInCell="1" allowOverlap="1">
          <wp:simplePos x="0" y="0"/>
          <wp:positionH relativeFrom="page">
            <wp:posOffset>3512820</wp:posOffset>
          </wp:positionH>
          <wp:positionV relativeFrom="page">
            <wp:posOffset>10094595</wp:posOffset>
          </wp:positionV>
          <wp:extent cx="534670" cy="229870"/>
          <wp:effectExtent l="0" t="0" r="0" b="0"/>
          <wp:wrapNone/>
          <wp:docPr id="31"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14.png"/>
                  <pic:cNvPicPr>
                    <a:picLocks noChangeAspect="1"/>
                  </pic:cNvPicPr>
                </pic:nvPicPr>
                <pic:blipFill>
                  <a:blip r:embed="rId1" cstate="print"/>
                  <a:stretch>
                    <a:fillRect/>
                  </a:stretch>
                </pic:blipFill>
                <pic:spPr>
                  <a:xfrm>
                    <a:off x="0" y="0"/>
                    <a:ext cx="534924" cy="230124"/>
                  </a:xfrm>
                  <a:prstGeom prst="rect">
                    <a:avLst/>
                  </a:prstGeom>
                </pic:spPr>
              </pic:pic>
            </a:graphicData>
          </a:graphic>
        </wp:anchor>
      </w:drawing>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215376">
    <w:pPr>
      <w:pStyle w:val="2"/>
      <w:spacing w:line="14" w:lineRule="auto"/>
      <w:rPr>
        <w:sz w:val="20"/>
      </w:rPr>
    </w:pPr>
    <w:r>
      <w:rPr>
        <w:sz w:val="32"/>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FA94FA">
                          <w:pPr>
                            <w:pStyle w:val="7"/>
                          </w:pPr>
                          <w:r>
                            <w:t xml:space="preserve">— </w:t>
                          </w:r>
                          <w:r>
                            <w:fldChar w:fldCharType="begin"/>
                          </w:r>
                          <w:r>
                            <w:instrText xml:space="preserve"> PAGE  \* MERGEFORMAT </w:instrText>
                          </w:r>
                          <w:r>
                            <w:fldChar w:fldCharType="separate"/>
                          </w:r>
                          <w:r>
                            <w:t>- 13 -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18FA94FA">
                    <w:pPr>
                      <w:pStyle w:val="7"/>
                    </w:pPr>
                    <w:r>
                      <w:t xml:space="preserve">— </w:t>
                    </w:r>
                    <w:r>
                      <w:fldChar w:fldCharType="begin"/>
                    </w:r>
                    <w:r>
                      <w:instrText xml:space="preserve"> PAGE  \* MERGEFORMAT </w:instrText>
                    </w:r>
                    <w:r>
                      <w:fldChar w:fldCharType="separate"/>
                    </w:r>
                    <w:r>
                      <w:t>- 13 -</w:t>
                    </w:r>
                    <w:r>
                      <w:fldChar w:fldCharType="end"/>
                    </w:r>
                    <w:r>
                      <w:t xml:space="preserve"> —</w:t>
                    </w:r>
                  </w:p>
                </w:txbxContent>
              </v:textbox>
            </v:shape>
          </w:pict>
        </mc:Fallback>
      </mc:AlternateContent>
    </w:r>
    <w:r>
      <w:drawing>
        <wp:anchor distT="0" distB="0" distL="0" distR="0" simplePos="0" relativeHeight="251660288" behindDoc="1" locked="0" layoutInCell="1" allowOverlap="1">
          <wp:simplePos x="0" y="0"/>
          <wp:positionH relativeFrom="page">
            <wp:posOffset>3512820</wp:posOffset>
          </wp:positionH>
          <wp:positionV relativeFrom="page">
            <wp:posOffset>10094595</wp:posOffset>
          </wp:positionV>
          <wp:extent cx="534670" cy="229870"/>
          <wp:effectExtent l="0" t="0" r="0" b="0"/>
          <wp:wrapNone/>
          <wp:docPr id="45"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image14.png"/>
                  <pic:cNvPicPr>
                    <a:picLocks noChangeAspect="1"/>
                  </pic:cNvPicPr>
                </pic:nvPicPr>
                <pic:blipFill>
                  <a:blip r:embed="rId1" cstate="print"/>
                  <a:stretch>
                    <a:fillRect/>
                  </a:stretch>
                </pic:blipFill>
                <pic:spPr>
                  <a:xfrm>
                    <a:off x="0" y="0"/>
                    <a:ext cx="534924" cy="230124"/>
                  </a:xfrm>
                  <a:prstGeom prst="rect">
                    <a:avLst/>
                  </a:prstGeom>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9B1631">
    <w:pPr>
      <w:pStyle w:val="8"/>
      <w:tabs>
        <w:tab w:val="clear" w:pos="4153"/>
      </w:tabs>
      <w:spacing w:after="0" w:afterLines="201" w:afterAutospacing="0"/>
      <w:ind w:firstLine="404"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61E30B">
    <w:pPr>
      <w:pStyle w:val="3"/>
      <w:bidi w:val="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55C66D">
    <w:pPr>
      <w:pStyle w:val="2"/>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57E4DA"/>
    <w:multiLevelType w:val="singleLevel"/>
    <w:tmpl w:val="3C57E4DA"/>
    <w:lvl w:ilvl="0" w:tentative="0">
      <w:start w:val="1"/>
      <w:numFmt w:val="chineseCounting"/>
      <w:suff w:val="space"/>
      <w:lvlText w:val="第%1部分"/>
      <w:lvlJc w:val="left"/>
      <w:rPr>
        <w:rFonts w:hint="eastAsia"/>
      </w:rPr>
    </w:lvl>
  </w:abstractNum>
  <w:abstractNum w:abstractNumId="1">
    <w:nsid w:val="501035D5"/>
    <w:multiLevelType w:val="singleLevel"/>
    <w:tmpl w:val="501035D5"/>
    <w:lvl w:ilvl="0" w:tentative="0">
      <w:start w:val="2"/>
      <w:numFmt w:val="chineseCounting"/>
      <w:suff w:val="space"/>
      <w:lvlText w:val="第%1部分"/>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VhNTQyMDM4Y2Q1Y2Y4YzIyNmU3ZDg0NmQwNWI5NDAifQ=="/>
    <w:docVar w:name="KSO_WPS_MARK_KEY" w:val="48d2c7c5-5ca7-4a62-94c0-78ba1c7e0ebc"/>
  </w:docVars>
  <w:rsids>
    <w:rsidRoot w:val="00000000"/>
    <w:rsid w:val="02ED1707"/>
    <w:rsid w:val="02F925FF"/>
    <w:rsid w:val="05142D58"/>
    <w:rsid w:val="08F93370"/>
    <w:rsid w:val="09451BD1"/>
    <w:rsid w:val="0EE52B02"/>
    <w:rsid w:val="13C70DD2"/>
    <w:rsid w:val="13CB5FFB"/>
    <w:rsid w:val="15DB6248"/>
    <w:rsid w:val="18D94D16"/>
    <w:rsid w:val="1C4565B4"/>
    <w:rsid w:val="1C6B2058"/>
    <w:rsid w:val="1E9115A9"/>
    <w:rsid w:val="20D9567F"/>
    <w:rsid w:val="21211D8E"/>
    <w:rsid w:val="240622C9"/>
    <w:rsid w:val="2479601B"/>
    <w:rsid w:val="247F2477"/>
    <w:rsid w:val="279D00CA"/>
    <w:rsid w:val="2BD66371"/>
    <w:rsid w:val="2CBF542B"/>
    <w:rsid w:val="2DBF7EE3"/>
    <w:rsid w:val="3170631D"/>
    <w:rsid w:val="338378A0"/>
    <w:rsid w:val="3AA12953"/>
    <w:rsid w:val="4D3C563B"/>
    <w:rsid w:val="549B1F66"/>
    <w:rsid w:val="54BB49E6"/>
    <w:rsid w:val="54C30EEA"/>
    <w:rsid w:val="5543046B"/>
    <w:rsid w:val="58EE6347"/>
    <w:rsid w:val="595E3E2E"/>
    <w:rsid w:val="5AE90F4A"/>
    <w:rsid w:val="5B65451D"/>
    <w:rsid w:val="5B8B2A29"/>
    <w:rsid w:val="6103734D"/>
    <w:rsid w:val="68905A38"/>
    <w:rsid w:val="71461A34"/>
    <w:rsid w:val="71A0509B"/>
    <w:rsid w:val="7209340F"/>
    <w:rsid w:val="76A30804"/>
    <w:rsid w:val="78C84185"/>
    <w:rsid w:val="7C6130B2"/>
    <w:rsid w:val="7CCC101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3">
    <w:name w:val="heading 1"/>
    <w:basedOn w:val="1"/>
    <w:next w:val="1"/>
    <w:qFormat/>
    <w:uiPriority w:val="1"/>
    <w:pPr>
      <w:spacing w:before="79"/>
      <w:ind w:left="2747"/>
      <w:outlineLvl w:val="1"/>
    </w:pPr>
    <w:rPr>
      <w:rFonts w:ascii="Times New Roman" w:hAnsi="Times New Roman" w:eastAsia="Times New Roman" w:cs="Times New Roman"/>
      <w:sz w:val="52"/>
      <w:szCs w:val="52"/>
      <w:lang w:val="zh-CN" w:eastAsia="zh-CN" w:bidi="zh-CN"/>
    </w:rPr>
  </w:style>
  <w:style w:type="paragraph" w:styleId="4">
    <w:name w:val="heading 2"/>
    <w:basedOn w:val="1"/>
    <w:next w:val="1"/>
    <w:qFormat/>
    <w:uiPriority w:val="1"/>
    <w:pPr>
      <w:ind w:left="923"/>
      <w:outlineLvl w:val="2"/>
    </w:pPr>
    <w:rPr>
      <w:rFonts w:ascii="楷体" w:hAnsi="楷体" w:eastAsia="楷体" w:cs="楷体"/>
      <w:b/>
      <w:bCs/>
      <w:sz w:val="32"/>
      <w:szCs w:val="32"/>
      <w:lang w:val="zh-CN" w:eastAsia="zh-CN" w:bidi="zh-CN"/>
    </w:rPr>
  </w:style>
  <w:style w:type="character" w:default="1" w:styleId="12">
    <w:name w:val="Default Paragraph Font"/>
    <w:semiHidden/>
    <w:unhideWhenUsed/>
    <w:qFormat/>
    <w:uiPriority w:val="1"/>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1"/>
    <w:rPr>
      <w:rFonts w:ascii="仿宋_GB2312" w:hAnsi="仿宋_GB2312" w:eastAsia="仿宋_GB2312" w:cs="仿宋_GB2312"/>
      <w:sz w:val="32"/>
      <w:szCs w:val="32"/>
      <w:lang w:val="zh-CN" w:eastAsia="zh-CN" w:bidi="zh-CN"/>
    </w:rPr>
  </w:style>
  <w:style w:type="paragraph" w:styleId="5">
    <w:name w:val="toc 3"/>
    <w:basedOn w:val="1"/>
    <w:next w:val="1"/>
    <w:qFormat/>
    <w:uiPriority w:val="0"/>
    <w:pPr>
      <w:ind w:left="840" w:leftChars="400"/>
    </w:pPr>
  </w:style>
  <w:style w:type="paragraph" w:styleId="6">
    <w:name w:val="Plain Text"/>
    <w:basedOn w:val="1"/>
    <w:qFormat/>
    <w:uiPriority w:val="0"/>
    <w:rPr>
      <w:rFonts w:hAnsi="Courier New" w:cs="Courier New"/>
      <w:szCs w:val="21"/>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qFormat/>
    <w:uiPriority w:val="0"/>
  </w:style>
  <w:style w:type="paragraph" w:styleId="10">
    <w:name w:val="toc 2"/>
    <w:basedOn w:val="1"/>
    <w:next w:val="1"/>
    <w:qFormat/>
    <w:uiPriority w:val="0"/>
    <w:pPr>
      <w:ind w:left="420" w:leftChars="200"/>
    </w:pPr>
  </w:style>
  <w:style w:type="table" w:customStyle="1" w:styleId="13">
    <w:name w:val="Table Normal"/>
    <w:semiHidden/>
    <w:unhideWhenUsed/>
    <w:qFormat/>
    <w:uiPriority w:val="2"/>
    <w:tblPr>
      <w:tblCellMar>
        <w:top w:w="0" w:type="dxa"/>
        <w:left w:w="0" w:type="dxa"/>
        <w:bottom w:w="0" w:type="dxa"/>
        <w:right w:w="0" w:type="dxa"/>
      </w:tblCellMar>
    </w:tblPr>
  </w:style>
  <w:style w:type="paragraph" w:styleId="14">
    <w:name w:val="List Paragraph"/>
    <w:basedOn w:val="1"/>
    <w:qFormat/>
    <w:uiPriority w:val="1"/>
    <w:pPr>
      <w:ind w:left="280" w:firstLine="640"/>
      <w:jc w:val="both"/>
    </w:pPr>
    <w:rPr>
      <w:rFonts w:ascii="仿宋_GB2312" w:hAnsi="仿宋_GB2312" w:eastAsia="仿宋_GB2312" w:cs="仿宋_GB2312"/>
      <w:lang w:val="zh-CN" w:eastAsia="zh-CN" w:bidi="zh-CN"/>
    </w:rPr>
  </w:style>
  <w:style w:type="paragraph" w:customStyle="1" w:styleId="15">
    <w:name w:val="Table Paragraph"/>
    <w:basedOn w:val="1"/>
    <w:qFormat/>
    <w:uiPriority w:val="1"/>
    <w:rPr>
      <w:rFonts w:ascii="宋体" w:hAnsi="宋体" w:eastAsia="宋体" w:cs="宋体"/>
      <w:lang w:val="zh-CN" w:eastAsia="zh-CN" w:bidi="zh-CN"/>
    </w:rPr>
  </w:style>
  <w:style w:type="paragraph" w:customStyle="1" w:styleId="16">
    <w:name w:val="WPSOffice手动目录 1"/>
    <w:qFormat/>
    <w:uiPriority w:val="0"/>
    <w:pPr>
      <w:ind w:leftChars="0"/>
    </w:pPr>
    <w:rPr>
      <w:rFonts w:asciiTheme="minorHAnsi" w:hAnsiTheme="minorHAnsi" w:eastAsiaTheme="minorHAnsi" w:cstheme="minorBidi"/>
      <w:sz w:val="20"/>
      <w:szCs w:val="20"/>
    </w:rPr>
  </w:style>
  <w:style w:type="paragraph" w:customStyle="1" w:styleId="17">
    <w:name w:val="WPSOffice手动目录 2"/>
    <w:qFormat/>
    <w:uiPriority w:val="0"/>
    <w:pPr>
      <w:ind w:leftChars="200"/>
    </w:pPr>
    <w:rPr>
      <w:rFonts w:asciiTheme="minorHAnsi" w:hAnsiTheme="minorHAnsi" w:eastAsiaTheme="minorHAnsi" w:cstheme="minorBidi"/>
      <w:sz w:val="20"/>
      <w:szCs w:val="20"/>
    </w:rPr>
  </w:style>
  <w:style w:type="paragraph" w:customStyle="1" w:styleId="18">
    <w:name w:val="WPSOffice手动目录 3"/>
    <w:qFormat/>
    <w:uiPriority w:val="0"/>
    <w:pPr>
      <w:ind w:leftChars="400"/>
    </w:pPr>
    <w:rPr>
      <w:rFonts w:asciiTheme="minorHAnsi" w:hAnsiTheme="minorHAnsi" w:eastAsiaTheme="minorHAnsi" w:cstheme="minorBidi"/>
      <w:sz w:val="20"/>
      <w:szCs w:val="20"/>
    </w:rPr>
  </w:style>
  <w:style w:type="paragraph" w:customStyle="1" w:styleId="19">
    <w:name w:val="〖C01〗正文"/>
    <w:basedOn w:val="1"/>
    <w:qFormat/>
    <w:uiPriority w:val="0"/>
    <w:pPr>
      <w:topLinePunct/>
      <w:spacing w:line="600" w:lineRule="exact"/>
      <w:ind w:firstLine="640" w:firstLineChars="200"/>
    </w:pPr>
    <w:rPr>
      <w:rFonts w:ascii="仿宋_GB2312" w:hAnsi="Calibri" w:eastAsia="仿宋_GB2312"/>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header" Target="head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5241</Words>
  <Characters>6214</Characters>
  <TotalTime>46</TotalTime>
  <ScaleCrop>false</ScaleCrop>
  <LinksUpToDate>false</LinksUpToDate>
  <CharactersWithSpaces>6454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2022-05-05T02:14:00Z</dcterms:created>
  <dc:creator>user</dc:creator>
  <cp:lastModifiedBy>Administrator</cp:lastModifiedBy>
  <cp:lastPrinted>2026-02-25T02:08:00Z</cp:lastPrinted>
  <dcterms:modified xsi:type="dcterms:W3CDTF">2026-03-02T07:35:48Z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2022-03-18T00:00:00Z</vt:filetime>
  </property>
  <property fmtid="{D5CDD505-2E9C-101B-9397-08002B2CF9AE}" pid="3" name="Creator">
    <vt:lpwstr>Microsoft® Word 2010</vt:lpwstr>
  </property>
  <property fmtid="{D5CDD505-2E9C-101B-9397-08002B2CF9AE}" pid="4" name="LastSaved">
    <vt:filetime>2022-05-05T00:00:00Z</vt:filetime>
  </property>
  <property fmtid="{D5CDD505-2E9C-101B-9397-08002B2CF9AE}" pid="5" name="KSOProductBuildVer">
    <vt:lpwstr>2052-12.1.0.20784</vt:lpwstr>
  </property>
  <property fmtid="{D5CDD505-2E9C-101B-9397-08002B2CF9AE}" pid="6" name="ICV">
    <vt:lpwstr>19A6489293D14499A2E447A850DEABA6</vt:lpwstr>
  </property>
  <property fmtid="{D5CDD505-2E9C-101B-9397-08002B2CF9AE}" pid="7" name="KSOTemplateDocerSaveRecord">
    <vt:lpwstr>eyJoZGlkIjoiMzc3MTk0ZGI5NDRmNGE4NjdkMDg5ODZiMDMyOTNjNWIifQ==</vt:lpwstr>
  </property>
</Properties>
</file>