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jc w:val="center"/>
        <w:rPr>
          <w:rFonts w:hint="eastAsia" w:ascii="宋体" w:hAnsi="宋体" w:eastAsia="宋体" w:cs="宋体"/>
          <w:b/>
          <w:bCs/>
          <w:sz w:val="52"/>
          <w:szCs w:val="52"/>
          <w:shd w:val="clear" w:color="auto" w:fill="auto"/>
          <w:lang w:val="en-US" w:eastAsia="zh-CN"/>
        </w:rPr>
      </w:pP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eastAsia"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乐山市五通桥区纪委监委</w:t>
      </w:r>
    </w:p>
    <w:p>
      <w:pPr>
        <w:pStyle w:val="4"/>
        <w:keepNext w:val="0"/>
        <w:keepLines w:val="0"/>
        <w:pageBreakBefore w:val="0"/>
        <w:widowControl w:val="0"/>
        <w:kinsoku/>
        <w:wordWrap/>
        <w:overflowPunct/>
        <w:topLinePunct w:val="0"/>
        <w:autoSpaceDE w:val="0"/>
        <w:autoSpaceDN w:val="0"/>
        <w:bidi w:val="0"/>
        <w:adjustRightInd/>
        <w:snapToGrid/>
        <w:spacing w:line="800" w:lineRule="exact"/>
        <w:jc w:val="center"/>
        <w:textAlignment w:val="auto"/>
        <w:rPr>
          <w:rFonts w:hint="default" w:ascii="宋体" w:hAnsi="宋体" w:eastAsia="方正小标宋简体" w:cs="方正小标宋简体"/>
          <w:b w:val="0"/>
          <w:bCs w:val="0"/>
          <w:sz w:val="52"/>
          <w:szCs w:val="52"/>
          <w:shd w:val="clear" w:color="auto" w:fill="auto"/>
          <w:lang w:val="en-US" w:eastAsia="zh-CN"/>
        </w:rPr>
      </w:pPr>
      <w:r>
        <w:rPr>
          <w:rFonts w:hint="eastAsia" w:ascii="宋体" w:hAnsi="宋体" w:eastAsia="方正小标宋简体" w:cs="方正小标宋简体"/>
          <w:b w:val="0"/>
          <w:bCs w:val="0"/>
          <w:sz w:val="52"/>
          <w:szCs w:val="52"/>
          <w:shd w:val="clear" w:color="auto" w:fill="auto"/>
          <w:lang w:val="en-US" w:eastAsia="zh-CN"/>
        </w:rPr>
        <w:t>2026部门预算编制说明</w:t>
      </w:r>
    </w:p>
    <w:p>
      <w:pPr>
        <w:spacing w:after="0"/>
        <w:rPr>
          <w:rFonts w:ascii="宋体" w:hAnsi="宋体"/>
        </w:rPr>
      </w:pPr>
    </w:p>
    <w:p>
      <w:pPr>
        <w:rPr>
          <w:rFonts w:ascii="宋体" w:hAnsi="宋体"/>
          <w:sz w:val="4"/>
        </w:rPr>
      </w:pPr>
      <w:r>
        <w:rPr>
          <w:rFonts w:ascii="宋体" w:hAnsi="宋体"/>
          <w:sz w:val="4"/>
        </w:rPr>
        <w:br w:type="page"/>
      </w:r>
    </w:p>
    <w:p>
      <w:pPr>
        <w:rPr>
          <w:rFonts w:ascii="宋体" w:hAnsi="宋体"/>
          <w:sz w:val="4"/>
        </w:rPr>
      </w:pPr>
    </w:p>
    <w:p>
      <w:pPr>
        <w:pStyle w:val="4"/>
        <w:spacing w:before="2"/>
        <w:rPr>
          <w:rFonts w:ascii="宋体" w:hAnsi="宋体"/>
          <w:sz w:val="4"/>
        </w:rPr>
      </w:pPr>
    </w:p>
    <w:p>
      <w:pPr>
        <w:pStyle w:val="4"/>
        <w:tabs>
          <w:tab w:val="left" w:pos="4798"/>
        </w:tabs>
        <w:jc w:val="center"/>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
          <w:bCs/>
          <w:sz w:val="48"/>
          <w:szCs w:val="48"/>
          <w:lang w:val="en-US" w:eastAsia="zh-CN"/>
        </w:rPr>
        <w:t>目  录</w:t>
      </w:r>
    </w:p>
    <w:sdt>
      <w:sdtPr>
        <w:rPr>
          <w:rFonts w:ascii="宋体" w:hAnsi="宋体" w:eastAsia="宋体" w:cs="宋体"/>
          <w:sz w:val="21"/>
          <w:szCs w:val="22"/>
          <w:lang w:val="zh-CN" w:eastAsia="zh-CN" w:bidi="zh-CN"/>
        </w:rPr>
        <w:id w:val="147453385"/>
        <w15:color w:val="DBDBDB"/>
        <w:docPartObj>
          <w:docPartGallery w:val="Table of Contents"/>
          <w:docPartUnique/>
        </w:docPartObj>
      </w:sdtPr>
      <w:sdtEndPr>
        <w:rPr>
          <w:rFonts w:hint="eastAsia" w:ascii="宋体" w:hAnsi="宋体" w:eastAsia="方正小标宋简体" w:cs="方正小标宋简体"/>
          <w:bCs/>
          <w:sz w:val="32"/>
          <w:szCs w:val="48"/>
          <w:lang w:val="en-US" w:eastAsia="zh-CN" w:bidi="zh-CN"/>
        </w:rPr>
      </w:sdtEndPr>
      <w:sdtContent>
        <w:p>
          <w:pPr>
            <w:spacing w:before="0" w:beforeLines="0" w:after="0" w:afterLines="0" w:line="240" w:lineRule="auto"/>
            <w:ind w:left="0" w:leftChars="0" w:right="0" w:rightChars="0" w:firstLine="0" w:firstLineChars="0"/>
            <w:jc w:val="center"/>
            <w:rPr>
              <w:rFonts w:ascii="宋体" w:hAnsi="宋体"/>
            </w:rPr>
          </w:pPr>
        </w:p>
        <w:p>
          <w:pPr>
            <w:pStyle w:val="8"/>
            <w:tabs>
              <w:tab w:val="right" w:leader="dot" w:pos="9812"/>
            </w:tabs>
            <w:rPr>
              <w:sz w:val="30"/>
              <w:szCs w:val="30"/>
            </w:rPr>
          </w:pPr>
          <w:r>
            <w:rPr>
              <w:rFonts w:hint="eastAsia" w:ascii="宋体" w:hAnsi="宋体" w:eastAsia="方正小标宋简体" w:cs="方正小标宋简体"/>
              <w:b/>
              <w:bCs/>
              <w:sz w:val="48"/>
              <w:szCs w:val="48"/>
              <w:lang w:val="en-US" w:eastAsia="zh-CN"/>
            </w:rPr>
            <w:fldChar w:fldCharType="begin"/>
          </w:r>
          <w:r>
            <w:rPr>
              <w:rFonts w:hint="eastAsia" w:ascii="宋体" w:hAnsi="宋体" w:eastAsia="方正小标宋简体" w:cs="方正小标宋简体"/>
              <w:b/>
              <w:bCs/>
              <w:sz w:val="48"/>
              <w:szCs w:val="48"/>
              <w:lang w:val="en-US" w:eastAsia="zh-CN"/>
            </w:rPr>
            <w:instrText xml:space="preserve">TOC \o "1-3" \h \u </w:instrText>
          </w:r>
          <w:r>
            <w:rPr>
              <w:rFonts w:hint="eastAsia" w:ascii="宋体" w:hAnsi="宋体" w:eastAsia="方正小标宋简体" w:cs="方正小标宋简体"/>
              <w:b/>
              <w:bCs/>
              <w:sz w:val="48"/>
              <w:szCs w:val="48"/>
              <w:lang w:val="en-US" w:eastAsia="zh-CN"/>
            </w:rPr>
            <w:fldChar w:fldCharType="separate"/>
          </w: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_Toc4421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第一部分 部门概况</w:t>
          </w:r>
          <w:r>
            <w:rPr>
              <w:sz w:val="30"/>
              <w:szCs w:val="30"/>
            </w:rPr>
            <w:tab/>
          </w:r>
          <w:r>
            <w:rPr>
              <w:sz w:val="30"/>
              <w:szCs w:val="30"/>
            </w:rPr>
            <w:fldChar w:fldCharType="begin"/>
          </w:r>
          <w:r>
            <w:rPr>
              <w:sz w:val="30"/>
              <w:szCs w:val="30"/>
            </w:rPr>
            <w:instrText xml:space="preserve"> PAGEREF _Toc4421 \h </w:instrText>
          </w:r>
          <w:r>
            <w:rPr>
              <w:sz w:val="30"/>
              <w:szCs w:val="30"/>
            </w:rPr>
            <w:fldChar w:fldCharType="separate"/>
          </w:r>
          <w:r>
            <w:rPr>
              <w:sz w:val="30"/>
              <w:szCs w:val="30"/>
            </w:rPr>
            <w:t>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_Toc15794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一、基本职能及主要工作</w:t>
          </w:r>
          <w:r>
            <w:rPr>
              <w:sz w:val="30"/>
              <w:szCs w:val="30"/>
            </w:rPr>
            <w:tab/>
          </w:r>
          <w:r>
            <w:rPr>
              <w:sz w:val="30"/>
              <w:szCs w:val="30"/>
            </w:rPr>
            <w:fldChar w:fldCharType="begin"/>
          </w:r>
          <w:r>
            <w:rPr>
              <w:sz w:val="30"/>
              <w:szCs w:val="30"/>
            </w:rPr>
            <w:instrText xml:space="preserve"> PAGEREF _Toc15794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_Toc7055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（一）部门职能简介</w:t>
          </w:r>
          <w:r>
            <w:rPr>
              <w:sz w:val="30"/>
              <w:szCs w:val="30"/>
            </w:rPr>
            <w:tab/>
          </w:r>
          <w:r>
            <w:rPr>
              <w:sz w:val="30"/>
              <w:szCs w:val="30"/>
            </w:rPr>
            <w:fldChar w:fldCharType="begin"/>
          </w:r>
          <w:r>
            <w:rPr>
              <w:sz w:val="30"/>
              <w:szCs w:val="30"/>
            </w:rPr>
            <w:instrText xml:space="preserve"> PAGEREF _Toc7055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_Toc6714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（二）部门</w:t>
          </w:r>
          <w:r>
            <w:rPr>
              <w:rFonts w:hint="eastAsia"/>
              <w:sz w:val="30"/>
              <w:szCs w:val="30"/>
              <w:lang w:val="en-US" w:eastAsia="zh-CN"/>
            </w:rPr>
            <w:t>2026</w:t>
          </w:r>
          <w:r>
            <w:rPr>
              <w:rFonts w:ascii="宋体" w:hAnsi="宋体"/>
              <w:sz w:val="30"/>
              <w:szCs w:val="30"/>
            </w:rPr>
            <w:t>年重点工</w:t>
          </w:r>
          <w:r>
            <w:rPr>
              <w:rFonts w:hint="eastAsia" w:ascii="宋体" w:hAnsi="宋体"/>
              <w:sz w:val="30"/>
              <w:szCs w:val="30"/>
            </w:rPr>
            <w:t>作</w:t>
          </w:r>
          <w:r>
            <w:rPr>
              <w:sz w:val="30"/>
              <w:szCs w:val="30"/>
            </w:rPr>
            <w:tab/>
          </w:r>
          <w:r>
            <w:rPr>
              <w:sz w:val="30"/>
              <w:szCs w:val="30"/>
            </w:rPr>
            <w:fldChar w:fldCharType="begin"/>
          </w:r>
          <w:r>
            <w:rPr>
              <w:sz w:val="30"/>
              <w:szCs w:val="30"/>
            </w:rPr>
            <w:instrText xml:space="preserve"> PAGEREF _Toc6714 \h </w:instrText>
          </w:r>
          <w:r>
            <w:rPr>
              <w:sz w:val="30"/>
              <w:szCs w:val="30"/>
            </w:rPr>
            <w:fldChar w:fldCharType="separate"/>
          </w:r>
          <w:r>
            <w:rPr>
              <w:sz w:val="30"/>
              <w:szCs w:val="30"/>
            </w:rPr>
            <w:t>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_Toc20578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二、部门预算单位构成</w:t>
          </w:r>
          <w:r>
            <w:rPr>
              <w:sz w:val="30"/>
              <w:szCs w:val="30"/>
            </w:rPr>
            <w:tab/>
          </w:r>
          <w:r>
            <w:rPr>
              <w:sz w:val="30"/>
              <w:szCs w:val="30"/>
            </w:rPr>
            <w:fldChar w:fldCharType="begin"/>
          </w:r>
          <w:r>
            <w:rPr>
              <w:sz w:val="30"/>
              <w:szCs w:val="30"/>
            </w:rPr>
            <w:instrText xml:space="preserve"> PAGEREF _Toc20578 \h </w:instrText>
          </w:r>
          <w:r>
            <w:rPr>
              <w:sz w:val="30"/>
              <w:szCs w:val="30"/>
            </w:rPr>
            <w:fldChar w:fldCharType="separate"/>
          </w:r>
          <w:r>
            <w:rPr>
              <w:sz w:val="30"/>
              <w:szCs w:val="30"/>
            </w:rPr>
            <w:t>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8"/>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_Toc26270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bCs/>
              <w:sz w:val="30"/>
              <w:szCs w:val="30"/>
              <w:lang w:val="en-US" w:eastAsia="zh-CN"/>
            </w:rPr>
            <w:t xml:space="preserve">第二部分 </w:t>
          </w:r>
          <w:r>
            <w:rPr>
              <w:rFonts w:hint="eastAsia" w:eastAsia="方正小标宋简体" w:cs="方正小标宋简体"/>
              <w:bCs/>
              <w:sz w:val="30"/>
              <w:szCs w:val="30"/>
              <w:lang w:val="en-US" w:eastAsia="zh-CN"/>
            </w:rPr>
            <w:t>区纪委监委2026</w:t>
          </w:r>
          <w:r>
            <w:rPr>
              <w:rFonts w:hint="eastAsia" w:ascii="宋体" w:hAnsi="宋体" w:eastAsia="方正小标宋简体" w:cs="方正小标宋简体"/>
              <w:bCs/>
              <w:sz w:val="30"/>
              <w:szCs w:val="30"/>
              <w:lang w:val="en-US" w:eastAsia="zh-CN"/>
            </w:rPr>
            <w:t>年部门预算表</w:t>
          </w:r>
          <w:r>
            <w:rPr>
              <w:sz w:val="30"/>
              <w:szCs w:val="30"/>
            </w:rPr>
            <w:tab/>
          </w:r>
          <w:r>
            <w:rPr>
              <w:sz w:val="30"/>
              <w:szCs w:val="30"/>
            </w:rPr>
            <w:fldChar w:fldCharType="begin"/>
          </w:r>
          <w:r>
            <w:rPr>
              <w:sz w:val="30"/>
              <w:szCs w:val="30"/>
            </w:rPr>
            <w:instrText xml:space="preserve"> PAGEREF _Toc26270 \h </w:instrText>
          </w:r>
          <w:r>
            <w:rPr>
              <w:sz w:val="30"/>
              <w:szCs w:val="30"/>
            </w:rPr>
            <w:fldChar w:fldCharType="separate"/>
          </w:r>
          <w:r>
            <w:rPr>
              <w:sz w:val="30"/>
              <w:szCs w:val="30"/>
            </w:rPr>
            <w:t>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_Toc19525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一、收支预算总表（收支总表1）</w:t>
          </w:r>
          <w:r>
            <w:rPr>
              <w:sz w:val="30"/>
              <w:szCs w:val="30"/>
            </w:rPr>
            <w:tab/>
          </w:r>
          <w:r>
            <w:rPr>
              <w:sz w:val="30"/>
              <w:szCs w:val="30"/>
            </w:rPr>
            <w:fldChar w:fldCharType="begin"/>
          </w:r>
          <w:r>
            <w:rPr>
              <w:sz w:val="30"/>
              <w:szCs w:val="30"/>
            </w:rPr>
            <w:instrText xml:space="preserve"> PAGEREF _Toc19525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_Toc27375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二、收入预算总表（收入总表2）</w:t>
          </w:r>
          <w:r>
            <w:rPr>
              <w:sz w:val="30"/>
              <w:szCs w:val="30"/>
            </w:rPr>
            <w:tab/>
          </w:r>
          <w:r>
            <w:rPr>
              <w:sz w:val="30"/>
              <w:szCs w:val="30"/>
            </w:rPr>
            <w:fldChar w:fldCharType="begin"/>
          </w:r>
          <w:r>
            <w:rPr>
              <w:sz w:val="30"/>
              <w:szCs w:val="30"/>
            </w:rPr>
            <w:instrText xml:space="preserve"> PAGEREF _Toc27375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_Toc1535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三、征收预期表（征收预期3）</w:t>
          </w:r>
          <w:r>
            <w:rPr>
              <w:sz w:val="30"/>
              <w:szCs w:val="30"/>
            </w:rPr>
            <w:tab/>
          </w:r>
          <w:r>
            <w:rPr>
              <w:sz w:val="30"/>
              <w:szCs w:val="30"/>
            </w:rPr>
            <w:fldChar w:fldCharType="begin"/>
          </w:r>
          <w:r>
            <w:rPr>
              <w:sz w:val="30"/>
              <w:szCs w:val="30"/>
            </w:rPr>
            <w:instrText xml:space="preserve"> PAGEREF _Toc1535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_Toc24022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四、支出预算总表（支出总表4）</w:t>
          </w:r>
          <w:r>
            <w:rPr>
              <w:sz w:val="30"/>
              <w:szCs w:val="30"/>
            </w:rPr>
            <w:tab/>
          </w:r>
          <w:r>
            <w:rPr>
              <w:sz w:val="30"/>
              <w:szCs w:val="30"/>
            </w:rPr>
            <w:fldChar w:fldCharType="begin"/>
          </w:r>
          <w:r>
            <w:rPr>
              <w:sz w:val="30"/>
              <w:szCs w:val="30"/>
            </w:rPr>
            <w:instrText xml:space="preserve"> PAGEREF _Toc24022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_Toc28846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五、财政拨款预算总表（财拨总表5）</w:t>
          </w:r>
          <w:r>
            <w:rPr>
              <w:sz w:val="30"/>
              <w:szCs w:val="30"/>
            </w:rPr>
            <w:tab/>
          </w:r>
          <w:r>
            <w:rPr>
              <w:sz w:val="30"/>
              <w:szCs w:val="30"/>
            </w:rPr>
            <w:fldChar w:fldCharType="begin"/>
          </w:r>
          <w:r>
            <w:rPr>
              <w:sz w:val="30"/>
              <w:szCs w:val="30"/>
            </w:rPr>
            <w:instrText xml:space="preserve"> PAGEREF _Toc28846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_Toc26817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六、一般公共预算支出表（一般预算支出6）</w:t>
          </w:r>
          <w:r>
            <w:rPr>
              <w:sz w:val="30"/>
              <w:szCs w:val="30"/>
            </w:rPr>
            <w:tab/>
          </w:r>
          <w:r>
            <w:rPr>
              <w:sz w:val="30"/>
              <w:szCs w:val="30"/>
            </w:rPr>
            <w:fldChar w:fldCharType="begin"/>
          </w:r>
          <w:r>
            <w:rPr>
              <w:sz w:val="30"/>
              <w:szCs w:val="30"/>
            </w:rPr>
            <w:instrText xml:space="preserve"> PAGEREF _Toc26817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_Toc12197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七、一般公共预算基本支出表（基本支出7）</w:t>
          </w:r>
          <w:r>
            <w:rPr>
              <w:sz w:val="30"/>
              <w:szCs w:val="30"/>
            </w:rPr>
            <w:tab/>
          </w:r>
          <w:r>
            <w:rPr>
              <w:sz w:val="30"/>
              <w:szCs w:val="30"/>
            </w:rPr>
            <w:fldChar w:fldCharType="begin"/>
          </w:r>
          <w:r>
            <w:rPr>
              <w:sz w:val="30"/>
              <w:szCs w:val="30"/>
            </w:rPr>
            <w:instrText xml:space="preserve"> PAGEREF _Toc12197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_Toc19152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八、一般公共预算“三公”经费支出预算表（三公8）</w:t>
          </w:r>
          <w:r>
            <w:rPr>
              <w:sz w:val="30"/>
              <w:szCs w:val="30"/>
            </w:rPr>
            <w:tab/>
          </w:r>
          <w:r>
            <w:rPr>
              <w:sz w:val="30"/>
              <w:szCs w:val="30"/>
            </w:rPr>
            <w:fldChar w:fldCharType="begin"/>
          </w:r>
          <w:r>
            <w:rPr>
              <w:sz w:val="30"/>
              <w:szCs w:val="30"/>
            </w:rPr>
            <w:instrText xml:space="preserve"> PAGEREF _Toc19152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_Toc29240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九、政府性基金预算支出表（基金9）</w:t>
          </w:r>
          <w:r>
            <w:rPr>
              <w:sz w:val="30"/>
              <w:szCs w:val="30"/>
            </w:rPr>
            <w:tab/>
          </w:r>
          <w:r>
            <w:rPr>
              <w:sz w:val="30"/>
              <w:szCs w:val="30"/>
            </w:rPr>
            <w:fldChar w:fldCharType="begin"/>
          </w:r>
          <w:r>
            <w:rPr>
              <w:sz w:val="30"/>
              <w:szCs w:val="30"/>
            </w:rPr>
            <w:instrText xml:space="preserve"> PAGEREF _Toc29240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_Toc30708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十、国有资本经营预算支出表（国资10）</w:t>
          </w:r>
          <w:r>
            <w:rPr>
              <w:sz w:val="30"/>
              <w:szCs w:val="30"/>
            </w:rPr>
            <w:tab/>
          </w:r>
          <w:r>
            <w:rPr>
              <w:sz w:val="30"/>
              <w:szCs w:val="30"/>
            </w:rPr>
            <w:fldChar w:fldCharType="begin"/>
          </w:r>
          <w:r>
            <w:rPr>
              <w:sz w:val="30"/>
              <w:szCs w:val="30"/>
            </w:rPr>
            <w:instrText xml:space="preserve"> PAGEREF _Toc30708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_Toc32474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十一、支出功能分类预算表（支出功能11）</w:t>
          </w:r>
          <w:r>
            <w:rPr>
              <w:sz w:val="30"/>
              <w:szCs w:val="30"/>
            </w:rPr>
            <w:tab/>
          </w:r>
          <w:r>
            <w:rPr>
              <w:sz w:val="30"/>
              <w:szCs w:val="30"/>
            </w:rPr>
            <w:fldChar w:fldCharType="begin"/>
          </w:r>
          <w:r>
            <w:rPr>
              <w:sz w:val="30"/>
              <w:szCs w:val="30"/>
            </w:rPr>
            <w:instrText xml:space="preserve"> PAGEREF _Toc32474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_Toc15884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十二、支出经济分类预算表（支出经济分类12）</w:t>
          </w:r>
          <w:r>
            <w:rPr>
              <w:sz w:val="30"/>
              <w:szCs w:val="30"/>
            </w:rPr>
            <w:tab/>
          </w:r>
          <w:r>
            <w:rPr>
              <w:sz w:val="30"/>
              <w:szCs w:val="30"/>
            </w:rPr>
            <w:fldChar w:fldCharType="begin"/>
          </w:r>
          <w:r>
            <w:rPr>
              <w:sz w:val="30"/>
              <w:szCs w:val="30"/>
            </w:rPr>
            <w:instrText xml:space="preserve"> PAGEREF _Toc15884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_Toc28730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十三、上级资金安排情况表（上级资金安排13）</w:t>
          </w:r>
          <w:r>
            <w:rPr>
              <w:sz w:val="30"/>
              <w:szCs w:val="30"/>
            </w:rPr>
            <w:tab/>
          </w:r>
          <w:r>
            <w:rPr>
              <w:sz w:val="30"/>
              <w:szCs w:val="30"/>
            </w:rPr>
            <w:fldChar w:fldCharType="begin"/>
          </w:r>
          <w:r>
            <w:rPr>
              <w:sz w:val="30"/>
              <w:szCs w:val="30"/>
            </w:rPr>
            <w:instrText xml:space="preserve"> PAGEREF _Toc28730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_Toc2069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十四、项目支出表（项目支出14）</w:t>
          </w:r>
          <w:r>
            <w:rPr>
              <w:sz w:val="30"/>
              <w:szCs w:val="30"/>
            </w:rPr>
            <w:tab/>
          </w:r>
          <w:r>
            <w:rPr>
              <w:sz w:val="30"/>
              <w:szCs w:val="30"/>
            </w:rPr>
            <w:fldChar w:fldCharType="begin"/>
          </w:r>
          <w:r>
            <w:rPr>
              <w:sz w:val="30"/>
              <w:szCs w:val="30"/>
            </w:rPr>
            <w:instrText xml:space="preserve"> PAGEREF _Toc2069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_Toc31813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十六、政府购买服务预算表（购买服务16）</w:t>
          </w:r>
          <w:r>
            <w:rPr>
              <w:sz w:val="30"/>
              <w:szCs w:val="30"/>
            </w:rPr>
            <w:tab/>
          </w:r>
          <w:r>
            <w:rPr>
              <w:sz w:val="30"/>
              <w:szCs w:val="30"/>
            </w:rPr>
            <w:fldChar w:fldCharType="begin"/>
          </w:r>
          <w:r>
            <w:rPr>
              <w:sz w:val="30"/>
              <w:szCs w:val="30"/>
            </w:rPr>
            <w:instrText xml:space="preserve"> PAGEREF _Toc31813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_Toc22434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十七、采购需求表（采购需求表17）</w:t>
          </w:r>
          <w:r>
            <w:rPr>
              <w:sz w:val="30"/>
              <w:szCs w:val="30"/>
            </w:rPr>
            <w:tab/>
          </w:r>
          <w:r>
            <w:rPr>
              <w:sz w:val="30"/>
              <w:szCs w:val="30"/>
            </w:rPr>
            <w:fldChar w:fldCharType="begin"/>
          </w:r>
          <w:r>
            <w:rPr>
              <w:sz w:val="30"/>
              <w:szCs w:val="30"/>
            </w:rPr>
            <w:instrText xml:space="preserve"> PAGEREF _Toc22434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_Toc7220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十八、国有资产配置预算表（资产18）</w:t>
          </w:r>
          <w:r>
            <w:rPr>
              <w:sz w:val="30"/>
              <w:szCs w:val="30"/>
            </w:rPr>
            <w:tab/>
          </w:r>
          <w:r>
            <w:rPr>
              <w:sz w:val="30"/>
              <w:szCs w:val="30"/>
            </w:rPr>
            <w:fldChar w:fldCharType="begin"/>
          </w:r>
          <w:r>
            <w:rPr>
              <w:sz w:val="30"/>
              <w:szCs w:val="30"/>
            </w:rPr>
            <w:instrText xml:space="preserve"> PAGEREF _Toc7220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_Toc3888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十九、项目支出绩效表（项目绩效19）</w:t>
          </w:r>
          <w:r>
            <w:rPr>
              <w:sz w:val="30"/>
              <w:szCs w:val="30"/>
            </w:rPr>
            <w:tab/>
          </w:r>
          <w:r>
            <w:rPr>
              <w:sz w:val="30"/>
              <w:szCs w:val="30"/>
            </w:rPr>
            <w:fldChar w:fldCharType="begin"/>
          </w:r>
          <w:r>
            <w:rPr>
              <w:sz w:val="30"/>
              <w:szCs w:val="30"/>
            </w:rPr>
            <w:instrText xml:space="preserve"> PAGEREF _Toc3888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_Toc26130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二十、部门绩效表（部门绩效20）</w:t>
          </w:r>
          <w:r>
            <w:rPr>
              <w:sz w:val="30"/>
              <w:szCs w:val="30"/>
            </w:rPr>
            <w:tab/>
          </w:r>
          <w:r>
            <w:rPr>
              <w:sz w:val="30"/>
              <w:szCs w:val="30"/>
            </w:rPr>
            <w:fldChar w:fldCharType="begin"/>
          </w:r>
          <w:r>
            <w:rPr>
              <w:sz w:val="30"/>
              <w:szCs w:val="30"/>
            </w:rPr>
            <w:instrText xml:space="preserve"> PAGEREF _Toc26130 \h </w:instrText>
          </w:r>
          <w:r>
            <w:rPr>
              <w:sz w:val="30"/>
              <w:szCs w:val="30"/>
            </w:rPr>
            <w:fldChar w:fldCharType="separate"/>
          </w:r>
          <w:r>
            <w:rPr>
              <w:sz w:val="30"/>
              <w:szCs w:val="30"/>
            </w:rPr>
            <w:t>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_Toc15389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二十一、年初政府采购项目预算表（政府采购项目预算表21）</w:t>
          </w:r>
          <w:r>
            <w:rPr>
              <w:sz w:val="30"/>
              <w:szCs w:val="30"/>
            </w:rPr>
            <w:tab/>
          </w:r>
          <w:r>
            <w:rPr>
              <w:sz w:val="30"/>
              <w:szCs w:val="30"/>
            </w:rPr>
            <w:fldChar w:fldCharType="begin"/>
          </w:r>
          <w:r>
            <w:rPr>
              <w:sz w:val="30"/>
              <w:szCs w:val="30"/>
            </w:rPr>
            <w:instrText xml:space="preserve"> PAGEREF _Toc15389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_Toc11097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二十二、</w:t>
          </w:r>
          <w:r>
            <w:rPr>
              <w:rFonts w:hint="eastAsia"/>
              <w:sz w:val="30"/>
              <w:szCs w:val="30"/>
              <w:lang w:val="en-US" w:eastAsia="zh-CN"/>
            </w:rPr>
            <w:t>2026</w:t>
          </w:r>
          <w:r>
            <w:rPr>
              <w:rFonts w:hint="eastAsia" w:ascii="宋体" w:hAnsi="宋体"/>
              <w:sz w:val="30"/>
              <w:szCs w:val="30"/>
              <w:lang w:val="en-US" w:eastAsia="zh-CN"/>
            </w:rPr>
            <w:t>-2027年支出计划总表（三年计划总表22）</w:t>
          </w:r>
          <w:r>
            <w:rPr>
              <w:sz w:val="30"/>
              <w:szCs w:val="30"/>
            </w:rPr>
            <w:tab/>
          </w:r>
          <w:r>
            <w:rPr>
              <w:sz w:val="30"/>
              <w:szCs w:val="30"/>
            </w:rPr>
            <w:fldChar w:fldCharType="begin"/>
          </w:r>
          <w:r>
            <w:rPr>
              <w:sz w:val="30"/>
              <w:szCs w:val="30"/>
            </w:rPr>
            <w:instrText xml:space="preserve"> PAGEREF _Toc11097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_Toc17731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二十三、</w:t>
          </w:r>
          <w:r>
            <w:rPr>
              <w:rFonts w:hint="eastAsia"/>
              <w:sz w:val="30"/>
              <w:szCs w:val="30"/>
              <w:lang w:val="en-US" w:eastAsia="zh-CN"/>
            </w:rPr>
            <w:t>2026</w:t>
          </w:r>
          <w:r>
            <w:rPr>
              <w:rFonts w:hint="eastAsia" w:ascii="宋体" w:hAnsi="宋体"/>
              <w:sz w:val="30"/>
              <w:szCs w:val="30"/>
              <w:lang w:val="en-US" w:eastAsia="zh-CN"/>
            </w:rPr>
            <w:t>-2027年支出计划明细表（三年计划明细表23）</w:t>
          </w:r>
          <w:r>
            <w:rPr>
              <w:sz w:val="30"/>
              <w:szCs w:val="30"/>
            </w:rPr>
            <w:tab/>
          </w:r>
          <w:r>
            <w:rPr>
              <w:sz w:val="30"/>
              <w:szCs w:val="30"/>
            </w:rPr>
            <w:fldChar w:fldCharType="begin"/>
          </w:r>
          <w:r>
            <w:rPr>
              <w:sz w:val="30"/>
              <w:szCs w:val="30"/>
            </w:rPr>
            <w:instrText xml:space="preserve"> PAGEREF _Toc17731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_Toc19864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val="en-US" w:eastAsia="zh-CN"/>
            </w:rPr>
            <w:t>二十四、人员和车辆基本情况表（人员24）</w:t>
          </w:r>
          <w:r>
            <w:rPr>
              <w:sz w:val="30"/>
              <w:szCs w:val="30"/>
            </w:rPr>
            <w:tab/>
          </w:r>
          <w:r>
            <w:rPr>
              <w:sz w:val="30"/>
              <w:szCs w:val="30"/>
            </w:rPr>
            <w:fldChar w:fldCharType="begin"/>
          </w:r>
          <w:r>
            <w:rPr>
              <w:sz w:val="30"/>
              <w:szCs w:val="30"/>
            </w:rPr>
            <w:instrText xml:space="preserve"> PAGEREF _Toc19864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_Toc19339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bCs/>
              <w:sz w:val="30"/>
              <w:szCs w:val="30"/>
              <w:lang w:val="en-US" w:eastAsia="zh-CN"/>
            </w:rPr>
            <w:t>以上所有表格详见部门说明后附件。</w:t>
          </w:r>
          <w:r>
            <w:rPr>
              <w:sz w:val="30"/>
              <w:szCs w:val="30"/>
            </w:rPr>
            <w:tab/>
          </w:r>
          <w:r>
            <w:rPr>
              <w:sz w:val="30"/>
              <w:szCs w:val="30"/>
            </w:rPr>
            <w:fldChar w:fldCharType="begin"/>
          </w:r>
          <w:r>
            <w:rPr>
              <w:sz w:val="30"/>
              <w:szCs w:val="30"/>
            </w:rPr>
            <w:instrText xml:space="preserve"> PAGEREF _Toc19339 \h </w:instrText>
          </w:r>
          <w:r>
            <w:rPr>
              <w:sz w:val="30"/>
              <w:szCs w:val="30"/>
            </w:rPr>
            <w:fldChar w:fldCharType="separate"/>
          </w:r>
          <w:r>
            <w:rPr>
              <w:sz w:val="30"/>
              <w:szCs w:val="30"/>
            </w:rPr>
            <w:t>6</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8"/>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_Toc330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 xml:space="preserve">第三部分 </w:t>
          </w:r>
          <w:r>
            <w:rPr>
              <w:rFonts w:hint="eastAsia" w:eastAsia="方正小标宋简体" w:cs="方正小标宋简体"/>
              <w:bCs/>
              <w:sz w:val="30"/>
              <w:szCs w:val="30"/>
              <w:lang w:val="en-US" w:eastAsia="zh-CN"/>
            </w:rPr>
            <w:t>区纪委监委</w:t>
          </w:r>
          <w:r>
            <w:rPr>
              <w:rFonts w:hint="eastAsia" w:eastAsia="方正小标宋简体" w:cs="方正小标宋简体"/>
              <w:sz w:val="30"/>
              <w:szCs w:val="30"/>
              <w:lang w:val="en-US" w:eastAsia="zh-CN"/>
            </w:rPr>
            <w:t>2026</w:t>
          </w:r>
          <w:r>
            <w:rPr>
              <w:rFonts w:hint="eastAsia" w:ascii="宋体" w:hAnsi="宋体" w:eastAsia="方正小标宋简体" w:cs="方正小标宋简体"/>
              <w:sz w:val="30"/>
              <w:szCs w:val="30"/>
              <w:lang w:val="en-US" w:eastAsia="zh-CN"/>
            </w:rPr>
            <w:t>年</w:t>
          </w:r>
          <w:r>
            <w:rPr>
              <w:sz w:val="30"/>
              <w:szCs w:val="30"/>
            </w:rPr>
            <w:tab/>
          </w:r>
          <w:r>
            <w:rPr>
              <w:sz w:val="30"/>
              <w:szCs w:val="30"/>
            </w:rPr>
            <w:fldChar w:fldCharType="begin"/>
          </w:r>
          <w:r>
            <w:rPr>
              <w:sz w:val="30"/>
              <w:szCs w:val="30"/>
            </w:rPr>
            <w:instrText xml:space="preserve"> PAGEREF _Toc330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_Toc13299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部门预算情况说明</w:t>
          </w:r>
          <w:r>
            <w:rPr>
              <w:sz w:val="30"/>
              <w:szCs w:val="30"/>
            </w:rPr>
            <w:tab/>
          </w:r>
          <w:r>
            <w:rPr>
              <w:sz w:val="30"/>
              <w:szCs w:val="30"/>
            </w:rPr>
            <w:fldChar w:fldCharType="begin"/>
          </w:r>
          <w:r>
            <w:rPr>
              <w:sz w:val="30"/>
              <w:szCs w:val="30"/>
            </w:rPr>
            <w:instrText xml:space="preserve"> PAGEREF _Toc13299 \h </w:instrText>
          </w:r>
          <w:r>
            <w:rPr>
              <w:sz w:val="30"/>
              <w:szCs w:val="30"/>
            </w:rPr>
            <w:fldChar w:fldCharType="separate"/>
          </w:r>
          <w:r>
            <w:rPr>
              <w:sz w:val="30"/>
              <w:szCs w:val="30"/>
            </w:rPr>
            <w:t>7</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_Toc14393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一、收支预算情况说明</w:t>
          </w:r>
          <w:r>
            <w:rPr>
              <w:sz w:val="30"/>
              <w:szCs w:val="30"/>
            </w:rPr>
            <w:tab/>
          </w:r>
          <w:r>
            <w:rPr>
              <w:sz w:val="30"/>
              <w:szCs w:val="30"/>
            </w:rPr>
            <w:fldChar w:fldCharType="begin"/>
          </w:r>
          <w:r>
            <w:rPr>
              <w:sz w:val="30"/>
              <w:szCs w:val="30"/>
            </w:rPr>
            <w:instrText xml:space="preserve"> PAGEREF _Toc14393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_Toc20181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（一）收入预算情况</w:t>
          </w:r>
          <w:r>
            <w:rPr>
              <w:sz w:val="30"/>
              <w:szCs w:val="30"/>
            </w:rPr>
            <w:tab/>
          </w:r>
          <w:r>
            <w:rPr>
              <w:sz w:val="30"/>
              <w:szCs w:val="30"/>
            </w:rPr>
            <w:fldChar w:fldCharType="begin"/>
          </w:r>
          <w:r>
            <w:rPr>
              <w:sz w:val="30"/>
              <w:szCs w:val="30"/>
            </w:rPr>
            <w:instrText xml:space="preserve"> PAGEREF _Toc20181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_Toc30757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（二）支出预算情况</w:t>
          </w:r>
          <w:r>
            <w:rPr>
              <w:sz w:val="30"/>
              <w:szCs w:val="30"/>
            </w:rPr>
            <w:tab/>
          </w:r>
          <w:r>
            <w:rPr>
              <w:sz w:val="30"/>
              <w:szCs w:val="30"/>
            </w:rPr>
            <w:fldChar w:fldCharType="begin"/>
          </w:r>
          <w:r>
            <w:rPr>
              <w:sz w:val="30"/>
              <w:szCs w:val="30"/>
            </w:rPr>
            <w:instrText xml:space="preserve"> PAGEREF _Toc30757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_Toc28286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二、财政拨款收支预算情况说明</w:t>
          </w:r>
          <w:r>
            <w:rPr>
              <w:sz w:val="30"/>
              <w:szCs w:val="30"/>
            </w:rPr>
            <w:tab/>
          </w:r>
          <w:r>
            <w:rPr>
              <w:sz w:val="30"/>
              <w:szCs w:val="30"/>
            </w:rPr>
            <w:fldChar w:fldCharType="begin"/>
          </w:r>
          <w:r>
            <w:rPr>
              <w:sz w:val="30"/>
              <w:szCs w:val="30"/>
            </w:rPr>
            <w:instrText xml:space="preserve"> PAGEREF _Toc28286 \h </w:instrText>
          </w:r>
          <w:r>
            <w:rPr>
              <w:sz w:val="30"/>
              <w:szCs w:val="30"/>
            </w:rPr>
            <w:fldChar w:fldCharType="separate"/>
          </w:r>
          <w:r>
            <w:rPr>
              <w:sz w:val="30"/>
              <w:szCs w:val="30"/>
            </w:rPr>
            <w:t>8</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_Toc18314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三、一般公共预算当年拨款情况说明</w:t>
          </w:r>
          <w:r>
            <w:rPr>
              <w:sz w:val="30"/>
              <w:szCs w:val="30"/>
            </w:rPr>
            <w:tab/>
          </w:r>
          <w:r>
            <w:rPr>
              <w:sz w:val="30"/>
              <w:szCs w:val="30"/>
            </w:rPr>
            <w:fldChar w:fldCharType="begin"/>
          </w:r>
          <w:r>
            <w:rPr>
              <w:sz w:val="30"/>
              <w:szCs w:val="30"/>
            </w:rPr>
            <w:instrText xml:space="preserve"> PAGEREF _Toc18314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_Toc3917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（一）一般公共预算当年拨款规模变化情况</w:t>
          </w:r>
          <w:r>
            <w:rPr>
              <w:sz w:val="30"/>
              <w:szCs w:val="30"/>
            </w:rPr>
            <w:tab/>
          </w:r>
          <w:r>
            <w:rPr>
              <w:sz w:val="30"/>
              <w:szCs w:val="30"/>
            </w:rPr>
            <w:fldChar w:fldCharType="begin"/>
          </w:r>
          <w:r>
            <w:rPr>
              <w:sz w:val="30"/>
              <w:szCs w:val="30"/>
            </w:rPr>
            <w:instrText xml:space="preserve"> PAGEREF _Toc3917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_Toc27070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（二）一般公共预算当年拨款结构情况</w:t>
          </w:r>
          <w:r>
            <w:rPr>
              <w:sz w:val="30"/>
              <w:szCs w:val="30"/>
            </w:rPr>
            <w:tab/>
          </w:r>
          <w:r>
            <w:rPr>
              <w:sz w:val="30"/>
              <w:szCs w:val="30"/>
            </w:rPr>
            <w:fldChar w:fldCharType="begin"/>
          </w:r>
          <w:r>
            <w:rPr>
              <w:sz w:val="30"/>
              <w:szCs w:val="30"/>
            </w:rPr>
            <w:instrText xml:space="preserve"> PAGEREF _Toc27070 \h </w:instrText>
          </w:r>
          <w:r>
            <w:rPr>
              <w:sz w:val="30"/>
              <w:szCs w:val="30"/>
            </w:rPr>
            <w:fldChar w:fldCharType="separate"/>
          </w:r>
          <w:r>
            <w:rPr>
              <w:sz w:val="30"/>
              <w:szCs w:val="30"/>
            </w:rPr>
            <w:t>9</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_Toc1521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（三）一般公共预算当年拨款具体使用情况</w:t>
          </w:r>
          <w:r>
            <w:rPr>
              <w:sz w:val="30"/>
              <w:szCs w:val="30"/>
            </w:rPr>
            <w:tab/>
          </w:r>
          <w:r>
            <w:rPr>
              <w:sz w:val="30"/>
              <w:szCs w:val="30"/>
            </w:rPr>
            <w:fldChar w:fldCharType="begin"/>
          </w:r>
          <w:r>
            <w:rPr>
              <w:sz w:val="30"/>
              <w:szCs w:val="30"/>
            </w:rPr>
            <w:instrText xml:space="preserve"> PAGEREF _Toc1521 \h </w:instrText>
          </w:r>
          <w:r>
            <w:rPr>
              <w:sz w:val="30"/>
              <w:szCs w:val="30"/>
            </w:rPr>
            <w:fldChar w:fldCharType="separate"/>
          </w:r>
          <w:r>
            <w:rPr>
              <w:sz w:val="30"/>
              <w:szCs w:val="30"/>
            </w:rPr>
            <w:t>10</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_Toc11444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四、一般公共预算基本支出情况说明</w:t>
          </w:r>
          <w:r>
            <w:rPr>
              <w:sz w:val="30"/>
              <w:szCs w:val="30"/>
            </w:rPr>
            <w:tab/>
          </w:r>
          <w:r>
            <w:rPr>
              <w:sz w:val="30"/>
              <w:szCs w:val="30"/>
            </w:rPr>
            <w:fldChar w:fldCharType="begin"/>
          </w:r>
          <w:r>
            <w:rPr>
              <w:sz w:val="30"/>
              <w:szCs w:val="30"/>
            </w:rPr>
            <w:instrText xml:space="preserve"> PAGEREF _Toc11444 \h </w:instrText>
          </w:r>
          <w:r>
            <w:rPr>
              <w:sz w:val="30"/>
              <w:szCs w:val="30"/>
            </w:rPr>
            <w:fldChar w:fldCharType="separate"/>
          </w:r>
          <w:r>
            <w:rPr>
              <w:sz w:val="30"/>
              <w:szCs w:val="30"/>
            </w:rPr>
            <w:t>11</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_Toc3206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五、“三公”经费财政拨款预算安排情况说明</w:t>
          </w:r>
          <w:r>
            <w:rPr>
              <w:sz w:val="30"/>
              <w:szCs w:val="30"/>
            </w:rPr>
            <w:tab/>
          </w:r>
          <w:r>
            <w:rPr>
              <w:sz w:val="30"/>
              <w:szCs w:val="30"/>
            </w:rPr>
            <w:fldChar w:fldCharType="begin"/>
          </w:r>
          <w:r>
            <w:rPr>
              <w:sz w:val="30"/>
              <w:szCs w:val="30"/>
            </w:rPr>
            <w:instrText xml:space="preserve"> PAGEREF _Toc3206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_Toc24108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w:t>
          </w:r>
          <w:r>
            <w:rPr>
              <w:rFonts w:hint="eastAsia" w:ascii="宋体" w:hAnsi="宋体"/>
              <w:sz w:val="30"/>
              <w:szCs w:val="30"/>
              <w:lang w:val="en-US" w:eastAsia="zh-CN"/>
            </w:rPr>
            <w:t>公务接待费变化情况</w:t>
          </w:r>
          <w:r>
            <w:rPr>
              <w:sz w:val="30"/>
              <w:szCs w:val="30"/>
            </w:rPr>
            <w:tab/>
          </w:r>
          <w:r>
            <w:rPr>
              <w:sz w:val="30"/>
              <w:szCs w:val="30"/>
            </w:rPr>
            <w:fldChar w:fldCharType="begin"/>
          </w:r>
          <w:r>
            <w:rPr>
              <w:sz w:val="30"/>
              <w:szCs w:val="30"/>
            </w:rPr>
            <w:instrText xml:space="preserve"> PAGEREF _Toc24108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_Toc3483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w:t>
          </w:r>
          <w:r>
            <w:rPr>
              <w:rFonts w:hint="eastAsia" w:ascii="宋体" w:hAnsi="宋体"/>
              <w:sz w:val="30"/>
              <w:szCs w:val="30"/>
              <w:lang w:val="en-US" w:eastAsia="zh-CN"/>
            </w:rPr>
            <w:t>二</w:t>
          </w:r>
          <w:r>
            <w:rPr>
              <w:rFonts w:ascii="宋体" w:hAnsi="宋体"/>
              <w:sz w:val="30"/>
              <w:szCs w:val="30"/>
            </w:rPr>
            <w:t>）</w:t>
          </w:r>
          <w:r>
            <w:rPr>
              <w:rFonts w:hint="eastAsia" w:ascii="宋体" w:hAnsi="宋体"/>
              <w:sz w:val="30"/>
              <w:szCs w:val="30"/>
              <w:lang w:val="en-US" w:eastAsia="zh-CN"/>
            </w:rPr>
            <w:t>公务用车购置及运行维护费变化情况</w:t>
          </w:r>
          <w:r>
            <w:rPr>
              <w:sz w:val="30"/>
              <w:szCs w:val="30"/>
            </w:rPr>
            <w:tab/>
          </w:r>
          <w:r>
            <w:rPr>
              <w:sz w:val="30"/>
              <w:szCs w:val="30"/>
            </w:rPr>
            <w:fldChar w:fldCharType="begin"/>
          </w:r>
          <w:r>
            <w:rPr>
              <w:sz w:val="30"/>
              <w:szCs w:val="30"/>
            </w:rPr>
            <w:instrText xml:space="preserve"> PAGEREF _Toc3483 \h </w:instrText>
          </w:r>
          <w:r>
            <w:rPr>
              <w:sz w:val="30"/>
              <w:szCs w:val="30"/>
            </w:rPr>
            <w:fldChar w:fldCharType="separate"/>
          </w:r>
          <w:r>
            <w:rPr>
              <w:sz w:val="30"/>
              <w:szCs w:val="30"/>
            </w:rPr>
            <w:t>12</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_Toc27419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rPr>
            <w:t>六、政府性基金预算支出情况说明</w:t>
          </w:r>
          <w:r>
            <w:rPr>
              <w:sz w:val="30"/>
              <w:szCs w:val="30"/>
            </w:rPr>
            <w:tab/>
          </w:r>
          <w:r>
            <w:rPr>
              <w:sz w:val="30"/>
              <w:szCs w:val="30"/>
            </w:rPr>
            <w:fldChar w:fldCharType="begin"/>
          </w:r>
          <w:r>
            <w:rPr>
              <w:sz w:val="30"/>
              <w:szCs w:val="30"/>
            </w:rPr>
            <w:instrText xml:space="preserve"> PAGEREF _Toc27419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_Toc17512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七、</w:t>
          </w:r>
          <w:r>
            <w:rPr>
              <w:rFonts w:hint="eastAsia" w:ascii="宋体" w:hAnsi="宋体" w:eastAsia="黑体"/>
              <w:sz w:val="30"/>
              <w:szCs w:val="30"/>
            </w:rPr>
            <w:t>国有资本经营预算情况说明</w:t>
          </w:r>
          <w:r>
            <w:rPr>
              <w:sz w:val="30"/>
              <w:szCs w:val="30"/>
            </w:rPr>
            <w:tab/>
          </w:r>
          <w:r>
            <w:rPr>
              <w:sz w:val="30"/>
              <w:szCs w:val="30"/>
            </w:rPr>
            <w:fldChar w:fldCharType="begin"/>
          </w:r>
          <w:r>
            <w:rPr>
              <w:sz w:val="30"/>
              <w:szCs w:val="30"/>
            </w:rPr>
            <w:instrText xml:space="preserve"> PAGEREF _Toc17512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9"/>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_Toc904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黑体"/>
              <w:sz w:val="30"/>
              <w:szCs w:val="30"/>
              <w:lang w:val="en-US" w:eastAsia="zh-CN"/>
            </w:rPr>
            <w:t>八、其他重要事项的情况说明</w:t>
          </w:r>
          <w:r>
            <w:rPr>
              <w:sz w:val="30"/>
              <w:szCs w:val="30"/>
            </w:rPr>
            <w:tab/>
          </w:r>
          <w:r>
            <w:rPr>
              <w:sz w:val="30"/>
              <w:szCs w:val="30"/>
            </w:rPr>
            <w:fldChar w:fldCharType="begin"/>
          </w:r>
          <w:r>
            <w:rPr>
              <w:sz w:val="30"/>
              <w:szCs w:val="30"/>
            </w:rPr>
            <w:instrText xml:space="preserve"> PAGEREF _Toc904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_Toc17345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（一）机关运行经费情况</w:t>
          </w:r>
          <w:r>
            <w:rPr>
              <w:sz w:val="30"/>
              <w:szCs w:val="30"/>
            </w:rPr>
            <w:tab/>
          </w:r>
          <w:r>
            <w:rPr>
              <w:sz w:val="30"/>
              <w:szCs w:val="30"/>
            </w:rPr>
            <w:fldChar w:fldCharType="begin"/>
          </w:r>
          <w:r>
            <w:rPr>
              <w:sz w:val="30"/>
              <w:szCs w:val="30"/>
            </w:rPr>
            <w:instrText xml:space="preserve"> PAGEREF _Toc17345 \h </w:instrText>
          </w:r>
          <w:r>
            <w:rPr>
              <w:sz w:val="30"/>
              <w:szCs w:val="30"/>
            </w:rPr>
            <w:fldChar w:fldCharType="separate"/>
          </w:r>
          <w:r>
            <w:rPr>
              <w:sz w:val="30"/>
              <w:szCs w:val="30"/>
            </w:rPr>
            <w:t>13</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_Toc11837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（二）政府采购情况</w:t>
          </w:r>
          <w:r>
            <w:rPr>
              <w:sz w:val="30"/>
              <w:szCs w:val="30"/>
            </w:rPr>
            <w:tab/>
          </w:r>
          <w:r>
            <w:rPr>
              <w:sz w:val="30"/>
              <w:szCs w:val="30"/>
            </w:rPr>
            <w:fldChar w:fldCharType="begin"/>
          </w:r>
          <w:r>
            <w:rPr>
              <w:sz w:val="30"/>
              <w:szCs w:val="30"/>
            </w:rPr>
            <w:instrText xml:space="preserve"> PAGEREF _Toc11837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_Toc16771 </w:instrText>
          </w:r>
          <w:r>
            <w:rPr>
              <w:rFonts w:hint="eastAsia" w:ascii="宋体" w:hAnsi="宋体" w:eastAsia="方正小标宋简体" w:cs="方正小标宋简体"/>
              <w:bCs/>
              <w:sz w:val="30"/>
              <w:szCs w:val="30"/>
              <w:lang w:val="en-US" w:eastAsia="zh-CN"/>
            </w:rPr>
            <w:fldChar w:fldCharType="separate"/>
          </w:r>
          <w:r>
            <w:rPr>
              <w:rFonts w:ascii="宋体" w:hAnsi="宋体"/>
              <w:sz w:val="30"/>
              <w:szCs w:val="30"/>
            </w:rPr>
            <w:t>（三）国有资产占有使用情况</w:t>
          </w:r>
          <w:r>
            <w:rPr>
              <w:sz w:val="30"/>
              <w:szCs w:val="30"/>
            </w:rPr>
            <w:tab/>
          </w:r>
          <w:r>
            <w:rPr>
              <w:sz w:val="30"/>
              <w:szCs w:val="30"/>
            </w:rPr>
            <w:fldChar w:fldCharType="begin"/>
          </w:r>
          <w:r>
            <w:rPr>
              <w:sz w:val="30"/>
              <w:szCs w:val="30"/>
            </w:rPr>
            <w:instrText xml:space="preserve"> PAGEREF _Toc16771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5"/>
            <w:tabs>
              <w:tab w:val="right" w:leader="dot" w:pos="9812"/>
            </w:tabs>
            <w:rPr>
              <w:sz w:val="30"/>
              <w:szCs w:val="30"/>
            </w:rPr>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_Toc21233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sz w:val="30"/>
              <w:szCs w:val="30"/>
              <w:lang w:eastAsia="zh-CN"/>
            </w:rPr>
            <w:t>（</w:t>
          </w:r>
          <w:r>
            <w:rPr>
              <w:rFonts w:hint="eastAsia" w:ascii="宋体" w:hAnsi="宋体"/>
              <w:sz w:val="30"/>
              <w:szCs w:val="30"/>
              <w:lang w:val="en-US" w:eastAsia="zh-CN"/>
            </w:rPr>
            <w:t>四</w:t>
          </w:r>
          <w:r>
            <w:rPr>
              <w:rFonts w:hint="eastAsia" w:ascii="宋体" w:hAnsi="宋体"/>
              <w:sz w:val="30"/>
              <w:szCs w:val="30"/>
              <w:lang w:eastAsia="zh-CN"/>
            </w:rPr>
            <w:t>）</w:t>
          </w:r>
          <w:r>
            <w:rPr>
              <w:rFonts w:ascii="宋体" w:hAnsi="宋体"/>
              <w:sz w:val="30"/>
              <w:szCs w:val="30"/>
            </w:rPr>
            <w:t>预算绩效情况</w:t>
          </w:r>
          <w:r>
            <w:rPr>
              <w:sz w:val="30"/>
              <w:szCs w:val="30"/>
            </w:rPr>
            <w:tab/>
          </w:r>
          <w:r>
            <w:rPr>
              <w:sz w:val="30"/>
              <w:szCs w:val="30"/>
            </w:rPr>
            <w:fldChar w:fldCharType="begin"/>
          </w:r>
          <w:r>
            <w:rPr>
              <w:sz w:val="30"/>
              <w:szCs w:val="30"/>
            </w:rPr>
            <w:instrText xml:space="preserve"> PAGEREF _Toc21233 \h </w:instrText>
          </w:r>
          <w:r>
            <w:rPr>
              <w:sz w:val="30"/>
              <w:szCs w:val="30"/>
            </w:rPr>
            <w:fldChar w:fldCharType="separate"/>
          </w:r>
          <w:r>
            <w:rPr>
              <w:sz w:val="30"/>
              <w:szCs w:val="30"/>
            </w:rPr>
            <w:t>14</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8"/>
            <w:tabs>
              <w:tab w:val="right" w:leader="dot" w:pos="9812"/>
            </w:tabs>
          </w:pPr>
          <w:r>
            <w:rPr>
              <w:rFonts w:hint="eastAsia" w:ascii="宋体" w:hAnsi="宋体" w:eastAsia="方正小标宋简体" w:cs="方正小标宋简体"/>
              <w:bCs/>
              <w:sz w:val="30"/>
              <w:szCs w:val="30"/>
              <w:lang w:val="en-US" w:eastAsia="zh-CN"/>
            </w:rPr>
            <w:fldChar w:fldCharType="begin"/>
          </w:r>
          <w:r>
            <w:rPr>
              <w:rFonts w:hint="eastAsia" w:ascii="宋体" w:hAnsi="宋体" w:eastAsia="方正小标宋简体" w:cs="方正小标宋简体"/>
              <w:bCs/>
              <w:sz w:val="30"/>
              <w:szCs w:val="30"/>
              <w:lang w:val="en-US" w:eastAsia="zh-CN"/>
            </w:rPr>
            <w:instrText xml:space="preserve"> HYPERLINK \l _Toc12947 </w:instrText>
          </w:r>
          <w:r>
            <w:rPr>
              <w:rFonts w:hint="eastAsia" w:ascii="宋体" w:hAnsi="宋体" w:eastAsia="方正小标宋简体" w:cs="方正小标宋简体"/>
              <w:bCs/>
              <w:sz w:val="30"/>
              <w:szCs w:val="30"/>
              <w:lang w:val="en-US" w:eastAsia="zh-CN"/>
            </w:rPr>
            <w:fldChar w:fldCharType="separate"/>
          </w:r>
          <w:r>
            <w:rPr>
              <w:rFonts w:hint="eastAsia" w:ascii="宋体" w:hAnsi="宋体" w:eastAsia="方正小标宋简体" w:cs="方正小标宋简体"/>
              <w:sz w:val="30"/>
              <w:szCs w:val="30"/>
              <w:lang w:val="en-US" w:eastAsia="zh-CN"/>
            </w:rPr>
            <w:t>第四部分  名词解释</w:t>
          </w:r>
          <w:r>
            <w:rPr>
              <w:sz w:val="30"/>
              <w:szCs w:val="30"/>
            </w:rPr>
            <w:tab/>
          </w:r>
          <w:r>
            <w:rPr>
              <w:sz w:val="30"/>
              <w:szCs w:val="30"/>
            </w:rPr>
            <w:fldChar w:fldCharType="begin"/>
          </w:r>
          <w:r>
            <w:rPr>
              <w:sz w:val="30"/>
              <w:szCs w:val="30"/>
            </w:rPr>
            <w:instrText xml:space="preserve"> PAGEREF _Toc12947 \h </w:instrText>
          </w:r>
          <w:r>
            <w:rPr>
              <w:sz w:val="30"/>
              <w:szCs w:val="30"/>
            </w:rPr>
            <w:fldChar w:fldCharType="separate"/>
          </w:r>
          <w:r>
            <w:rPr>
              <w:sz w:val="30"/>
              <w:szCs w:val="30"/>
            </w:rPr>
            <w:t>15</w:t>
          </w:r>
          <w:r>
            <w:rPr>
              <w:sz w:val="30"/>
              <w:szCs w:val="30"/>
            </w:rPr>
            <w:fldChar w:fldCharType="end"/>
          </w:r>
          <w:r>
            <w:rPr>
              <w:rFonts w:hint="eastAsia" w:ascii="宋体" w:hAnsi="宋体" w:eastAsia="方正小标宋简体" w:cs="方正小标宋简体"/>
              <w:bCs/>
              <w:sz w:val="30"/>
              <w:szCs w:val="30"/>
              <w:lang w:val="en-US" w:eastAsia="zh-CN"/>
            </w:rPr>
            <w:fldChar w:fldCharType="end"/>
          </w:r>
        </w:p>
        <w:p>
          <w:pPr>
            <w:pStyle w:val="4"/>
            <w:tabs>
              <w:tab w:val="left" w:pos="4798"/>
            </w:tabs>
            <w:jc w:val="both"/>
            <w:rPr>
              <w:rFonts w:hint="eastAsia" w:ascii="宋体" w:hAnsi="宋体" w:eastAsia="方正小标宋简体" w:cs="方正小标宋简体"/>
              <w:b/>
              <w:bCs/>
              <w:sz w:val="48"/>
              <w:szCs w:val="48"/>
              <w:lang w:val="en-US" w:eastAsia="zh-CN"/>
            </w:rPr>
          </w:pPr>
          <w:r>
            <w:rPr>
              <w:rFonts w:hint="eastAsia" w:ascii="宋体" w:hAnsi="宋体" w:eastAsia="方正小标宋简体" w:cs="方正小标宋简体"/>
              <w:bCs/>
              <w:szCs w:val="48"/>
              <w:lang w:val="en-US" w:eastAsia="zh-CN"/>
            </w:rPr>
            <w:fldChar w:fldCharType="end"/>
          </w:r>
        </w:p>
      </w:sdtContent>
    </w:sdt>
    <w:p>
      <w:pPr>
        <w:pStyle w:val="4"/>
        <w:rPr>
          <w:rFonts w:ascii="宋体" w:hAnsi="宋体"/>
          <w:sz w:val="20"/>
        </w:rPr>
        <w:sectPr>
          <w:headerReference r:id="rId3" w:type="default"/>
          <w:footerReference r:id="rId4" w:type="default"/>
          <w:pgSz w:w="11910" w:h="16840"/>
          <w:pgMar w:top="1587" w:right="964" w:bottom="1701" w:left="1134" w:header="737" w:footer="737" w:gutter="0"/>
          <w:pgNumType w:fmt="decimal" w:start="1"/>
          <w:cols w:space="0" w:num="1"/>
          <w:rtlGutter w:val="0"/>
          <w:docGrid w:linePitch="0" w:charSpace="0"/>
        </w:sect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spacing w:before="3"/>
        <w:rPr>
          <w:rFonts w:ascii="宋体" w:hAnsi="宋体"/>
          <w:sz w:val="28"/>
        </w:rPr>
      </w:pPr>
    </w:p>
    <w:p>
      <w:pPr>
        <w:pStyle w:val="4"/>
        <w:numPr>
          <w:ilvl w:val="0"/>
          <w:numId w:val="2"/>
        </w:numPr>
        <w:jc w:val="center"/>
        <w:outlineLvl w:val="0"/>
        <w:rPr>
          <w:rFonts w:hint="eastAsia" w:ascii="宋体" w:hAnsi="宋体" w:eastAsia="方正小标宋简体" w:cs="方正小标宋简体"/>
          <w:b/>
          <w:bCs/>
          <w:sz w:val="52"/>
          <w:szCs w:val="52"/>
          <w:lang w:val="en-US" w:eastAsia="zh-CN"/>
        </w:rPr>
      </w:pPr>
      <w:bookmarkStart w:id="0" w:name="_Toc4421"/>
      <w:r>
        <w:rPr>
          <w:rFonts w:hint="eastAsia" w:ascii="宋体" w:hAnsi="宋体" w:eastAsia="方正小标宋简体" w:cs="方正小标宋简体"/>
          <w:b/>
          <w:bCs/>
          <w:sz w:val="52"/>
          <w:szCs w:val="52"/>
          <w:lang w:val="en-US" w:eastAsia="zh-CN"/>
        </w:rPr>
        <w:t>部门概况</w:t>
      </w:r>
      <w:bookmarkEnd w:id="0"/>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rPr>
          <w:rFonts w:hint="eastAsia" w:ascii="宋体" w:hAnsi="宋体" w:eastAsia="黑体"/>
          <w:color w:val="333333"/>
        </w:rPr>
        <w:sectPr>
          <w:footerReference r:id="rId5" w:type="default"/>
          <w:pgSz w:w="11910" w:h="16840"/>
          <w:pgMar w:top="1587" w:right="964" w:bottom="1701" w:left="1134" w:header="737" w:footer="737" w:gutter="0"/>
          <w:pgNumType w:fmt="decimal" w:start="1"/>
          <w:cols w:space="0" w:num="1"/>
          <w:rtlGutter w:val="0"/>
          <w:docGrid w:linePitch="0" w:charSpace="0"/>
        </w:sectPr>
      </w:pP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1" w:name="_Toc15794"/>
      <w:r>
        <w:rPr>
          <w:rFonts w:hint="eastAsia" w:ascii="宋体" w:hAnsi="宋体" w:eastAsia="黑体"/>
          <w:color w:val="333333"/>
        </w:rPr>
        <w:t>一、基本职能及主要工作</w:t>
      </w:r>
      <w:bookmarkEnd w:id="1"/>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lang w:eastAsia="zh-CN"/>
        </w:rPr>
      </w:pPr>
      <w:bookmarkStart w:id="2" w:name="_Toc7055"/>
      <w:r>
        <w:rPr>
          <w:rFonts w:ascii="宋体" w:hAnsi="宋体"/>
        </w:rPr>
        <w:t>（一）部门职能简介</w:t>
      </w:r>
      <w:bookmarkEnd w:id="2"/>
    </w:p>
    <w:p>
      <w:pPr>
        <w:pStyle w:val="3"/>
        <w:keepNext w:val="0"/>
        <w:keepLines w:val="0"/>
        <w:pageBreakBefore w:val="0"/>
        <w:widowControl w:val="0"/>
        <w:kinsoku/>
        <w:wordWrap/>
        <w:overflowPunct/>
        <w:topLinePunct w:val="0"/>
        <w:autoSpaceDE w:val="0"/>
        <w:autoSpaceDN w:val="0"/>
        <w:bidi w:val="0"/>
        <w:adjustRightInd/>
        <w:snapToGrid/>
        <w:spacing w:before="190"/>
        <w:ind w:left="0" w:leftChars="0" w:firstLine="960" w:firstLineChars="300"/>
        <w:textAlignment w:val="auto"/>
        <w:rPr>
          <w:rFonts w:hint="eastAsia" w:ascii="仿宋_GB2312" w:hAnsi="仿宋_GB2312" w:eastAsia="仿宋_GB2312" w:cs="仿宋_GB2312"/>
          <w:b w:val="0"/>
          <w:bCs w:val="0"/>
          <w:sz w:val="32"/>
          <w:szCs w:val="32"/>
          <w:lang w:val="en-US" w:eastAsia="zh-CN" w:bidi="zh-CN"/>
        </w:rPr>
      </w:pPr>
      <w:bookmarkStart w:id="3" w:name="_Toc6714"/>
      <w:r>
        <w:rPr>
          <w:rFonts w:hint="eastAsia" w:ascii="仿宋_GB2312" w:hAnsi="仿宋_GB2312" w:eastAsia="仿宋_GB2312" w:cs="仿宋_GB2312"/>
          <w:b w:val="0"/>
          <w:bCs w:val="0"/>
          <w:color w:val="auto"/>
          <w:sz w:val="32"/>
          <w:szCs w:val="32"/>
          <w:lang w:val="en-US" w:eastAsia="zh-CN" w:bidi="zh-CN"/>
        </w:rPr>
        <w:t>负责党的纪律检查工作。贯彻落实党中央、省委、市委、区委关于纪律检查工作的决定,维护党的章程和其他党内法规,检查党的路线方针政策和决议的执行情况,协助区委推进全面从严治党、加强党风建设和组织协调反腐败工作。依照党的章程和其他党内法规履行监督、执纪、问责职责。负责全区监察工作。贯彻落实党中央、省委、市委、区委关于监察工作的决定,维护宪法法律,依法对行使公权力的公职人员进行监察,调查职务违法和职务犯罪,开展廉政建设和反腐败工作。依照法律规定履行监督、调查、处置职责。负责组织协调全面从严治党、党风廉政建设和反腐败宣传教育工作。在上级纪委监委的领导下,做好反腐败追逃追赃和防逃工作的组织协调,督促有关单位做好相关工作。根据干部管理权限,负责纪检监察系统领导班子建设、干部队伍建设和组织建设的综合规划、政策研究、制度建设和业务指导。完成区委和上级纪委监委交办的其他任务。</w:t>
      </w:r>
    </w:p>
    <w:p>
      <w:pPr>
        <w:pStyle w:val="3"/>
        <w:keepNext w:val="0"/>
        <w:keepLines w:val="0"/>
        <w:pageBreakBefore w:val="0"/>
        <w:widowControl w:val="0"/>
        <w:kinsoku/>
        <w:wordWrap/>
        <w:overflowPunct/>
        <w:topLinePunct w:val="0"/>
        <w:autoSpaceDE w:val="0"/>
        <w:autoSpaceDN w:val="0"/>
        <w:bidi w:val="0"/>
        <w:adjustRightInd/>
        <w:snapToGrid/>
        <w:spacing w:before="190"/>
        <w:ind w:left="0" w:leftChars="0" w:firstLine="964" w:firstLineChars="300"/>
        <w:textAlignment w:val="auto"/>
        <w:rPr>
          <w:rFonts w:hint="eastAsia" w:ascii="宋体" w:hAnsi="宋体"/>
        </w:rPr>
      </w:pPr>
      <w:r>
        <w:rPr>
          <w:rFonts w:ascii="宋体" w:hAnsi="宋体"/>
        </w:rPr>
        <w:t>（二）部门</w:t>
      </w:r>
      <w:r>
        <w:rPr>
          <w:rFonts w:hint="eastAsia" w:ascii="宋体" w:hAnsi="宋体"/>
          <w:lang w:val="en-US" w:eastAsia="zh-CN"/>
        </w:rPr>
        <w:t>2026</w:t>
      </w:r>
      <w:r>
        <w:rPr>
          <w:rFonts w:ascii="宋体" w:hAnsi="宋体"/>
        </w:rPr>
        <w:t>年重点工</w:t>
      </w:r>
      <w:r>
        <w:rPr>
          <w:rFonts w:hint="eastAsia" w:ascii="宋体" w:hAnsi="宋体"/>
        </w:rPr>
        <w:t>作</w:t>
      </w:r>
      <w:bookmarkEnd w:id="3"/>
    </w:p>
    <w:p>
      <w:pPr>
        <w:keepNext w:val="0"/>
        <w:keepLines w:val="0"/>
        <w:pageBreakBefore w:val="0"/>
        <w:widowControl w:val="0"/>
        <w:kinsoku/>
        <w:wordWrap/>
        <w:overflowPunct/>
        <w:topLinePunct w:val="0"/>
        <w:autoSpaceDE/>
        <w:autoSpaceDN/>
        <w:bidi w:val="0"/>
        <w:adjustRightInd/>
        <w:snapToGrid/>
        <w:spacing w:before="0" w:beforeLines="0" w:after="0" w:afterLines="0" w:line="576"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1.负责党的纪律检查工作。贯彻落实党中央关于纪律检查工作的决定，维护党的章程和其他党内法规，检查党的路线方针政策和决议的执行情况，协助</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委推进全面从严治党、加强党风建设和组织协调反腐败工作。</w:t>
      </w:r>
    </w:p>
    <w:p>
      <w:pPr>
        <w:keepNext w:val="0"/>
        <w:keepLines w:val="0"/>
        <w:pageBreakBefore w:val="0"/>
        <w:widowControl w:val="0"/>
        <w:kinsoku/>
        <w:wordWrap/>
        <w:overflowPunct/>
        <w:topLinePunct w:val="0"/>
        <w:autoSpaceDE/>
        <w:autoSpaceDN/>
        <w:bidi w:val="0"/>
        <w:adjustRightInd/>
        <w:snapToGrid/>
        <w:spacing w:before="0" w:beforeLines="0" w:after="0" w:afterLines="0" w:line="576"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.负责全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监察工作。贯彻落实党中央关于监察工作的决定，维护宪法法律，依法对</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委管理的行使公权力的公职人员进行监察，调查职务违法和职务犯罪，开展廉政建设和反腐败工作。</w:t>
      </w:r>
    </w:p>
    <w:p>
      <w:pPr>
        <w:keepNext w:val="0"/>
        <w:keepLines w:val="0"/>
        <w:pageBreakBefore w:val="0"/>
        <w:widowControl w:val="0"/>
        <w:kinsoku/>
        <w:wordWrap/>
        <w:overflowPunct/>
        <w:topLinePunct w:val="0"/>
        <w:autoSpaceDE/>
        <w:autoSpaceDN/>
        <w:bidi w:val="0"/>
        <w:adjustRightInd/>
        <w:snapToGrid/>
        <w:spacing w:before="0" w:beforeLines="0" w:after="0" w:afterLines="0" w:line="576"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.负责组织协调全面从严治党、党风廉政建设和反腐败宣传教育工作。</w:t>
      </w:r>
    </w:p>
    <w:p>
      <w:pPr>
        <w:keepNext w:val="0"/>
        <w:keepLines w:val="0"/>
        <w:pageBreakBefore w:val="0"/>
        <w:widowControl w:val="0"/>
        <w:kinsoku/>
        <w:wordWrap/>
        <w:overflowPunct/>
        <w:topLinePunct w:val="0"/>
        <w:autoSpaceDE/>
        <w:autoSpaceDN/>
        <w:bidi w:val="0"/>
        <w:adjustRightInd/>
        <w:snapToGrid/>
        <w:spacing w:before="0" w:beforeLines="0" w:after="0" w:afterLines="0" w:line="576"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.负责综合分析全面从严治党、党风廉政建设和反腐败工作情况，对纪检监察工作重要理论及实践问题进行调查研究。参与起草制定相关规范性文件。</w:t>
      </w:r>
    </w:p>
    <w:p>
      <w:pPr>
        <w:keepNext w:val="0"/>
        <w:keepLines w:val="0"/>
        <w:pageBreakBefore w:val="0"/>
        <w:widowControl w:val="0"/>
        <w:kinsoku/>
        <w:wordWrap/>
        <w:overflowPunct/>
        <w:topLinePunct w:val="0"/>
        <w:autoSpaceDE/>
        <w:autoSpaceDN/>
        <w:bidi w:val="0"/>
        <w:adjustRightInd/>
        <w:snapToGrid/>
        <w:spacing w:before="0" w:beforeLines="0" w:after="0" w:afterLines="0" w:line="576" w:lineRule="exact"/>
        <w:ind w:right="0" w:rightChars="0" w:firstLine="640" w:firstLineChars="200"/>
        <w:jc w:val="both"/>
        <w:textAlignment w:val="auto"/>
        <w:outlineLvl w:val="9"/>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.根据干部管理权限，负责纪检监察系统领导班子建设、干部队伍建设和组织建设的综合规划、政策研究、制度建设和业务指导。组织和指导全</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纪检监察系统干部教育培训工作等。</w:t>
      </w:r>
    </w:p>
    <w:p>
      <w:pPr>
        <w:keepNext w:val="0"/>
        <w:keepLines w:val="0"/>
        <w:pageBreakBefore w:val="0"/>
        <w:widowControl w:val="0"/>
        <w:kinsoku/>
        <w:wordWrap/>
        <w:overflowPunct/>
        <w:topLinePunct w:val="0"/>
        <w:autoSpaceDE/>
        <w:autoSpaceDN/>
        <w:bidi w:val="0"/>
        <w:adjustRightInd/>
        <w:snapToGrid/>
        <w:spacing w:before="0" w:beforeLines="0" w:after="0" w:afterLines="0" w:line="576" w:lineRule="exact"/>
        <w:ind w:right="0" w:rightChars="0" w:firstLine="640" w:firstLineChars="200"/>
        <w:jc w:val="both"/>
        <w:textAlignment w:val="auto"/>
        <w:outlineLvl w:val="9"/>
        <w:rPr>
          <w:rFonts w:hint="eastAsia" w:ascii="宋体" w:hAnsi="宋体"/>
          <w:sz w:val="32"/>
          <w:lang w:val="en-US" w:eastAsia="zh-CN"/>
        </w:rPr>
      </w:pP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.完成</w:t>
      </w:r>
      <w:r>
        <w:rPr>
          <w:rFonts w:hint="eastAsia" w:ascii="仿宋_GB2312" w:hAnsi="仿宋_GB2312" w:eastAsia="仿宋_GB2312" w:cs="仿宋_GB2312"/>
          <w:sz w:val="32"/>
          <w:szCs w:val="32"/>
          <w:lang w:eastAsia="zh-CN"/>
        </w:rPr>
        <w:t>区</w:t>
      </w:r>
      <w:r>
        <w:rPr>
          <w:rFonts w:hint="eastAsia" w:ascii="仿宋_GB2312" w:hAnsi="仿宋_GB2312" w:eastAsia="仿宋_GB2312" w:cs="仿宋_GB2312"/>
          <w:sz w:val="32"/>
          <w:szCs w:val="32"/>
        </w:rPr>
        <w:t>委和</w:t>
      </w:r>
      <w:r>
        <w:rPr>
          <w:rFonts w:hint="eastAsia" w:ascii="仿宋_GB2312" w:hAnsi="仿宋_GB2312" w:eastAsia="仿宋_GB2312" w:cs="仿宋_GB2312"/>
          <w:sz w:val="32"/>
          <w:szCs w:val="32"/>
          <w:lang w:eastAsia="zh-CN"/>
        </w:rPr>
        <w:t>市</w:t>
      </w:r>
      <w:r>
        <w:rPr>
          <w:rFonts w:hint="eastAsia" w:ascii="仿宋_GB2312" w:hAnsi="仿宋_GB2312" w:eastAsia="仿宋_GB2312" w:cs="仿宋_GB2312"/>
          <w:sz w:val="32"/>
          <w:szCs w:val="32"/>
        </w:rPr>
        <w:t>纪委监委交办的其他任务</w:t>
      </w:r>
      <w:r>
        <w:rPr>
          <w:rFonts w:hint="eastAsia" w:ascii="宋体" w:hAnsi="宋体"/>
          <w:sz w:val="32"/>
          <w:lang w:val="en-US" w:eastAsia="zh-CN"/>
        </w:rPr>
        <w:t>。</w:t>
      </w:r>
    </w:p>
    <w:p>
      <w:pPr>
        <w:pStyle w:val="4"/>
        <w:keepNext w:val="0"/>
        <w:keepLines w:val="0"/>
        <w:pageBreakBefore w:val="0"/>
        <w:widowControl w:val="0"/>
        <w:kinsoku/>
        <w:wordWrap/>
        <w:overflowPunct/>
        <w:topLinePunct w:val="0"/>
        <w:autoSpaceDE w:val="0"/>
        <w:autoSpaceDN w:val="0"/>
        <w:bidi w:val="0"/>
        <w:adjustRightInd/>
        <w:snapToGrid/>
        <w:spacing w:before="40" w:after="0" w:afterLines="50"/>
        <w:ind w:firstLine="640" w:firstLineChars="200"/>
        <w:textAlignment w:val="auto"/>
        <w:outlineLvl w:val="1"/>
        <w:rPr>
          <w:rFonts w:hint="eastAsia" w:ascii="宋体" w:hAnsi="宋体" w:eastAsia="黑体"/>
          <w:color w:val="333333"/>
        </w:rPr>
      </w:pPr>
      <w:bookmarkStart w:id="4" w:name="_Toc20578"/>
      <w:r>
        <w:rPr>
          <w:rFonts w:hint="eastAsia" w:ascii="宋体" w:hAnsi="宋体" w:eastAsia="黑体"/>
          <w:color w:val="333333"/>
        </w:rPr>
        <w:t>二、部门预算单位构成</w:t>
      </w:r>
      <w:bookmarkEnd w:id="4"/>
    </w:p>
    <w:p>
      <w:pPr>
        <w:ind w:firstLine="640" w:firstLineChars="200"/>
        <w:rPr>
          <w:rFonts w:ascii="宋体" w:hAnsi="宋体"/>
          <w:sz w:val="20"/>
        </w:rPr>
      </w:pPr>
      <w:r>
        <w:rPr>
          <w:rFonts w:hint="eastAsia" w:ascii="仿宋_GB2312" w:hAnsi="仿宋_GB2312" w:eastAsia="仿宋_GB2312" w:cs="仿宋_GB2312"/>
          <w:sz w:val="32"/>
          <w:szCs w:val="32"/>
          <w:lang w:eastAsia="zh-CN"/>
        </w:rPr>
        <w:t>五通桥</w:t>
      </w:r>
      <w:r>
        <w:rPr>
          <w:rFonts w:hint="eastAsia" w:ascii="仿宋_GB2312" w:hAnsi="仿宋_GB2312" w:eastAsia="仿宋_GB2312" w:cs="仿宋_GB2312"/>
          <w:sz w:val="32"/>
          <w:szCs w:val="32"/>
        </w:rPr>
        <w:t>区纪委监委属行政单位</w:t>
      </w:r>
      <w:r>
        <w:rPr>
          <w:rFonts w:hint="eastAsia" w:ascii="仿宋_GB2312" w:hAnsi="仿宋_GB2312" w:eastAsia="仿宋_GB2312" w:cs="仿宋_GB2312"/>
          <w:sz w:val="32"/>
          <w:szCs w:val="32"/>
          <w:lang w:eastAsia="zh-CN"/>
        </w:rPr>
        <w:t>（含巡察办的人员经费及项目经费），</w:t>
      </w:r>
      <w:r>
        <w:rPr>
          <w:rFonts w:hint="eastAsia" w:ascii="仿宋_GB2312" w:hAnsi="仿宋_GB2312" w:eastAsia="仿宋_GB2312" w:cs="仿宋_GB2312"/>
          <w:sz w:val="32"/>
          <w:szCs w:val="32"/>
        </w:rPr>
        <w:t>下属无二级预算单位</w:t>
      </w:r>
      <w:r>
        <w:rPr>
          <w:rFonts w:hint="eastAsia" w:ascii="仿宋_GB2312" w:hAnsi="仿宋_GB2312" w:eastAsia="仿宋_GB2312" w:cs="仿宋_GB2312"/>
          <w:sz w:val="32"/>
          <w:szCs w:val="32"/>
          <w:lang w:eastAsia="zh-CN"/>
        </w:rPr>
        <w:t>。</w:t>
      </w: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3"/>
        </w:numPr>
        <w:jc w:val="center"/>
        <w:outlineLvl w:val="0"/>
        <w:rPr>
          <w:rFonts w:hint="default" w:ascii="宋体" w:hAnsi="宋体" w:eastAsia="方正小标宋简体" w:cs="方正小标宋简体"/>
          <w:b/>
          <w:bCs/>
          <w:sz w:val="52"/>
          <w:szCs w:val="52"/>
          <w:lang w:val="en-US" w:eastAsia="zh-CN"/>
        </w:rPr>
      </w:pPr>
      <w:bookmarkStart w:id="5" w:name="_Toc26270"/>
      <w:r>
        <w:rPr>
          <w:rFonts w:hint="eastAsia" w:ascii="宋体" w:hAnsi="宋体" w:eastAsia="方正小标宋简体" w:cs="方正小标宋简体"/>
          <w:b/>
          <w:bCs/>
          <w:sz w:val="52"/>
          <w:szCs w:val="52"/>
          <w:lang w:val="en-US" w:eastAsia="zh-CN"/>
        </w:rPr>
        <w:t>区纪委监委2026年部门预算表</w:t>
      </w:r>
      <w:bookmarkEnd w:id="5"/>
    </w:p>
    <w:p>
      <w:pPr>
        <w:rPr>
          <w:rFonts w:hint="eastAsia" w:ascii="宋体" w:hAnsi="宋体"/>
          <w:sz w:val="32"/>
          <w:lang w:val="en-US" w:eastAsia="zh-CN"/>
        </w:rPr>
      </w:pPr>
      <w:r>
        <w:rPr>
          <w:rFonts w:ascii="宋体" w:hAnsi="宋体"/>
          <w:color w:val="333333"/>
        </w:rPr>
        <w:br w:type="page"/>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6" w:name="_Toc19525"/>
      <w:r>
        <w:rPr>
          <w:rFonts w:hint="eastAsia" w:ascii="宋体" w:hAnsi="宋体"/>
          <w:sz w:val="32"/>
          <w:lang w:val="en-US" w:eastAsia="zh-CN"/>
        </w:rPr>
        <w:t>一、收支预算总表（收支总表1）</w:t>
      </w:r>
      <w:bookmarkEnd w:id="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7" w:name="_Toc27375"/>
      <w:r>
        <w:rPr>
          <w:rFonts w:hint="eastAsia" w:ascii="宋体" w:hAnsi="宋体"/>
          <w:sz w:val="32"/>
          <w:lang w:val="en-US" w:eastAsia="zh-CN"/>
        </w:rPr>
        <w:t>二、收入预算总表（收入总表2）</w:t>
      </w:r>
      <w:bookmarkEnd w:id="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8" w:name="_Toc1535"/>
      <w:r>
        <w:rPr>
          <w:rFonts w:hint="eastAsia" w:ascii="宋体" w:hAnsi="宋体"/>
          <w:sz w:val="32"/>
          <w:lang w:val="en-US" w:eastAsia="zh-CN"/>
        </w:rPr>
        <w:t>三、征收预期表（征收预期3）</w:t>
      </w:r>
      <w:bookmarkEnd w:id="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9" w:name="_Toc24022"/>
      <w:r>
        <w:rPr>
          <w:rFonts w:hint="eastAsia" w:ascii="宋体" w:hAnsi="宋体"/>
          <w:sz w:val="32"/>
          <w:lang w:val="en-US" w:eastAsia="zh-CN"/>
        </w:rPr>
        <w:t>四、支出预算总表（支出总表4）</w:t>
      </w:r>
      <w:bookmarkEnd w:id="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0" w:name="_Toc28846"/>
      <w:r>
        <w:rPr>
          <w:rFonts w:hint="eastAsia" w:ascii="宋体" w:hAnsi="宋体"/>
          <w:sz w:val="32"/>
          <w:lang w:val="en-US" w:eastAsia="zh-CN"/>
        </w:rPr>
        <w:t>五、财政拨款预算总表（财拨总表5）</w:t>
      </w:r>
      <w:bookmarkEnd w:id="1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1" w:name="_Toc26817"/>
      <w:r>
        <w:rPr>
          <w:rFonts w:hint="eastAsia" w:ascii="宋体" w:hAnsi="宋体"/>
          <w:sz w:val="32"/>
          <w:lang w:val="en-US" w:eastAsia="zh-CN"/>
        </w:rPr>
        <w:t>六、一般公共预算支出表（一般预算支出6）</w:t>
      </w:r>
      <w:bookmarkEnd w:id="1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2" w:name="_Toc12197"/>
      <w:r>
        <w:rPr>
          <w:rFonts w:hint="eastAsia" w:ascii="宋体" w:hAnsi="宋体"/>
          <w:sz w:val="32"/>
          <w:lang w:val="en-US" w:eastAsia="zh-CN"/>
        </w:rPr>
        <w:t>七、一般公共预算基本支出表（基本支出7）</w:t>
      </w:r>
      <w:bookmarkEnd w:id="12"/>
      <w:r>
        <w:rPr>
          <w:rFonts w:hint="eastAsia" w:ascii="宋体" w:hAnsi="宋体"/>
          <w:sz w:val="32"/>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3" w:name="_Toc19152"/>
      <w:r>
        <w:rPr>
          <w:rFonts w:hint="eastAsia" w:ascii="宋体" w:hAnsi="宋体"/>
          <w:sz w:val="32"/>
          <w:lang w:val="en-US" w:eastAsia="zh-CN"/>
        </w:rPr>
        <w:t>八、一般公共预算“三公”经费支出预算表（三公8）</w:t>
      </w:r>
      <w:bookmarkEnd w:id="1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4" w:name="_Toc29240"/>
      <w:r>
        <w:rPr>
          <w:rFonts w:hint="eastAsia" w:ascii="宋体" w:hAnsi="宋体"/>
          <w:sz w:val="32"/>
          <w:lang w:val="en-US" w:eastAsia="zh-CN"/>
        </w:rPr>
        <w:t>九、政府性基金预算支出表（基金9）</w:t>
      </w:r>
      <w:bookmarkEnd w:id="14"/>
      <w:r>
        <w:rPr>
          <w:rFonts w:hint="eastAsia" w:ascii="宋体" w:hAnsi="宋体"/>
          <w:sz w:val="32"/>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5" w:name="_Toc30708"/>
      <w:r>
        <w:rPr>
          <w:rFonts w:hint="eastAsia" w:ascii="宋体" w:hAnsi="宋体"/>
          <w:sz w:val="32"/>
          <w:lang w:val="en-US" w:eastAsia="zh-CN"/>
        </w:rPr>
        <w:t>十、国有资本经营预算支出表（国资10）</w:t>
      </w:r>
      <w:bookmarkEnd w:id="1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6" w:name="_Toc32474"/>
      <w:r>
        <w:rPr>
          <w:rFonts w:hint="eastAsia" w:ascii="宋体" w:hAnsi="宋体"/>
          <w:sz w:val="32"/>
          <w:lang w:val="en-US" w:eastAsia="zh-CN"/>
        </w:rPr>
        <w:t>十一、支出功能分类预算表（支出功能11）</w:t>
      </w:r>
      <w:bookmarkEnd w:id="1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7" w:name="_Toc15884"/>
      <w:r>
        <w:rPr>
          <w:rFonts w:hint="eastAsia" w:ascii="宋体" w:hAnsi="宋体"/>
          <w:sz w:val="32"/>
          <w:lang w:val="en-US" w:eastAsia="zh-CN"/>
        </w:rPr>
        <w:t>十二、支出经济分类预算表（支出经济分类12）</w:t>
      </w:r>
      <w:bookmarkEnd w:id="1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8" w:name="_Toc28730"/>
      <w:r>
        <w:rPr>
          <w:rFonts w:hint="eastAsia" w:ascii="宋体" w:hAnsi="宋体"/>
          <w:sz w:val="32"/>
          <w:lang w:val="en-US" w:eastAsia="zh-CN"/>
        </w:rPr>
        <w:t>十三、上级资金安排情况表（上级资金安排13）</w:t>
      </w:r>
      <w:bookmarkEnd w:id="18"/>
      <w:r>
        <w:rPr>
          <w:rFonts w:hint="eastAsia" w:ascii="宋体" w:hAnsi="宋体"/>
          <w:sz w:val="32"/>
          <w:lang w:val="en-US" w:eastAsia="zh-CN"/>
        </w:rPr>
        <w:t xml:space="preserve">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19" w:name="_Toc2069"/>
      <w:r>
        <w:rPr>
          <w:rFonts w:hint="eastAsia" w:ascii="宋体" w:hAnsi="宋体"/>
          <w:sz w:val="32"/>
          <w:lang w:val="en-US" w:eastAsia="zh-CN"/>
        </w:rPr>
        <w:t>十四、项目支出表（项目支出14）</w:t>
      </w:r>
      <w:bookmarkEnd w:id="1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0" w:name="_Toc31813"/>
      <w:r>
        <w:rPr>
          <w:rFonts w:hint="eastAsia" w:ascii="宋体" w:hAnsi="宋体"/>
          <w:sz w:val="32"/>
          <w:lang w:val="en-US" w:eastAsia="zh-CN"/>
        </w:rPr>
        <w:t>十六、政府购买服务预算表（购买服务16）</w:t>
      </w:r>
      <w:bookmarkEnd w:id="2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1" w:name="_Toc22434"/>
      <w:bookmarkStart w:id="22" w:name="_Toc16458"/>
      <w:r>
        <w:rPr>
          <w:rFonts w:hint="eastAsia" w:ascii="宋体" w:hAnsi="宋体"/>
          <w:sz w:val="32"/>
          <w:lang w:val="en-US" w:eastAsia="zh-CN"/>
        </w:rPr>
        <w:t>十七、采购需求表（采购需求表17）</w:t>
      </w:r>
      <w:bookmarkEnd w:id="2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3" w:name="_Toc7220"/>
      <w:r>
        <w:rPr>
          <w:rFonts w:hint="eastAsia" w:ascii="宋体" w:hAnsi="宋体"/>
          <w:sz w:val="32"/>
          <w:lang w:val="en-US" w:eastAsia="zh-CN"/>
        </w:rPr>
        <w:t>十八、国有资产配置预算表（资产18）</w:t>
      </w:r>
      <w:bookmarkEnd w:id="2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4" w:name="_Toc3888"/>
      <w:r>
        <w:rPr>
          <w:rFonts w:hint="eastAsia" w:ascii="宋体" w:hAnsi="宋体"/>
          <w:sz w:val="32"/>
          <w:lang w:val="en-US" w:eastAsia="zh-CN"/>
        </w:rPr>
        <w:t>十九、项目支出绩效表（项目绩效19）</w:t>
      </w:r>
      <w:bookmarkEnd w:id="2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5" w:name="_Toc26130"/>
      <w:r>
        <w:rPr>
          <w:rFonts w:hint="eastAsia" w:ascii="宋体" w:hAnsi="宋体"/>
          <w:sz w:val="32"/>
          <w:lang w:val="en-US" w:eastAsia="zh-CN"/>
        </w:rPr>
        <w:t>二十、部门绩效表（部门绩效20）</w:t>
      </w:r>
      <w:bookmarkEnd w:id="2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6" w:name="_Toc15389"/>
      <w:r>
        <w:rPr>
          <w:rFonts w:hint="eastAsia" w:ascii="宋体" w:hAnsi="宋体"/>
          <w:sz w:val="32"/>
          <w:lang w:val="en-US" w:eastAsia="zh-CN"/>
        </w:rPr>
        <w:t>二十一、年初政府采购项目预算表（政府采购项目预算表21）</w:t>
      </w:r>
      <w:bookmarkEnd w:id="2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7" w:name="_Toc11097"/>
      <w:r>
        <w:rPr>
          <w:rFonts w:hint="eastAsia" w:ascii="宋体" w:hAnsi="宋体"/>
          <w:sz w:val="32"/>
          <w:lang w:val="en-US" w:eastAsia="zh-CN"/>
        </w:rPr>
        <w:t>二十二、2026-2027年支出计划总表（三年计划总表22）</w:t>
      </w:r>
      <w:bookmarkEnd w:id="2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8" w:name="_Toc17731"/>
      <w:r>
        <w:rPr>
          <w:rFonts w:hint="eastAsia" w:ascii="宋体" w:hAnsi="宋体"/>
          <w:sz w:val="32"/>
          <w:lang w:val="en-US" w:eastAsia="zh-CN"/>
        </w:rPr>
        <w:t>二十三、2026-2027年支出计划明细表（三年计划明细表23）</w:t>
      </w:r>
      <w:bookmarkEnd w:id="28"/>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left="660" w:leftChars="300" w:right="660" w:rightChars="300"/>
        <w:jc w:val="left"/>
        <w:textAlignment w:val="auto"/>
        <w:outlineLvl w:val="1"/>
        <w:rPr>
          <w:rFonts w:hint="eastAsia" w:ascii="宋体" w:hAnsi="宋体"/>
          <w:sz w:val="32"/>
          <w:lang w:val="en-US" w:eastAsia="zh-CN"/>
        </w:rPr>
      </w:pPr>
      <w:bookmarkStart w:id="29" w:name="_Toc19864"/>
      <w:r>
        <w:rPr>
          <w:rFonts w:hint="eastAsia" w:ascii="宋体" w:hAnsi="宋体"/>
          <w:sz w:val="32"/>
          <w:lang w:val="en-US" w:eastAsia="zh-CN"/>
        </w:rPr>
        <w:t>二十四、人员和车辆基本情况表（人员24）</w:t>
      </w:r>
      <w:bookmarkEnd w:id="2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after="0" w:line="700" w:lineRule="exact"/>
        <w:ind w:right="660" w:rightChars="300" w:firstLine="643" w:firstLineChars="200"/>
        <w:jc w:val="left"/>
        <w:textAlignment w:val="auto"/>
        <w:outlineLvl w:val="1"/>
        <w:rPr>
          <w:rFonts w:hint="default" w:ascii="宋体" w:hAnsi="宋体"/>
          <w:b/>
          <w:bCs/>
          <w:sz w:val="32"/>
          <w:lang w:val="en-US" w:eastAsia="zh-CN"/>
        </w:rPr>
      </w:pPr>
      <w:bookmarkStart w:id="30" w:name="_Toc19339"/>
      <w:r>
        <w:rPr>
          <w:rFonts w:hint="eastAsia" w:ascii="宋体" w:hAnsi="宋体"/>
          <w:b/>
          <w:bCs/>
          <w:sz w:val="32"/>
          <w:lang w:val="en-US" w:eastAsia="zh-CN"/>
        </w:rPr>
        <w:t>以上所有表格详见部门说明后附件。</w:t>
      </w:r>
      <w:bookmarkEnd w:id="22"/>
      <w:bookmarkEnd w:id="30"/>
    </w:p>
    <w:p>
      <w:pPr>
        <w:rPr>
          <w:rFonts w:ascii="宋体" w:hAnsi="宋体"/>
          <w:sz w:val="20"/>
        </w:rPr>
      </w:pPr>
      <w:r>
        <w:rPr>
          <w:rFonts w:ascii="宋体" w:hAnsi="宋体"/>
          <w:sz w:val="20"/>
        </w:rPr>
        <w:br w:type="page"/>
      </w: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numPr>
          <w:ilvl w:val="0"/>
          <w:numId w:val="3"/>
        </w:numPr>
        <w:spacing w:before="6"/>
        <w:ind w:left="0" w:leftChars="0" w:firstLine="0" w:firstLineChars="0"/>
        <w:jc w:val="center"/>
        <w:outlineLvl w:val="0"/>
        <w:rPr>
          <w:rFonts w:hint="eastAsia" w:ascii="宋体" w:hAnsi="宋体" w:eastAsia="方正小标宋简体" w:cs="方正小标宋简体"/>
          <w:sz w:val="52"/>
          <w:szCs w:val="52"/>
          <w:lang w:val="en-US" w:eastAsia="zh-CN"/>
        </w:rPr>
      </w:pPr>
      <w:bookmarkStart w:id="31" w:name="_Toc330"/>
      <w:r>
        <w:rPr>
          <w:rFonts w:hint="eastAsia" w:ascii="宋体" w:hAnsi="宋体" w:eastAsia="方正小标宋简体" w:cs="方正小标宋简体"/>
          <w:sz w:val="52"/>
          <w:szCs w:val="52"/>
          <w:lang w:val="en-US" w:eastAsia="zh-CN"/>
        </w:rPr>
        <w:t>区纪委监委2026年</w:t>
      </w:r>
      <w:bookmarkEnd w:id="31"/>
    </w:p>
    <w:p>
      <w:pPr>
        <w:pStyle w:val="4"/>
        <w:numPr>
          <w:ilvl w:val="0"/>
          <w:numId w:val="0"/>
        </w:numPr>
        <w:spacing w:before="6"/>
        <w:ind w:leftChars="0" w:right="0" w:rightChars="0"/>
        <w:jc w:val="center"/>
        <w:outlineLvl w:val="1"/>
        <w:rPr>
          <w:rFonts w:hint="default" w:ascii="宋体" w:hAnsi="宋体"/>
          <w:sz w:val="20"/>
          <w:lang w:val="en-US"/>
        </w:rPr>
        <w:sectPr>
          <w:headerReference r:id="rId6" w:type="default"/>
          <w:pgSz w:w="11910" w:h="16840"/>
          <w:pgMar w:top="1587" w:right="964" w:bottom="1701" w:left="1134" w:header="737" w:footer="737" w:gutter="0"/>
          <w:pgNumType w:fmt="decimal"/>
          <w:cols w:space="0" w:num="1"/>
          <w:rtlGutter w:val="0"/>
          <w:docGrid w:linePitch="0" w:charSpace="0"/>
        </w:sectPr>
      </w:pPr>
      <w:bookmarkStart w:id="32" w:name="_Toc1047"/>
      <w:bookmarkStart w:id="33" w:name="_Toc13299"/>
      <w:r>
        <w:rPr>
          <w:rFonts w:hint="eastAsia" w:ascii="宋体" w:hAnsi="宋体" w:eastAsia="方正小标宋简体" w:cs="方正小标宋简体"/>
          <w:sz w:val="52"/>
          <w:szCs w:val="52"/>
          <w:lang w:val="en-US" w:eastAsia="zh-CN"/>
        </w:rPr>
        <w:t>部门预算情况说明</w:t>
      </w:r>
      <w:bookmarkEnd w:id="32"/>
      <w:bookmarkEnd w:id="33"/>
    </w:p>
    <w:p>
      <w:pPr>
        <w:pStyle w:val="4"/>
        <w:keepNext w:val="0"/>
        <w:keepLines w:val="0"/>
        <w:pageBreakBefore w:val="0"/>
        <w:widowControl w:val="0"/>
        <w:kinsoku/>
        <w:wordWrap/>
        <w:overflowPunct/>
        <w:topLinePunct w:val="0"/>
        <w:autoSpaceDE w:val="0"/>
        <w:autoSpaceDN w:val="0"/>
        <w:bidi w:val="0"/>
        <w:adjustRightInd/>
        <w:snapToGrid/>
        <w:spacing w:before="40" w:after="0" w:afterLines="50"/>
        <w:textAlignment w:val="auto"/>
        <w:rPr>
          <w:rFonts w:hint="eastAsia" w:ascii="宋体" w:hAnsi="宋体" w:eastAsia="黑体"/>
          <w:color w:val="333333"/>
        </w:rPr>
      </w:pP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4" w:name="_Toc14393"/>
      <w:r>
        <w:rPr>
          <w:rFonts w:hint="eastAsia" w:ascii="宋体" w:hAnsi="宋体" w:eastAsia="黑体"/>
          <w:color w:val="333333"/>
        </w:rPr>
        <w:t>一、收支预算情况说明</w:t>
      </w:r>
      <w:bookmarkEnd w:id="3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按照综合预算的原则，区纪委监委所有收入和支出均纳入部门预算管理。收入包括：一般公共预算拨款收入1690.95万元；支出包括：一般公共服务支出1377.42万元；社会保障和就业支出177.36万元；卫生健康支出38.62万元；住房保障支出97.55万元。区纪委监委2026年收支预算总数1690.95万元,比2025年收支预算总数1813.86万元减少122.91万元。主要原因：减少看护队人员经费项目预算，该项目费用由国库直接支付。</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5" w:name="_Toc20181"/>
      <w:r>
        <w:rPr>
          <w:rFonts w:ascii="宋体" w:hAnsi="宋体"/>
        </w:rPr>
        <w:t>（一）收入预算情况</w:t>
      </w:r>
      <w:bookmarkEnd w:id="3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纪委监委2026年收入预算1690.95万元，其中：上年结转0万元，占0%；一般公共预算拨款收入1690.95万元，占100%；政府基金预算拨款收入0万元，占0%；事业收入0万元，占0%；事业单位经营收入0万元，占0%；其他收入0万元，占0%。</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6" w:name="_Toc30757"/>
      <w:r>
        <w:rPr>
          <w:rFonts w:ascii="宋体" w:hAnsi="宋体"/>
        </w:rPr>
        <w:t>（二）支出预算情况</w:t>
      </w:r>
      <w:bookmarkEnd w:id="3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五通桥区纪委监委2026年支出预算1690.95万元，其中：人员支出1048.26万元，日常公用支出263.68万元，专项支出379.00万元。</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7" w:name="_Toc28286"/>
      <w:r>
        <w:rPr>
          <w:rFonts w:hint="eastAsia" w:ascii="宋体" w:hAnsi="宋体" w:eastAsia="黑体"/>
          <w:color w:val="333333"/>
        </w:rPr>
        <w:t>二、财政拨款收支预算情况说明</w:t>
      </w:r>
      <w:bookmarkEnd w:id="3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区纪委监委2026年收支预算总数1690.95万元,比2025年收支预算总数1813.86万元减少122.91万元。主要原因：减少了看护队人员经费项目。</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其中：基本支出1311.95万元，占71.77%；项目支出379.00万元，占22.41%。</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基本支出，是用于保障区纪委监委机构正常运转的日常支出，包括基本工资、津贴补贴等人员经费以及办公费、印刷费、水电费、办公设备购置等日常公用经费。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项目支出，是用于保障区纪委监委机构为完成特定的行政工作任务或事业发展目标，用于专项业务工作的经费支出。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38" w:name="_Toc18314"/>
      <w:r>
        <w:rPr>
          <w:rFonts w:hint="eastAsia" w:ascii="宋体" w:hAnsi="宋体" w:eastAsia="黑体"/>
          <w:color w:val="333333"/>
        </w:rPr>
        <w:t>三、一般公共预算当年拨款情况说明</w:t>
      </w:r>
      <w:bookmarkEnd w:id="38"/>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39" w:name="_Toc3917"/>
      <w:r>
        <w:rPr>
          <w:rFonts w:ascii="宋体" w:hAnsi="宋体"/>
        </w:rPr>
        <w:t>（一）一般公共预算当年拨款规模变化情况</w:t>
      </w:r>
      <w:bookmarkEnd w:id="3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五通桥区纪委监委2026年一般公共预算当年拨款1690.95万元，比2025年财政拨款收支预算总数1813.86万元减少122.91万元。主要原因：减少了看护队人员经费项目。</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0" w:name="_Toc27070"/>
      <w:r>
        <w:rPr>
          <w:rFonts w:ascii="宋体" w:hAnsi="宋体"/>
        </w:rPr>
        <w:t>（二）一般公共预算当年拨款结构情况</w:t>
      </w:r>
      <w:bookmarkEnd w:id="4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五通桥区纪委监委2026年一般公共预算支出1690.95万元，主要包括一般公共服务支出1377.42万元，占81.46%；社会保障和就业支出177.36元，占10.49%；卫生健康支出38.62万元，占2.28%；住房保障支出97.55万元，占5.77%。</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eastAsia" w:ascii="宋体" w:hAnsi="宋体" w:eastAsia="楷体"/>
          <w:highlight w:val="yellow"/>
          <w:lang w:eastAsia="zh-CN"/>
        </w:rPr>
      </w:pPr>
      <w:bookmarkStart w:id="41" w:name="_Toc1521"/>
      <w:r>
        <w:rPr>
          <w:rFonts w:ascii="宋体" w:hAnsi="宋体"/>
        </w:rPr>
        <w:t>（三）一般公共预算当年拨款具体使用情况</w:t>
      </w:r>
      <w:bookmarkEnd w:id="4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一般公共服务（类）纪检事务（款）行政运行（项）:2026年预算数为998.42万元，主要用于：机关及参公管理事业单位正常运转的基本支出，包括基本工资、津贴补贴等人员经费以及办公费、印刷费、水电费等日常公用经费。</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 xml:space="preserve">2.一般公共服务（类）纪检事务（款）一般行政管理事务（项）:2026年预算数为379.00万元，主要用于：机关开展纪检综合业务、专案办理等未单独设置项级科目的专门性纪检管理工作的项目支出。 </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3.社会保障和就业（类）行政事业单位离退休（款）机关事业单位基本养老保险缴费支出（项）:2026年预算数为113.42万元，主要用于：实施养老保险制度后，部门按规定由单位缴纳的基本养老保险费支出。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4.社会保障和就业（类）行政事业单位离退休（款）其他行政事业单位养老支出（项）:2026年预算数为5.81万元，主要用于：保障离退休人员经费支出。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5.社会保障和就业（类）行政事业单位离退休（款）机关事业单位职业年金缴费支出（项）:2026年预算数为56.71万元，主要用于：实施养老保险制度后，部门按规定由单位缴纳的职业年金支出。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6.社会保障和就业（类）行政事业单位离退休（款）其他社会保障和就业支出（项）:2026年预算数为1.42万元，主要用于：</w:t>
      </w:r>
      <w:r>
        <w:rPr>
          <w:rFonts w:hint="eastAsia" w:ascii="宋体" w:hAnsi="宋体"/>
          <w:color w:val="auto"/>
          <w:sz w:val="32"/>
          <w:lang w:val="en-US" w:eastAsia="zh-CN"/>
        </w:rPr>
        <w:t>实施养老保险制度后，按规定由单位缴纳的工伤保险支出</w:t>
      </w:r>
      <w:r>
        <w:rPr>
          <w:rFonts w:hint="eastAsia" w:ascii="宋体" w:hAnsi="宋体"/>
          <w:sz w:val="32"/>
          <w:lang w:val="en-US" w:eastAsia="zh-CN"/>
        </w:rPr>
        <w:t>。</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7.卫生健康（类）行政事业单位医疗（款）行政单位医疗（项）:2026年预算数为31.82万元，主要用于：机关及参公管理事业单位基本医疗保险缴费支出。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8.卫生健康（类）行政事业单位医疗（款）公务员医疗补助（项）:2026年预算数为6.80万元，主要用于：公务员医疗补助支出。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9.住房保障（类）住房改革支出（款）住房公积金（项）:2026年预算数为97.55万元，主要用于：按人力资源和社会保障部、财政部规定的基本工资和津贴补贴以及规定比例为职工缴纳的住房公积金支出。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2" w:name="_Toc11444"/>
      <w:r>
        <w:rPr>
          <w:rFonts w:hint="eastAsia" w:ascii="宋体" w:hAnsi="宋体" w:eastAsia="黑体"/>
          <w:color w:val="333333"/>
        </w:rPr>
        <w:t>四、一般公共预算基本支出情况说明</w:t>
      </w:r>
      <w:bookmarkEnd w:id="4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五通桥区区纪委监委2026年一般公共预算基本支出1301.86万元，其中：</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人员经费1048.26万元，主要包括：基本工资、津贴补贴、奖金、伙食补助费、绩效工资、机关事业单位基本养老保险缴费、职业年金缴费、职工基本医疗保险缴费、其他社会保障缴费、住房公积金、其他工资福利支出、离休费、其他对个人和家庭的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公用经费263.68万元，主要包括：主要包括：办公费、印刷费、水费、电费、邮电费、差旅费、维修（护）费、会议费、培训费、公务接待费、劳务费、工会经费、福利费、公务用车运行维护费、其他交通费、其他商品和服务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3" w:name="_Toc3206"/>
      <w:r>
        <w:rPr>
          <w:rFonts w:hint="eastAsia" w:ascii="宋体" w:hAnsi="宋体" w:eastAsia="黑体"/>
          <w:color w:val="333333"/>
        </w:rPr>
        <w:t>五、“三公”经费财政拨款预算安排情况说明</w:t>
      </w:r>
      <w:bookmarkEnd w:id="43"/>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五通桥区区纪委监委2026年“三公”经费财政拨款预算数15.00万元，其中：公务接待费5.00万元，公务用车购置0万元，公车运行维护费10.00万元。</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2026年公务接待费计划用于执行公务、开展业务活动开支、接待业务部门专题工作考察、调研、检查指导工作、学习交流的工作用餐费。</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4" w:name="_Toc24108"/>
      <w:r>
        <w:rPr>
          <w:rFonts w:ascii="宋体" w:hAnsi="宋体"/>
        </w:rPr>
        <w:t>（一）</w:t>
      </w:r>
      <w:r>
        <w:rPr>
          <w:rFonts w:hint="eastAsia" w:ascii="宋体" w:hAnsi="宋体"/>
          <w:lang w:val="en-US" w:eastAsia="zh-CN"/>
        </w:rPr>
        <w:t>公务接待费变化情况</w:t>
      </w:r>
      <w:bookmarkEnd w:id="44"/>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公务接待费较</w:t>
      </w:r>
      <w:r>
        <w:rPr>
          <w:rFonts w:hint="eastAsia" w:ascii="宋体" w:hAnsi="宋体"/>
          <w:sz w:val="32"/>
          <w:lang w:val="en-US" w:eastAsia="zh-CN"/>
        </w:rPr>
        <w:t>2025</w:t>
      </w:r>
      <w:r>
        <w:rPr>
          <w:rFonts w:hint="default" w:ascii="宋体" w:hAnsi="宋体"/>
          <w:sz w:val="32"/>
          <w:lang w:val="en-US" w:eastAsia="zh-CN"/>
        </w:rPr>
        <w:t>年预算</w:t>
      </w:r>
      <w:r>
        <w:rPr>
          <w:rFonts w:hint="eastAsia" w:ascii="宋体" w:hAnsi="宋体"/>
          <w:sz w:val="32"/>
          <w:lang w:val="en-US" w:eastAsia="zh-CN"/>
        </w:rPr>
        <w:t>5.00</w:t>
      </w:r>
      <w:r>
        <w:rPr>
          <w:rFonts w:hint="default" w:ascii="宋体" w:hAnsi="宋体"/>
          <w:sz w:val="32"/>
          <w:lang w:val="en-US" w:eastAsia="zh-CN"/>
        </w:rPr>
        <w:t>万元</w:t>
      </w:r>
      <w:r>
        <w:rPr>
          <w:rFonts w:hint="eastAsia" w:ascii="宋体" w:hAnsi="宋体"/>
          <w:sz w:val="32"/>
          <w:lang w:val="en-US" w:eastAsia="zh-CN"/>
        </w:rPr>
        <w:t>持平</w:t>
      </w:r>
      <w:r>
        <w:rPr>
          <w:rFonts w:hint="default" w:ascii="宋体" w:hAnsi="宋体"/>
          <w:sz w:val="32"/>
          <w:lang w:val="en-US" w:eastAsia="zh-CN"/>
        </w:rPr>
        <w:t>。主要原因是</w:t>
      </w:r>
      <w:r>
        <w:rPr>
          <w:rFonts w:hint="eastAsia" w:ascii="宋体" w:hAnsi="宋体"/>
          <w:sz w:val="32"/>
          <w:lang w:val="en-US" w:eastAsia="zh-CN"/>
        </w:rPr>
        <w:t>继续</w:t>
      </w:r>
      <w:r>
        <w:rPr>
          <w:rFonts w:hint="default" w:ascii="宋体" w:hAnsi="宋体"/>
          <w:sz w:val="32"/>
          <w:lang w:val="en-US" w:eastAsia="zh-CN"/>
        </w:rPr>
        <w:t>厉行节约，压缩接待规模和接待费用。</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45" w:name="_Toc3483"/>
      <w:r>
        <w:rPr>
          <w:rFonts w:ascii="宋体" w:hAnsi="宋体"/>
        </w:rPr>
        <w:t>（</w:t>
      </w:r>
      <w:r>
        <w:rPr>
          <w:rFonts w:hint="eastAsia" w:ascii="宋体" w:hAnsi="宋体"/>
          <w:lang w:val="en-US" w:eastAsia="zh-CN"/>
        </w:rPr>
        <w:t>二</w:t>
      </w:r>
      <w:r>
        <w:rPr>
          <w:rFonts w:ascii="宋体" w:hAnsi="宋体"/>
        </w:rPr>
        <w:t>）</w:t>
      </w:r>
      <w:r>
        <w:rPr>
          <w:rFonts w:hint="eastAsia" w:ascii="宋体" w:hAnsi="宋体"/>
          <w:lang w:val="en-US" w:eastAsia="zh-CN"/>
        </w:rPr>
        <w:t>公务用车购置及运行维护费变化情况</w:t>
      </w:r>
      <w:bookmarkEnd w:id="45"/>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公务用车购置及运行维护费较</w:t>
      </w:r>
      <w:r>
        <w:rPr>
          <w:rFonts w:hint="eastAsia" w:ascii="宋体" w:hAnsi="宋体"/>
          <w:sz w:val="32"/>
          <w:lang w:val="en-US" w:eastAsia="zh-CN"/>
        </w:rPr>
        <w:t>2025</w:t>
      </w:r>
      <w:r>
        <w:rPr>
          <w:rFonts w:hint="default" w:ascii="宋体" w:hAnsi="宋体"/>
          <w:sz w:val="32"/>
          <w:lang w:val="en-US" w:eastAsia="zh-CN"/>
        </w:rPr>
        <w:t>预算</w:t>
      </w:r>
      <w:r>
        <w:rPr>
          <w:rFonts w:hint="eastAsia" w:ascii="宋体" w:hAnsi="宋体"/>
          <w:sz w:val="32"/>
          <w:lang w:val="en-US" w:eastAsia="zh-CN"/>
        </w:rPr>
        <w:t>10.00</w:t>
      </w:r>
      <w:r>
        <w:rPr>
          <w:rFonts w:hint="default" w:ascii="宋体" w:hAnsi="宋体"/>
          <w:sz w:val="32"/>
          <w:lang w:val="en-US" w:eastAsia="zh-CN"/>
        </w:rPr>
        <w:t>万元</w:t>
      </w:r>
      <w:r>
        <w:rPr>
          <w:rFonts w:hint="eastAsia" w:ascii="宋体" w:hAnsi="宋体"/>
          <w:sz w:val="32"/>
          <w:lang w:val="en-US" w:eastAsia="zh-CN"/>
        </w:rPr>
        <w:t>持平</w:t>
      </w:r>
      <w:r>
        <w:rPr>
          <w:rFonts w:hint="default" w:ascii="宋体" w:hAnsi="宋体"/>
          <w:sz w:val="32"/>
          <w:lang w:val="en-US" w:eastAsia="zh-CN"/>
        </w:rPr>
        <w:t>。主要原因是厉行节约，规范公务出行，尽量乘坐公共交通工具。</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default" w:ascii="宋体" w:hAnsi="宋体"/>
          <w:sz w:val="32"/>
          <w:lang w:val="en-US" w:eastAsia="zh-CN"/>
        </w:rPr>
        <w:t>单位实有公务用</w:t>
      </w:r>
      <w:r>
        <w:rPr>
          <w:rFonts w:hint="default" w:ascii="宋体" w:hAnsi="宋体"/>
          <w:color w:val="auto"/>
          <w:sz w:val="32"/>
          <w:lang w:val="en-US" w:eastAsia="zh-CN"/>
        </w:rPr>
        <w:t>车</w:t>
      </w:r>
      <w:r>
        <w:rPr>
          <w:rFonts w:hint="eastAsia" w:ascii="宋体" w:hAnsi="宋体"/>
          <w:color w:val="auto"/>
          <w:sz w:val="32"/>
          <w:lang w:val="en-US" w:eastAsia="zh-CN"/>
        </w:rPr>
        <w:t>4辆</w:t>
      </w:r>
      <w:r>
        <w:rPr>
          <w:rFonts w:hint="default" w:ascii="宋体" w:hAnsi="宋体"/>
          <w:sz w:val="32"/>
          <w:lang w:val="en-US" w:eastAsia="zh-CN"/>
        </w:rPr>
        <w:t>，其中：</w:t>
      </w:r>
      <w:r>
        <w:rPr>
          <w:rFonts w:hint="eastAsia" w:ascii="宋体" w:hAnsi="宋体"/>
          <w:sz w:val="32"/>
          <w:lang w:val="en-US" w:eastAsia="zh-CN"/>
        </w:rPr>
        <w:t>执法执勤车3</w:t>
      </w:r>
      <w:r>
        <w:rPr>
          <w:rFonts w:hint="default" w:ascii="宋体" w:hAnsi="宋体"/>
          <w:sz w:val="32"/>
          <w:lang w:val="en-US" w:eastAsia="zh-CN"/>
        </w:rPr>
        <w:t>辆，</w:t>
      </w:r>
      <w:r>
        <w:rPr>
          <w:rFonts w:hint="eastAsia" w:ascii="宋体" w:hAnsi="宋体"/>
          <w:sz w:val="32"/>
          <w:lang w:val="en-US" w:eastAsia="zh-CN"/>
        </w:rPr>
        <w:t>应急保障</w:t>
      </w:r>
      <w:r>
        <w:rPr>
          <w:rFonts w:hint="default" w:ascii="宋体" w:hAnsi="宋体"/>
          <w:sz w:val="32"/>
          <w:lang w:val="en-US" w:eastAsia="zh-CN"/>
        </w:rPr>
        <w:t>车</w:t>
      </w:r>
      <w:r>
        <w:rPr>
          <w:rFonts w:hint="eastAsia" w:ascii="宋体" w:hAnsi="宋体"/>
          <w:sz w:val="32"/>
          <w:lang w:val="en-US" w:eastAsia="zh-CN"/>
        </w:rPr>
        <w:t>1</w:t>
      </w:r>
      <w:r>
        <w:rPr>
          <w:rFonts w:hint="default" w:ascii="宋体" w:hAnsi="宋体"/>
          <w:sz w:val="32"/>
          <w:lang w:val="en-US" w:eastAsia="zh-CN"/>
        </w:rPr>
        <w:t>辆。</w:t>
      </w:r>
      <w:r>
        <w:rPr>
          <w:rFonts w:hint="eastAsia" w:ascii="宋体" w:hAnsi="宋体"/>
          <w:sz w:val="32"/>
          <w:lang w:val="en-US" w:eastAsia="zh-CN"/>
        </w:rPr>
        <w:t>2025年新购置2辆，报废4辆。</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color w:val="auto"/>
          <w:sz w:val="32"/>
          <w:lang w:val="en-US" w:eastAsia="zh-CN"/>
        </w:rPr>
      </w:pPr>
      <w:r>
        <w:rPr>
          <w:rFonts w:hint="eastAsia" w:ascii="宋体" w:hAnsi="宋体"/>
          <w:color w:val="auto"/>
          <w:sz w:val="32"/>
          <w:lang w:val="en-US" w:eastAsia="zh-CN"/>
        </w:rPr>
        <w:t>2026</w:t>
      </w:r>
      <w:r>
        <w:rPr>
          <w:rFonts w:hint="default" w:ascii="宋体" w:hAnsi="宋体"/>
          <w:color w:val="auto"/>
          <w:sz w:val="32"/>
          <w:lang w:val="en-US" w:eastAsia="zh-CN"/>
        </w:rPr>
        <w:t>年安排公务用车购置费</w:t>
      </w:r>
      <w:r>
        <w:rPr>
          <w:rFonts w:hint="eastAsia" w:ascii="宋体" w:hAnsi="宋体"/>
          <w:color w:val="auto"/>
          <w:sz w:val="32"/>
          <w:lang w:val="en-US" w:eastAsia="zh-CN"/>
        </w:rPr>
        <w:t>0</w:t>
      </w:r>
      <w:r>
        <w:rPr>
          <w:rFonts w:hint="default" w:ascii="宋体" w:hAnsi="宋体"/>
          <w:color w:val="auto"/>
          <w:sz w:val="32"/>
          <w:lang w:val="en-US" w:eastAsia="zh-CN"/>
        </w:rPr>
        <w:t>万元，拟购置公务用车</w:t>
      </w:r>
      <w:r>
        <w:rPr>
          <w:rFonts w:hint="eastAsia" w:ascii="宋体" w:hAnsi="宋体"/>
          <w:color w:val="auto"/>
          <w:sz w:val="32"/>
          <w:lang w:val="en-US" w:eastAsia="zh-CN"/>
        </w:rPr>
        <w:t>0</w:t>
      </w:r>
      <w:r>
        <w:rPr>
          <w:rFonts w:hint="default" w:ascii="宋体" w:hAnsi="宋体"/>
          <w:color w:val="auto"/>
          <w:sz w:val="32"/>
          <w:lang w:val="en-US" w:eastAsia="zh-CN"/>
        </w:rPr>
        <w:t>辆，其中：轿车</w:t>
      </w:r>
      <w:r>
        <w:rPr>
          <w:rFonts w:hint="eastAsia" w:ascii="宋体" w:hAnsi="宋体"/>
          <w:color w:val="auto"/>
          <w:sz w:val="32"/>
          <w:lang w:val="en-US" w:eastAsia="zh-CN"/>
        </w:rPr>
        <w:t>0</w:t>
      </w:r>
      <w:r>
        <w:rPr>
          <w:rFonts w:hint="default" w:ascii="宋体" w:hAnsi="宋体"/>
          <w:color w:val="auto"/>
          <w:sz w:val="32"/>
          <w:lang w:val="en-US" w:eastAsia="zh-CN"/>
        </w:rPr>
        <w:t>辆，旅行车（含商务车）</w:t>
      </w:r>
      <w:r>
        <w:rPr>
          <w:rFonts w:hint="eastAsia" w:ascii="宋体" w:hAnsi="宋体"/>
          <w:color w:val="auto"/>
          <w:sz w:val="32"/>
          <w:lang w:val="en-US" w:eastAsia="zh-CN"/>
        </w:rPr>
        <w:t>0</w:t>
      </w:r>
      <w:r>
        <w:rPr>
          <w:rFonts w:hint="default" w:ascii="宋体" w:hAnsi="宋体"/>
          <w:color w:val="auto"/>
          <w:sz w:val="32"/>
          <w:lang w:val="en-US" w:eastAsia="zh-CN"/>
        </w:rPr>
        <w:t>辆，越野车</w:t>
      </w:r>
      <w:r>
        <w:rPr>
          <w:rFonts w:hint="eastAsia" w:ascii="宋体" w:hAnsi="宋体"/>
          <w:color w:val="auto"/>
          <w:sz w:val="32"/>
          <w:lang w:val="en-US" w:eastAsia="zh-CN"/>
        </w:rPr>
        <w:t>0</w:t>
      </w:r>
      <w:r>
        <w:rPr>
          <w:rFonts w:hint="default" w:ascii="宋体" w:hAnsi="宋体"/>
          <w:color w:val="auto"/>
          <w:sz w:val="32"/>
          <w:lang w:val="en-US" w:eastAsia="zh-CN"/>
        </w:rPr>
        <w:t>辆，大型客、货车</w:t>
      </w:r>
      <w:r>
        <w:rPr>
          <w:rFonts w:hint="eastAsia" w:ascii="宋体" w:hAnsi="宋体"/>
          <w:color w:val="auto"/>
          <w:sz w:val="32"/>
          <w:lang w:val="en-US" w:eastAsia="zh-CN"/>
        </w:rPr>
        <w:t>0</w:t>
      </w:r>
      <w:r>
        <w:rPr>
          <w:rFonts w:hint="default" w:ascii="宋体" w:hAnsi="宋体"/>
          <w:color w:val="auto"/>
          <w:sz w:val="32"/>
          <w:lang w:val="en-US" w:eastAsia="zh-CN"/>
        </w:rPr>
        <w:t>辆。</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w:t>
      </w:r>
      <w:r>
        <w:rPr>
          <w:rFonts w:hint="default" w:ascii="宋体" w:hAnsi="宋体"/>
          <w:sz w:val="32"/>
          <w:lang w:val="en-US" w:eastAsia="zh-CN"/>
        </w:rPr>
        <w:t>年安排公务用车运行维护费</w:t>
      </w:r>
      <w:r>
        <w:rPr>
          <w:rFonts w:hint="eastAsia" w:ascii="宋体" w:hAnsi="宋体"/>
          <w:sz w:val="32"/>
          <w:lang w:val="en-US" w:eastAsia="zh-CN"/>
        </w:rPr>
        <w:t>10.00</w:t>
      </w:r>
      <w:r>
        <w:rPr>
          <w:rFonts w:hint="default" w:ascii="宋体" w:hAnsi="宋体"/>
          <w:sz w:val="32"/>
          <w:lang w:val="en-US" w:eastAsia="zh-CN"/>
        </w:rPr>
        <w:t>万元，</w:t>
      </w:r>
      <w:r>
        <w:rPr>
          <w:rFonts w:hint="eastAsia" w:ascii="宋体" w:hAnsi="宋体"/>
          <w:sz w:val="32"/>
          <w:lang w:val="en-US" w:eastAsia="zh-CN"/>
        </w:rPr>
        <w:t>用</w:t>
      </w:r>
      <w:r>
        <w:rPr>
          <w:rFonts w:hint="eastAsia" w:ascii="宋体" w:hAnsi="宋体"/>
          <w:color w:val="auto"/>
          <w:sz w:val="32"/>
          <w:lang w:val="en-US" w:eastAsia="zh-CN"/>
        </w:rPr>
        <w:t>于4</w:t>
      </w:r>
      <w:r>
        <w:rPr>
          <w:rFonts w:hint="default" w:ascii="宋体" w:hAnsi="宋体"/>
          <w:color w:val="auto"/>
          <w:sz w:val="32"/>
          <w:lang w:val="en-US" w:eastAsia="zh-CN"/>
        </w:rPr>
        <w:t>辆</w:t>
      </w:r>
      <w:r>
        <w:rPr>
          <w:rFonts w:hint="default" w:ascii="宋体" w:hAnsi="宋体"/>
          <w:sz w:val="32"/>
          <w:lang w:val="en-US" w:eastAsia="zh-CN"/>
        </w:rPr>
        <w:t>公务用车</w:t>
      </w:r>
      <w:r>
        <w:rPr>
          <w:rFonts w:hint="eastAsia" w:ascii="宋体" w:hAnsi="宋体"/>
          <w:sz w:val="32"/>
          <w:lang w:val="en-US" w:eastAsia="zh-CN"/>
        </w:rPr>
        <w:t>开展全区党风廉政建设、反腐败工作、监督检查工作、案件办理工作等;开展以上</w:t>
      </w:r>
      <w:r>
        <w:rPr>
          <w:rFonts w:hint="default" w:ascii="宋体" w:hAnsi="宋体"/>
          <w:sz w:val="32"/>
          <w:lang w:val="en-US" w:eastAsia="zh-CN"/>
        </w:rPr>
        <w:t>工作所需的公务用车汽油费、维修费、过路过桥费、保险费、停车费等支出。</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6" w:name="_Toc27419"/>
      <w:r>
        <w:rPr>
          <w:rFonts w:hint="eastAsia" w:ascii="宋体" w:hAnsi="宋体" w:eastAsia="黑体"/>
          <w:color w:val="333333"/>
        </w:rPr>
        <w:t>六、政府性基金预算支出情况说明</w:t>
      </w:r>
      <w:bookmarkEnd w:id="46"/>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五通桥区纪委监委2026</w:t>
      </w:r>
      <w:r>
        <w:rPr>
          <w:rFonts w:hint="default" w:ascii="宋体" w:hAnsi="宋体"/>
          <w:sz w:val="32"/>
          <w:lang w:val="en-US" w:eastAsia="zh-CN"/>
        </w:rPr>
        <w:t>年政府性基金预算拨款安排支出</w:t>
      </w:r>
      <w:r>
        <w:rPr>
          <w:rFonts w:hint="eastAsia" w:ascii="宋体" w:hAnsi="宋体"/>
          <w:sz w:val="32"/>
          <w:lang w:val="en-US" w:eastAsia="zh-CN"/>
        </w:rPr>
        <w:t>0万元，较上年预算数持平。</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rPr>
      </w:pPr>
      <w:bookmarkStart w:id="47" w:name="_Toc17512"/>
      <w:r>
        <w:rPr>
          <w:rFonts w:hint="eastAsia" w:ascii="宋体" w:hAnsi="宋体" w:eastAsia="黑体"/>
          <w:color w:val="333333"/>
          <w:lang w:val="en-US" w:eastAsia="zh-CN"/>
        </w:rPr>
        <w:t>七、</w:t>
      </w:r>
      <w:r>
        <w:rPr>
          <w:rFonts w:hint="eastAsia" w:ascii="宋体" w:hAnsi="宋体" w:eastAsia="黑体"/>
          <w:color w:val="333333"/>
        </w:rPr>
        <w:t>国有资本经营预算情况说明</w:t>
      </w:r>
      <w:bookmarkEnd w:id="47"/>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五通桥区纪委监委2026年国有资本经营预算拨款安排支出0万元,较上年预算数持平。</w:t>
      </w:r>
    </w:p>
    <w:p>
      <w:pPr>
        <w:pStyle w:val="4"/>
        <w:keepNext w:val="0"/>
        <w:keepLines w:val="0"/>
        <w:pageBreakBefore w:val="0"/>
        <w:widowControl w:val="0"/>
        <w:kinsoku/>
        <w:wordWrap/>
        <w:overflowPunct/>
        <w:topLinePunct w:val="0"/>
        <w:autoSpaceDE w:val="0"/>
        <w:autoSpaceDN w:val="0"/>
        <w:bidi w:val="0"/>
        <w:adjustRightInd/>
        <w:snapToGrid/>
        <w:spacing w:before="300" w:after="0" w:afterLines="50"/>
        <w:ind w:firstLine="640" w:firstLineChars="200"/>
        <w:textAlignment w:val="auto"/>
        <w:outlineLvl w:val="1"/>
        <w:rPr>
          <w:rFonts w:hint="eastAsia" w:ascii="宋体" w:hAnsi="宋体" w:eastAsia="黑体"/>
          <w:color w:val="333333"/>
          <w:lang w:val="en-US" w:eastAsia="zh-CN"/>
        </w:rPr>
      </w:pPr>
      <w:bookmarkStart w:id="48" w:name="_Toc904"/>
      <w:r>
        <w:rPr>
          <w:rFonts w:hint="eastAsia" w:ascii="宋体" w:hAnsi="宋体" w:eastAsia="黑体"/>
          <w:color w:val="333333"/>
          <w:lang w:val="en-US" w:eastAsia="zh-CN"/>
        </w:rPr>
        <w:t>八、其他重要事项的情况说明</w:t>
      </w:r>
      <w:bookmarkEnd w:id="48"/>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hint="default" w:ascii="宋体" w:hAnsi="宋体"/>
          <w:lang w:val="en-US" w:eastAsia="zh-CN"/>
        </w:rPr>
      </w:pPr>
      <w:bookmarkStart w:id="49" w:name="_Toc17345"/>
      <w:r>
        <w:rPr>
          <w:rFonts w:ascii="宋体" w:hAnsi="宋体"/>
        </w:rPr>
        <w:t>（一）机关运行经费情况</w:t>
      </w:r>
      <w:bookmarkEnd w:id="49"/>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auto"/>
          <w:sz w:val="32"/>
          <w:lang w:val="en-US" w:eastAsia="zh-CN"/>
        </w:rPr>
      </w:pPr>
      <w:r>
        <w:rPr>
          <w:rFonts w:hint="eastAsia" w:ascii="宋体" w:hAnsi="宋体"/>
          <w:sz w:val="32"/>
          <w:lang w:val="en-US" w:eastAsia="zh-CN"/>
        </w:rPr>
        <w:t>2026</w:t>
      </w:r>
      <w:r>
        <w:rPr>
          <w:rFonts w:hint="eastAsia" w:ascii="宋体" w:hAnsi="宋体"/>
          <w:color w:val="auto"/>
          <w:sz w:val="32"/>
          <w:lang w:val="en-US" w:eastAsia="zh-CN"/>
        </w:rPr>
        <w:t>年，五通桥区区纪委监委委机关的机关运行经费财政拨款预算为263.68万元，比2025年预算269.01万元减少5.33万元，减少1.98%。主要原因是厉行节约，基本与上年持平。</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0" w:name="_Toc11837"/>
      <w:r>
        <w:rPr>
          <w:rFonts w:ascii="宋体" w:hAnsi="宋体"/>
        </w:rPr>
        <w:t>（二）政府采购情况</w:t>
      </w:r>
      <w:bookmarkEnd w:id="50"/>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2026年，五通桥区区纪委监委政府采购项目0万元。其中，政府采购货物预算0万元；政府采购工程预算0万元；政府采购服务预算0万元。</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1" w:name="_Toc16771"/>
      <w:r>
        <w:rPr>
          <w:rFonts w:ascii="宋体" w:hAnsi="宋体"/>
        </w:rPr>
        <w:t>（三）国有资产占有使用情况</w:t>
      </w:r>
      <w:bookmarkEnd w:id="51"/>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截至2026年底，五通桥区纪委监委共</w:t>
      </w:r>
      <w:r>
        <w:rPr>
          <w:rFonts w:hint="eastAsia" w:ascii="宋体" w:hAnsi="宋体"/>
          <w:color w:val="auto"/>
          <w:sz w:val="32"/>
          <w:lang w:val="en-US" w:eastAsia="zh-CN"/>
        </w:rPr>
        <w:t>有车辆4</w:t>
      </w:r>
      <w:r>
        <w:rPr>
          <w:rFonts w:hint="eastAsia" w:ascii="宋体" w:hAnsi="宋体"/>
          <w:sz w:val="32"/>
          <w:lang w:val="en-US" w:eastAsia="zh-CN"/>
        </w:rPr>
        <w:t>辆。单位价值100万元以上大型设备0套。</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2026年区纪委监委未安排购置车辆及单位价值100万元以上大型设备。</w:t>
      </w:r>
    </w:p>
    <w:p>
      <w:pPr>
        <w:pStyle w:val="3"/>
        <w:keepNext w:val="0"/>
        <w:keepLines w:val="0"/>
        <w:pageBreakBefore w:val="0"/>
        <w:widowControl w:val="0"/>
        <w:kinsoku/>
        <w:wordWrap/>
        <w:overflowPunct/>
        <w:topLinePunct w:val="0"/>
        <w:autoSpaceDE w:val="0"/>
        <w:autoSpaceDN w:val="0"/>
        <w:bidi w:val="0"/>
        <w:adjustRightInd/>
        <w:snapToGrid/>
        <w:spacing w:before="100" w:after="0" w:afterLines="50"/>
        <w:ind w:left="0" w:leftChars="0" w:firstLine="964" w:firstLineChars="300"/>
        <w:textAlignment w:val="auto"/>
        <w:rPr>
          <w:rFonts w:ascii="宋体" w:hAnsi="宋体"/>
        </w:rPr>
      </w:pPr>
      <w:bookmarkStart w:id="52" w:name="_Toc21233"/>
      <w:r>
        <w:rPr>
          <w:rFonts w:hint="eastAsia" w:ascii="宋体" w:hAnsi="宋体"/>
          <w:lang w:eastAsia="zh-CN"/>
        </w:rPr>
        <w:t>（</w:t>
      </w:r>
      <w:r>
        <w:rPr>
          <w:rFonts w:hint="eastAsia" w:ascii="宋体" w:hAnsi="宋体"/>
          <w:lang w:val="en-US" w:eastAsia="zh-CN"/>
        </w:rPr>
        <w:t>四</w:t>
      </w:r>
      <w:r>
        <w:rPr>
          <w:rFonts w:hint="eastAsia" w:ascii="宋体" w:hAnsi="宋体"/>
          <w:lang w:eastAsia="zh-CN"/>
        </w:rPr>
        <w:t>）</w:t>
      </w:r>
      <w:r>
        <w:rPr>
          <w:rFonts w:ascii="宋体" w:hAnsi="宋体"/>
        </w:rPr>
        <w:t>预算绩效情况</w:t>
      </w:r>
      <w:bookmarkEnd w:id="52"/>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ascii="宋体" w:hAnsi="宋体"/>
          <w:spacing w:val="6"/>
        </w:rPr>
      </w:pPr>
      <w:r>
        <w:rPr>
          <w:rFonts w:hint="eastAsia" w:ascii="宋体" w:hAnsi="宋体"/>
          <w:sz w:val="32"/>
          <w:lang w:val="en-US" w:eastAsia="zh-CN"/>
        </w:rPr>
        <w:t>2026年五通桥区纪委监委开展绩效</w:t>
      </w:r>
      <w:bookmarkStart w:id="54" w:name="_GoBack"/>
      <w:bookmarkEnd w:id="54"/>
      <w:r>
        <w:rPr>
          <w:rFonts w:hint="eastAsia" w:ascii="宋体" w:hAnsi="宋体"/>
          <w:sz w:val="32"/>
          <w:lang w:val="en-US" w:eastAsia="zh-CN"/>
        </w:rPr>
        <w:t>目标管理的项目5个，涉及预算379.00万元。其中：特定目标类项目5个，涉及预算379.00万元。</w:t>
      </w:r>
    </w:p>
    <w:p>
      <w:pPr>
        <w:pStyle w:val="4"/>
        <w:spacing w:before="0"/>
        <w:ind w:right="0"/>
        <w:jc w:val="both"/>
        <w:rPr>
          <w:rFonts w:ascii="宋体" w:hAnsi="宋体"/>
          <w:spacing w:val="6"/>
        </w:rPr>
        <w:sectPr>
          <w:headerReference r:id="rId7" w:type="default"/>
          <w:footerReference r:id="rId8" w:type="default"/>
          <w:pgSz w:w="11910" w:h="16840"/>
          <w:pgMar w:top="1587" w:right="964" w:bottom="1701" w:left="1134" w:header="737" w:footer="737" w:gutter="0"/>
          <w:pgNumType w:fmt="decimal"/>
          <w:cols w:space="0" w:num="1"/>
          <w:rtlGutter w:val="0"/>
          <w:docGrid w:linePitch="0" w:charSpace="0"/>
        </w:sectPr>
      </w:pPr>
    </w:p>
    <w:p>
      <w:pPr>
        <w:rPr>
          <w:rFonts w:ascii="宋体" w:hAnsi="宋体"/>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rPr>
          <w:rFonts w:ascii="宋体" w:hAnsi="宋体"/>
          <w:sz w:val="20"/>
        </w:rPr>
      </w:pPr>
    </w:p>
    <w:p>
      <w:pPr>
        <w:pStyle w:val="4"/>
        <w:jc w:val="center"/>
        <w:outlineLvl w:val="0"/>
        <w:rPr>
          <w:rFonts w:hint="eastAsia" w:ascii="宋体" w:hAnsi="宋体" w:eastAsia="方正小标宋简体" w:cs="方正小标宋简体"/>
          <w:sz w:val="52"/>
          <w:szCs w:val="52"/>
          <w:lang w:val="en-US" w:eastAsia="zh-CN"/>
        </w:rPr>
      </w:pPr>
      <w:bookmarkStart w:id="53" w:name="_Toc12947"/>
      <w:r>
        <w:rPr>
          <w:rFonts w:hint="eastAsia" w:ascii="宋体" w:hAnsi="宋体" w:eastAsia="方正小标宋简体" w:cs="方正小标宋简体"/>
          <w:sz w:val="52"/>
          <w:szCs w:val="52"/>
          <w:lang w:val="en-US" w:eastAsia="zh-CN"/>
        </w:rPr>
        <w:t>第四部分  名词解释</w:t>
      </w:r>
      <w:bookmarkEnd w:id="53"/>
    </w:p>
    <w:p>
      <w:pPr>
        <w:spacing w:after="0"/>
        <w:rPr>
          <w:rFonts w:ascii="宋体" w:hAnsi="宋体"/>
          <w:sz w:val="20"/>
        </w:rPr>
        <w:sectPr>
          <w:headerReference r:id="rId9" w:type="default"/>
          <w:footerReference r:id="rId10" w:type="default"/>
          <w:pgSz w:w="11910" w:h="16840"/>
          <w:pgMar w:top="1587" w:right="964" w:bottom="1701" w:left="1134" w:header="737" w:footer="737" w:gutter="0"/>
          <w:pgNumType w:fmt="decimal"/>
          <w:cols w:space="0" w:num="1"/>
          <w:rtlGutter w:val="0"/>
          <w:docGrid w:linePitch="0" w:charSpace="0"/>
        </w:sectPr>
      </w:pP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1.财政拨款收支情况：是指一般公共预算、政府性基金预算、国有资本经营预算拨款收支情况。</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2.一般公共预算拨款收入：指区级财政当年拨付的资金。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3.事业收入：指事业单位开展专业业务活动及辅助活动所取得的收入。</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4.事业单位经营收入：指事业单位在专业业务活动及其辅助活动之外开展非独立核算经营活动取得的收入。</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auto"/>
          <w:sz w:val="32"/>
          <w:lang w:val="en-US" w:eastAsia="zh-CN"/>
        </w:rPr>
      </w:pPr>
      <w:r>
        <w:rPr>
          <w:rFonts w:hint="eastAsia" w:ascii="宋体" w:hAnsi="宋体"/>
          <w:color w:val="auto"/>
          <w:sz w:val="32"/>
          <w:lang w:val="en-US" w:eastAsia="zh-CN"/>
        </w:rPr>
        <w:t>5.其他收入：指除上述“一般公共预算拨款收入”、“事业收入”、“事业单位经营收入”等以外的收入。主要是利息收入、国有资产出租收入等。</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color w:val="auto"/>
          <w:sz w:val="32"/>
          <w:highlight w:val="none"/>
          <w:lang w:val="en-US" w:eastAsia="zh-CN"/>
        </w:rPr>
      </w:pPr>
      <w:r>
        <w:rPr>
          <w:rFonts w:hint="eastAsia" w:ascii="宋体" w:hAnsi="宋体"/>
          <w:color w:val="auto"/>
          <w:sz w:val="32"/>
          <w:highlight w:val="none"/>
          <w:lang w:val="en-US" w:eastAsia="zh-CN"/>
        </w:rPr>
        <w:t>6.用事业基金弥补收支差额：指事业单位在当年的收入不足以安排当年支出的情况下，使用以前年度积累的事业基金（事业单位当年收支相抵后按国家规定提取、用于弥补以后年度收支差额的基金）弥补本年度收支缺口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7.上年结转：指以前年度尚未完成，结转到本年仍按原规定用途继续使用的资金。</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8.社会保障和就业（类）行政事业单位离退休（款）事业单位离退休（项）：指离退休人员的支出。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9.社会保障和就业（类）行政事业单位离退休（款）未归口管理的行政单位离退休（项）：指离退休人员的支出。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10.社会保障和就业（类）行政事业单位离退休（款）机关事业单位基本养老保险缴费支出（项）：指部门实施养老保险制度由单位缴纳的养老保险费的支出。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11.社会保障和就业（类）行政事业单位离退休（款）机关事业单位职业年金缴费支出（项）：指部门实施养老保险制度由单位缴纳的职业年金的支出。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12.社会保障和就业（类）其他社会保障和就业（款）其他社会保障和就业支出（项）：指除上述项目外，其他用于行政事业单位离退休方面的支出。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13.卫生健康（类）行政事业单位医疗（款）行政单位医疗（项）：指行政单位及参公管理事业单位用于缴纳单位基本医疗保险支出。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14.卫生健康（类）行政事业单位医疗（款）事业单位医疗（项）：指事业单位用于缴纳单位基本医疗保险支出。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15.卫生健康（类）行政事业单位医疗（款）公务员医疗补助（项）：指行政单位及参公管理事业单位用于集中缴纳公务员医疗补助支出。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16.住房保障（类）住房改革支出（款）住房公积金（项）：指由单位及其在职职工按规定缴存的住房公积金支出。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17.基本支出：指为保证机构正常运转，完成日常工作任务而发生的人员支出和公用支出。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eastAsia" w:ascii="宋体" w:hAnsi="宋体"/>
          <w:sz w:val="32"/>
          <w:lang w:val="en-US" w:eastAsia="zh-CN"/>
        </w:rPr>
      </w:pPr>
      <w:r>
        <w:rPr>
          <w:rFonts w:hint="eastAsia" w:ascii="宋体" w:hAnsi="宋体"/>
          <w:sz w:val="32"/>
          <w:lang w:val="en-US" w:eastAsia="zh-CN"/>
        </w:rPr>
        <w:t>18.项目支出：指在基本支出之外为完成特定行政任务和事业发展目标所发生的支出。</w:t>
      </w:r>
    </w:p>
    <w:p>
      <w:pPr>
        <w:pStyle w:val="13"/>
        <w:keepNext w:val="0"/>
        <w:keepLines w:val="0"/>
        <w:pageBreakBefore w:val="0"/>
        <w:widowControl w:val="0"/>
        <w:numPr>
          <w:ilvl w:val="0"/>
          <w:numId w:val="0"/>
        </w:numPr>
        <w:tabs>
          <w:tab w:val="left" w:pos="1784"/>
        </w:tabs>
        <w:kinsoku/>
        <w:wordWrap/>
        <w:overflowPunct/>
        <w:topLinePunct w:val="0"/>
        <w:autoSpaceDE w:val="0"/>
        <w:autoSpaceDN w:val="0"/>
        <w:bidi w:val="0"/>
        <w:adjustRightInd/>
        <w:snapToGrid/>
        <w:spacing w:before="0" w:beforeLines="100" w:after="0" w:afterLines="50" w:line="560" w:lineRule="exact"/>
        <w:ind w:left="660" w:leftChars="300" w:right="660" w:rightChars="300" w:firstLine="640" w:firstLineChars="200"/>
        <w:jc w:val="both"/>
        <w:textAlignment w:val="auto"/>
        <w:rPr>
          <w:rFonts w:hint="default" w:ascii="宋体" w:hAnsi="宋体"/>
          <w:sz w:val="32"/>
          <w:lang w:val="en-US" w:eastAsia="zh-CN"/>
        </w:rPr>
      </w:pPr>
      <w:r>
        <w:rPr>
          <w:rFonts w:hint="eastAsia" w:ascii="宋体" w:hAnsi="宋体"/>
          <w:sz w:val="32"/>
          <w:lang w:val="en-US" w:eastAsia="zh-CN"/>
        </w:rPr>
        <w:t>19.纳入预决算管理的“三公”经费，是指部门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sectPr>
      <w:headerReference r:id="rId11" w:type="default"/>
      <w:footerReference r:id="rId12" w:type="default"/>
      <w:pgSz w:w="11910" w:h="16840"/>
      <w:pgMar w:top="1587" w:right="964" w:bottom="1701" w:left="1134" w:header="737" w:footer="737" w:gutter="0"/>
      <w:pgNumType w:fmt="decimal"/>
      <w:cols w:space="0" w:num="1"/>
      <w:rtlGutter w:val="0"/>
      <w:docGrid w:linePitch="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16814C6-DD50-4509-A000-8CF14AF2BBC3}"/>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86"/>
    <w:family w:val="swiss"/>
    <w:pitch w:val="default"/>
    <w:sig w:usb0="E10002FF" w:usb1="4000ACFF" w:usb2="00000009" w:usb3="00000000" w:csb0="2000019F" w:csb1="00000000"/>
  </w:font>
  <w:font w:name="Calibri">
    <w:panose1 w:val="020F0502020204030204"/>
    <w:charset w:val="00"/>
    <w:family w:val="auto"/>
    <w:pitch w:val="default"/>
    <w:sig w:usb0="E10002FF" w:usb1="4000ACFF" w:usb2="00000009" w:usb3="00000000" w:csb0="2000019F" w:csb1="00000000"/>
    <w:embedRegular r:id="rId2" w:fontKey="{2C96DEFF-B48C-4803-8B42-61C579549912}"/>
  </w:font>
  <w:font w:name="楷体">
    <w:panose1 w:val="02010609060101010101"/>
    <w:charset w:val="86"/>
    <w:family w:val="modern"/>
    <w:pitch w:val="default"/>
    <w:sig w:usb0="800002BF" w:usb1="38CF7CFA" w:usb2="00000016" w:usb3="00000000" w:csb0="00040001" w:csb1="00000000"/>
    <w:embedRegular r:id="rId3" w:fontKey="{3BF1673C-3277-4D96-928A-17D716D3CFD2}"/>
  </w:font>
  <w:font w:name="仿宋_GB2312">
    <w:panose1 w:val="02010609030101010101"/>
    <w:charset w:val="86"/>
    <w:family w:val="modern"/>
    <w:pitch w:val="default"/>
    <w:sig w:usb0="00000001" w:usb1="080E0000" w:usb2="00000000" w:usb3="00000000" w:csb0="00040000" w:csb1="00000000"/>
    <w:embedRegular r:id="rId4" w:fontKey="{F6E30969-23D7-4013-9526-EDA06B5C41B7}"/>
  </w:font>
  <w:font w:name="方正小标宋简体">
    <w:panose1 w:val="03000509000000000000"/>
    <w:charset w:val="86"/>
    <w:family w:val="script"/>
    <w:pitch w:val="default"/>
    <w:sig w:usb0="00000001" w:usb1="080E0000" w:usb2="00000000" w:usb3="00000000" w:csb0="00040000" w:csb1="00000000"/>
    <w:embedRegular r:id="rId5" w:fontKey="{BF632E82-6E8C-4FD1-B48B-1A3641F86C4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r>
      <w:rPr>
        <w:sz w:val="2"/>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TvZETAgAAFQ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BIk72REwIAABUEAAAOAAAAAAAAAAEA&#10;IAAAAB8BAABkcnMvZTJvRG9jLnhtbFBLBQYAAAAABgAGAFkBAACkBQ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- 1 -</w:t>
                    </w:r>
                    <w:r>
                      <w:fldChar w:fldCharType="end"/>
                    </w:r>
                    <w:r>
                      <w:t xml:space="preserve"> —</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- 7 -</w:t>
                    </w:r>
                    <w:r>
                      <w:fldChar w:fldCharType="end"/>
                    </w:r>
                    <w:r>
                      <w:t xml:space="preserve"> —</w:t>
                    </w:r>
                  </w:p>
                </w:txbxContent>
              </v:textbox>
            </v:shape>
          </w:pict>
        </mc:Fallback>
      </mc:AlternateContent>
    </w:r>
    <w:r>
      <w:drawing>
        <wp:anchor distT="0" distB="0" distL="0" distR="0" simplePos="0" relativeHeight="251659264"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31"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r>
      <w:rPr>
        <w:sz w:val="2"/>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JvSDC8VAgAAEwQAAA4AAAAAAAAA&#10;AQAgAAAAHwEAAGRycy9lMm9Eb2MueG1sUEsFBgAAAAAGAAYAWQEAAKYFA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- 12 -</w:t>
                    </w:r>
                    <w:r>
                      <w:fldChar w:fldCharType="end"/>
                    </w:r>
                    <w:r>
                      <w:t xml:space="preserve"> —</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0"/>
      </w:rPr>
    </w:pPr>
    <w:r>
      <w:rPr>
        <w:sz w:val="32"/>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QmRUUAgAAEwQAAA4AAABkcnMvZTJvRG9jLnhtbK1TTY7TMBTeI3EH&#10;y3uatKi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9fT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XtCZFRQCAAATBAAADgAAAAAAAAAB&#10;ACAAAAAfAQAAZHJzL2Uyb0RvYy54bWxQSwUGAAAAAAYABgBZAQAApQUAAAAA&#10;">
              <v:fill on="f" focussize="0,0"/>
              <v:stroke on="f" weight="0.5pt"/>
              <v:imagedata o:title=""/>
              <o:lock v:ext="edit" aspectratio="f"/>
              <v:textbox inset="0mm,0mm,0mm,0mm" style="mso-fit-shape-to-text:t;">
                <w:txbxContent>
                  <w:p>
                    <w:pPr>
                      <w:pStyle w:val="6"/>
                    </w:pPr>
                    <w:r>
                      <w:t xml:space="preserve">— </w:t>
                    </w:r>
                    <w:r>
                      <w:fldChar w:fldCharType="begin"/>
                    </w:r>
                    <w:r>
                      <w:instrText xml:space="preserve"> PAGE  \* MERGEFORMAT </w:instrText>
                    </w:r>
                    <w:r>
                      <w:fldChar w:fldCharType="separate"/>
                    </w:r>
                    <w:r>
                      <w:t>- 13 -</w:t>
                    </w:r>
                    <w:r>
                      <w:fldChar w:fldCharType="end"/>
                    </w:r>
                    <w:r>
                      <w:t xml:space="preserve"> —</w:t>
                    </w:r>
                  </w:p>
                </w:txbxContent>
              </v:textbox>
            </v:shape>
          </w:pict>
        </mc:Fallback>
      </mc:AlternateContent>
    </w:r>
    <w:r>
      <w:drawing>
        <wp:anchor distT="0" distB="0" distL="0" distR="0" simplePos="0" relativeHeight="251660288" behindDoc="1" locked="0" layoutInCell="1" allowOverlap="1">
          <wp:simplePos x="0" y="0"/>
          <wp:positionH relativeFrom="page">
            <wp:posOffset>3512820</wp:posOffset>
          </wp:positionH>
          <wp:positionV relativeFrom="page">
            <wp:posOffset>10094595</wp:posOffset>
          </wp:positionV>
          <wp:extent cx="534670" cy="229870"/>
          <wp:effectExtent l="0" t="0" r="0" b="0"/>
          <wp:wrapNone/>
          <wp:docPr id="45"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image14.png"/>
                  <pic:cNvPicPr>
                    <a:picLocks noChangeAspect="1"/>
                  </pic:cNvPicPr>
                </pic:nvPicPr>
                <pic:blipFill>
                  <a:blip r:embed="rId1" cstate="print"/>
                  <a:stretch>
                    <a:fillRect/>
                  </a:stretch>
                </pic:blipFill>
                <pic:spPr>
                  <a:xfrm>
                    <a:off x="0" y="0"/>
                    <a:ext cx="534924" cy="230124"/>
                  </a:xfrm>
                  <a:prstGeom prst="rect">
                    <a:avLst/>
                  </a:prstGeom>
                </pic:spPr>
              </pic:pic>
            </a:graphicData>
          </a:graphic>
        </wp:anchor>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clear" w:pos="4153"/>
      </w:tabs>
      <w:spacing w:after="0" w:afterLines="201" w:afterAutospacing="0"/>
      <w:ind w:firstLine="404"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240" w:lineRule="auto"/>
      <w:rPr>
        <w:sz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spacing w:line="14" w:lineRule="auto"/>
      <w:rPr>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4F85EAF"/>
    <w:multiLevelType w:val="multilevel"/>
    <w:tmpl w:val="34F85EAF"/>
    <w:lvl w:ilvl="0" w:tentative="0">
      <w:start w:val="1"/>
      <w:numFmt w:val="chineseCountingThousand"/>
      <w:pStyle w:val="18"/>
      <w:suff w:val="nothing"/>
      <w:lvlText w:val="%1、"/>
      <w:lvlJc w:val="left"/>
      <w:pPr>
        <w:ind w:left="1057" w:hanging="420"/>
      </w:pPr>
      <w:rPr>
        <w:rFonts w:hint="eastAsia"/>
      </w:rPr>
    </w:lvl>
    <w:lvl w:ilvl="1" w:tentative="0">
      <w:start w:val="1"/>
      <w:numFmt w:val="lowerLetter"/>
      <w:lvlText w:val="%2)"/>
      <w:lvlJc w:val="left"/>
      <w:pPr>
        <w:ind w:left="1477" w:hanging="420"/>
      </w:pPr>
    </w:lvl>
    <w:lvl w:ilvl="2" w:tentative="0">
      <w:start w:val="1"/>
      <w:numFmt w:val="lowerRoman"/>
      <w:lvlText w:val="%3."/>
      <w:lvlJc w:val="right"/>
      <w:pPr>
        <w:ind w:left="1897" w:hanging="420"/>
      </w:pPr>
    </w:lvl>
    <w:lvl w:ilvl="3" w:tentative="0">
      <w:start w:val="1"/>
      <w:numFmt w:val="decimal"/>
      <w:lvlText w:val="%4."/>
      <w:lvlJc w:val="left"/>
      <w:pPr>
        <w:ind w:left="2317" w:hanging="420"/>
      </w:pPr>
    </w:lvl>
    <w:lvl w:ilvl="4" w:tentative="0">
      <w:start w:val="1"/>
      <w:numFmt w:val="lowerLetter"/>
      <w:lvlText w:val="%5)"/>
      <w:lvlJc w:val="left"/>
      <w:pPr>
        <w:ind w:left="2737" w:hanging="420"/>
      </w:pPr>
    </w:lvl>
    <w:lvl w:ilvl="5" w:tentative="0">
      <w:start w:val="1"/>
      <w:numFmt w:val="lowerRoman"/>
      <w:lvlText w:val="%6."/>
      <w:lvlJc w:val="right"/>
      <w:pPr>
        <w:ind w:left="3157" w:hanging="420"/>
      </w:pPr>
    </w:lvl>
    <w:lvl w:ilvl="6" w:tentative="0">
      <w:start w:val="1"/>
      <w:numFmt w:val="decimal"/>
      <w:lvlText w:val="%7."/>
      <w:lvlJc w:val="left"/>
      <w:pPr>
        <w:ind w:left="3577" w:hanging="420"/>
      </w:pPr>
    </w:lvl>
    <w:lvl w:ilvl="7" w:tentative="0">
      <w:start w:val="1"/>
      <w:numFmt w:val="lowerLetter"/>
      <w:lvlText w:val="%8)"/>
      <w:lvlJc w:val="left"/>
      <w:pPr>
        <w:ind w:left="3997" w:hanging="420"/>
      </w:pPr>
    </w:lvl>
    <w:lvl w:ilvl="8" w:tentative="0">
      <w:start w:val="1"/>
      <w:numFmt w:val="lowerRoman"/>
      <w:lvlText w:val="%9."/>
      <w:lvlJc w:val="right"/>
      <w:pPr>
        <w:ind w:left="4417" w:hanging="420"/>
      </w:pPr>
    </w:lvl>
  </w:abstractNum>
  <w:abstractNum w:abstractNumId="1">
    <w:nsid w:val="3C57E4DA"/>
    <w:multiLevelType w:val="singleLevel"/>
    <w:tmpl w:val="3C57E4DA"/>
    <w:lvl w:ilvl="0" w:tentative="0">
      <w:start w:val="1"/>
      <w:numFmt w:val="chineseCounting"/>
      <w:suff w:val="space"/>
      <w:lvlText w:val="第%1部分"/>
      <w:lvlJc w:val="left"/>
      <w:rPr>
        <w:rFonts w:hint="eastAsia"/>
      </w:rPr>
    </w:lvl>
  </w:abstractNum>
  <w:abstractNum w:abstractNumId="2">
    <w:nsid w:val="501035D5"/>
    <w:multiLevelType w:val="singleLevel"/>
    <w:tmpl w:val="501035D5"/>
    <w:lvl w:ilvl="0" w:tentative="0">
      <w:start w:val="2"/>
      <w:numFmt w:val="chineseCounting"/>
      <w:suff w:val="space"/>
      <w:lvlText w:val="第%1部分"/>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TrueTypeFonts/>
  <w:saveSubsetFonts/>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hNTQyMDM4Y2Q1Y2Y4YzIyNmU3ZDg0NmQwNWI5NDAifQ=="/>
    <w:docVar w:name="KSO_WPS_MARK_KEY" w:val="48d2c7c5-5ca7-4a62-94c0-78ba1c7e0ebc"/>
  </w:docVars>
  <w:rsids>
    <w:rsidRoot w:val="00000000"/>
    <w:rsid w:val="02ED1707"/>
    <w:rsid w:val="02F925FF"/>
    <w:rsid w:val="03861090"/>
    <w:rsid w:val="08EA232C"/>
    <w:rsid w:val="08F93370"/>
    <w:rsid w:val="0B03571F"/>
    <w:rsid w:val="0D3705D2"/>
    <w:rsid w:val="0EB47492"/>
    <w:rsid w:val="13CB5FFB"/>
    <w:rsid w:val="1689171B"/>
    <w:rsid w:val="18D94D16"/>
    <w:rsid w:val="199E08BE"/>
    <w:rsid w:val="1C1C2D43"/>
    <w:rsid w:val="1C4565B4"/>
    <w:rsid w:val="1E9115A9"/>
    <w:rsid w:val="20D9567F"/>
    <w:rsid w:val="21211D8E"/>
    <w:rsid w:val="22751E1D"/>
    <w:rsid w:val="240622C9"/>
    <w:rsid w:val="241E24A1"/>
    <w:rsid w:val="247F2477"/>
    <w:rsid w:val="25AF7D2B"/>
    <w:rsid w:val="292E3D06"/>
    <w:rsid w:val="297D6497"/>
    <w:rsid w:val="297D6839"/>
    <w:rsid w:val="2B9E0148"/>
    <w:rsid w:val="2BD66371"/>
    <w:rsid w:val="2EEC2A49"/>
    <w:rsid w:val="3170631D"/>
    <w:rsid w:val="31937433"/>
    <w:rsid w:val="376E0133"/>
    <w:rsid w:val="38EF0EA2"/>
    <w:rsid w:val="3D505622"/>
    <w:rsid w:val="3FDB5C00"/>
    <w:rsid w:val="42DE49C0"/>
    <w:rsid w:val="436574DE"/>
    <w:rsid w:val="48360050"/>
    <w:rsid w:val="499F7E4A"/>
    <w:rsid w:val="4A2E4B83"/>
    <w:rsid w:val="4D3C563B"/>
    <w:rsid w:val="4E96424E"/>
    <w:rsid w:val="507D2AED"/>
    <w:rsid w:val="520C288C"/>
    <w:rsid w:val="54A62E11"/>
    <w:rsid w:val="54BB49E6"/>
    <w:rsid w:val="54C30EEA"/>
    <w:rsid w:val="5543046B"/>
    <w:rsid w:val="56F41B53"/>
    <w:rsid w:val="58EE6347"/>
    <w:rsid w:val="595E3E2E"/>
    <w:rsid w:val="596A0B84"/>
    <w:rsid w:val="5A0001D1"/>
    <w:rsid w:val="5ACE02C3"/>
    <w:rsid w:val="5AE90F4A"/>
    <w:rsid w:val="5B65451D"/>
    <w:rsid w:val="5C6A7DC8"/>
    <w:rsid w:val="5E9A26A1"/>
    <w:rsid w:val="60546D2F"/>
    <w:rsid w:val="62055A79"/>
    <w:rsid w:val="62BC5FC5"/>
    <w:rsid w:val="62F71D11"/>
    <w:rsid w:val="66713D46"/>
    <w:rsid w:val="669C3401"/>
    <w:rsid w:val="68EF4A6E"/>
    <w:rsid w:val="6B240FD3"/>
    <w:rsid w:val="7133148F"/>
    <w:rsid w:val="7209340F"/>
    <w:rsid w:val="73CA6848"/>
    <w:rsid w:val="76A30804"/>
    <w:rsid w:val="7C6130B2"/>
    <w:rsid w:val="7DAE73A2"/>
    <w:rsid w:val="7DC840D3"/>
    <w:rsid w:val="7F525F1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2">
    <w:name w:val="heading 1"/>
    <w:basedOn w:val="1"/>
    <w:next w:val="1"/>
    <w:qFormat/>
    <w:uiPriority w:val="1"/>
    <w:pPr>
      <w:spacing w:before="79"/>
      <w:ind w:left="2747"/>
      <w:outlineLvl w:val="1"/>
    </w:pPr>
    <w:rPr>
      <w:rFonts w:ascii="Times New Roman" w:hAnsi="Times New Roman" w:eastAsia="Times New Roman" w:cs="Times New Roman"/>
      <w:sz w:val="52"/>
      <w:szCs w:val="52"/>
      <w:lang w:val="zh-CN" w:eastAsia="zh-CN" w:bidi="zh-CN"/>
    </w:rPr>
  </w:style>
  <w:style w:type="paragraph" w:styleId="3">
    <w:name w:val="heading 2"/>
    <w:basedOn w:val="1"/>
    <w:next w:val="1"/>
    <w:qFormat/>
    <w:uiPriority w:val="1"/>
    <w:pPr>
      <w:ind w:left="923"/>
      <w:outlineLvl w:val="2"/>
    </w:pPr>
    <w:rPr>
      <w:rFonts w:ascii="楷体" w:hAnsi="楷体" w:eastAsia="楷体" w:cs="楷体"/>
      <w:b/>
      <w:bCs/>
      <w:sz w:val="32"/>
      <w:szCs w:val="32"/>
      <w:lang w:val="zh-CN" w:eastAsia="zh-CN" w:bidi="zh-CN"/>
    </w:rPr>
  </w:style>
  <w:style w:type="character" w:default="1" w:styleId="11">
    <w:name w:val="Default Paragraph Font"/>
    <w:semiHidden/>
    <w:unhideWhenUsed/>
    <w:qFormat/>
    <w:uiPriority w:val="1"/>
  </w:style>
  <w:style w:type="table" w:default="1" w:styleId="10">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rPr>
      <w:rFonts w:ascii="仿宋_GB2312" w:hAnsi="仿宋_GB2312" w:eastAsia="仿宋_GB2312" w:cs="仿宋_GB2312"/>
      <w:sz w:val="32"/>
      <w:szCs w:val="32"/>
      <w:lang w:val="zh-CN" w:eastAsia="zh-CN" w:bidi="zh-CN"/>
    </w:rPr>
  </w:style>
  <w:style w:type="paragraph" w:styleId="5">
    <w:name w:val="toc 3"/>
    <w:basedOn w:val="1"/>
    <w:next w:val="1"/>
    <w:qFormat/>
    <w:uiPriority w:val="0"/>
    <w:pPr>
      <w:ind w:left="840" w:leftChars="400"/>
    </w:p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table" w:customStyle="1" w:styleId="12">
    <w:name w:val="Table Normal"/>
    <w:semiHidden/>
    <w:unhideWhenUsed/>
    <w:qFormat/>
    <w:uiPriority w:val="2"/>
    <w:tblPr>
      <w:tblCellMar>
        <w:top w:w="0" w:type="dxa"/>
        <w:left w:w="0" w:type="dxa"/>
        <w:bottom w:w="0" w:type="dxa"/>
        <w:right w:w="0" w:type="dxa"/>
      </w:tblCellMar>
    </w:tblPr>
  </w:style>
  <w:style w:type="paragraph" w:styleId="13">
    <w:name w:val="List Paragraph"/>
    <w:basedOn w:val="1"/>
    <w:qFormat/>
    <w:uiPriority w:val="1"/>
    <w:pPr>
      <w:ind w:left="280" w:firstLine="640"/>
      <w:jc w:val="both"/>
    </w:pPr>
    <w:rPr>
      <w:rFonts w:ascii="仿宋_GB2312" w:hAnsi="仿宋_GB2312" w:eastAsia="仿宋_GB2312" w:cs="仿宋_GB2312"/>
      <w:lang w:val="zh-CN" w:eastAsia="zh-CN" w:bidi="zh-CN"/>
    </w:rPr>
  </w:style>
  <w:style w:type="paragraph" w:customStyle="1" w:styleId="14">
    <w:name w:val="Table Paragraph"/>
    <w:basedOn w:val="1"/>
    <w:qFormat/>
    <w:uiPriority w:val="1"/>
    <w:rPr>
      <w:rFonts w:ascii="宋体" w:hAnsi="宋体" w:eastAsia="宋体" w:cs="宋体"/>
      <w:lang w:val="zh-CN" w:eastAsia="zh-CN" w:bidi="zh-CN"/>
    </w:rPr>
  </w:style>
  <w:style w:type="paragraph" w:customStyle="1" w:styleId="15">
    <w:name w:val="WPSOffice手动目录 1"/>
    <w:qFormat/>
    <w:uiPriority w:val="0"/>
    <w:pPr>
      <w:ind w:leftChars="0"/>
    </w:pPr>
    <w:rPr>
      <w:rFonts w:asciiTheme="minorHAnsi" w:hAnsiTheme="minorHAnsi" w:eastAsiaTheme="minorHAnsi" w:cstheme="minorBidi"/>
      <w:sz w:val="20"/>
      <w:szCs w:val="20"/>
    </w:rPr>
  </w:style>
  <w:style w:type="paragraph" w:customStyle="1" w:styleId="16">
    <w:name w:val="WPSOffice手动目录 2"/>
    <w:qFormat/>
    <w:uiPriority w:val="0"/>
    <w:pPr>
      <w:ind w:leftChars="200"/>
    </w:pPr>
    <w:rPr>
      <w:rFonts w:asciiTheme="minorHAnsi" w:hAnsiTheme="minorHAnsi" w:eastAsiaTheme="minorHAnsi" w:cstheme="minorBidi"/>
      <w:sz w:val="20"/>
      <w:szCs w:val="20"/>
    </w:rPr>
  </w:style>
  <w:style w:type="paragraph" w:customStyle="1" w:styleId="17">
    <w:name w:val="WPSOffice手动目录 3"/>
    <w:qFormat/>
    <w:uiPriority w:val="0"/>
    <w:pPr>
      <w:ind w:leftChars="400"/>
    </w:pPr>
    <w:rPr>
      <w:rFonts w:asciiTheme="minorHAnsi" w:hAnsiTheme="minorHAnsi" w:eastAsiaTheme="minorHAnsi" w:cstheme="minorBidi"/>
      <w:sz w:val="20"/>
      <w:szCs w:val="20"/>
    </w:rPr>
  </w:style>
  <w:style w:type="paragraph" w:customStyle="1" w:styleId="18">
    <w:name w:val="〖B01〗一级标题"/>
    <w:basedOn w:val="1"/>
    <w:next w:val="1"/>
    <w:qFormat/>
    <w:uiPriority w:val="0"/>
    <w:pPr>
      <w:numPr>
        <w:ilvl w:val="0"/>
        <w:numId w:val="1"/>
      </w:numPr>
      <w:topLinePunct/>
      <w:spacing w:line="600" w:lineRule="exact"/>
      <w:outlineLvl w:val="0"/>
    </w:pPr>
    <w:rPr>
      <w:rFonts w:ascii="黑体" w:hAnsi="Calibri" w:eastAsia="黑体"/>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_rels/foot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20</Pages>
  <Words>5241</Words>
  <Characters>6214</Characters>
  <TotalTime>2</TotalTime>
  <ScaleCrop>false</ScaleCrop>
  <LinksUpToDate>false</LinksUpToDate>
  <CharactersWithSpaces>6454</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2022-05-05T02:14:00Z</dcterms:created>
  <dc:creator>user</dc:creator>
  <cp:lastModifiedBy>123</cp:lastModifiedBy>
  <cp:lastPrinted>2025-03-05T01:47:00Z</cp:lastPrinted>
  <dcterms:modified xsi:type="dcterms:W3CDTF">2026-02-13T06:13:57Z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2022-03-18T00:00:00Z</vt:filetime>
  </property>
  <property fmtid="{D5CDD505-2E9C-101B-9397-08002B2CF9AE}" pid="3" name="Creator">
    <vt:lpwstr>Microsoft® Word 2010</vt:lpwstr>
  </property>
  <property fmtid="{D5CDD505-2E9C-101B-9397-08002B2CF9AE}" pid="4" name="LastSaved">
    <vt:filetime>2022-05-05T00:00:00Z</vt:filetime>
  </property>
  <property fmtid="{D5CDD505-2E9C-101B-9397-08002B2CF9AE}" pid="5" name="KSOProductBuildVer">
    <vt:lpwstr>2052-11.8.6.9023</vt:lpwstr>
  </property>
  <property fmtid="{D5CDD505-2E9C-101B-9397-08002B2CF9AE}" pid="6" name="ICV">
    <vt:lpwstr>19A6489293D14499A2E447A850DEABA6</vt:lpwstr>
  </property>
</Properties>
</file>