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D5A2DF">
      <w:pPr>
        <w:pStyle w:val="4"/>
        <w:jc w:val="center"/>
        <w:rPr>
          <w:rFonts w:hint="eastAsia" w:ascii="宋体" w:hAnsi="宋体" w:eastAsia="宋体" w:cs="宋体"/>
          <w:b/>
          <w:bCs/>
          <w:sz w:val="52"/>
          <w:szCs w:val="52"/>
          <w:shd w:val="clear" w:color="auto" w:fill="auto"/>
          <w:lang w:val="en-US" w:eastAsia="zh-CN"/>
        </w:rPr>
      </w:pPr>
    </w:p>
    <w:p w14:paraId="54C44259">
      <w:pPr>
        <w:pStyle w:val="4"/>
        <w:jc w:val="center"/>
        <w:rPr>
          <w:rFonts w:hint="eastAsia" w:ascii="宋体" w:hAnsi="宋体" w:eastAsia="宋体" w:cs="宋体"/>
          <w:b/>
          <w:bCs/>
          <w:sz w:val="52"/>
          <w:szCs w:val="52"/>
          <w:shd w:val="clear" w:color="auto" w:fill="auto"/>
          <w:lang w:val="en-US" w:eastAsia="zh-CN"/>
        </w:rPr>
      </w:pPr>
    </w:p>
    <w:p w14:paraId="0F799BCE">
      <w:pPr>
        <w:pStyle w:val="4"/>
        <w:jc w:val="center"/>
        <w:rPr>
          <w:rFonts w:hint="eastAsia" w:ascii="宋体" w:hAnsi="宋体" w:eastAsia="宋体" w:cs="宋体"/>
          <w:b/>
          <w:bCs/>
          <w:sz w:val="52"/>
          <w:szCs w:val="52"/>
          <w:shd w:val="clear" w:color="auto" w:fill="auto"/>
          <w:lang w:val="en-US" w:eastAsia="zh-CN"/>
        </w:rPr>
      </w:pPr>
    </w:p>
    <w:p w14:paraId="5879E5F0">
      <w:pPr>
        <w:pStyle w:val="4"/>
        <w:jc w:val="center"/>
        <w:rPr>
          <w:rFonts w:hint="eastAsia" w:ascii="宋体" w:hAnsi="宋体" w:eastAsia="宋体" w:cs="宋体"/>
          <w:b/>
          <w:bCs/>
          <w:sz w:val="52"/>
          <w:szCs w:val="52"/>
          <w:shd w:val="clear" w:color="auto" w:fill="auto"/>
          <w:lang w:val="en-US" w:eastAsia="zh-CN"/>
        </w:rPr>
      </w:pPr>
    </w:p>
    <w:p w14:paraId="77B22FDB">
      <w:pPr>
        <w:pStyle w:val="4"/>
        <w:jc w:val="both"/>
        <w:rPr>
          <w:rFonts w:hint="eastAsia" w:ascii="宋体" w:hAnsi="宋体" w:eastAsia="宋体" w:cs="宋体"/>
          <w:b/>
          <w:bCs/>
          <w:sz w:val="52"/>
          <w:szCs w:val="52"/>
          <w:shd w:val="clear" w:color="auto" w:fill="auto"/>
          <w:lang w:val="en-US" w:eastAsia="zh-CN"/>
        </w:rPr>
      </w:pPr>
    </w:p>
    <w:p w14:paraId="79BF7C85">
      <w:pPr>
        <w:pStyle w:val="4"/>
        <w:keepNext w:val="0"/>
        <w:keepLines w:val="0"/>
        <w:pageBreakBefore w:val="0"/>
        <w:widowControl w:val="0"/>
        <w:kinsoku/>
        <w:wordWrap/>
        <w:overflowPunct/>
        <w:topLinePunct w:val="0"/>
        <w:autoSpaceDE w:val="0"/>
        <w:autoSpaceDN w:val="0"/>
        <w:bidi w:val="0"/>
        <w:adjustRightInd/>
        <w:snapToGrid/>
        <w:spacing w:line="800" w:lineRule="exact"/>
        <w:jc w:val="center"/>
        <w:textAlignment w:val="auto"/>
        <w:rPr>
          <w:rFonts w:hint="eastAsia" w:ascii="宋体" w:hAnsi="宋体" w:eastAsia="方正小标宋简体" w:cs="方正小标宋简体"/>
          <w:b w:val="0"/>
          <w:bCs w:val="0"/>
          <w:sz w:val="52"/>
          <w:szCs w:val="52"/>
          <w:shd w:val="clear" w:color="auto" w:fill="auto"/>
          <w:lang w:val="en-US" w:eastAsia="zh-CN"/>
        </w:rPr>
      </w:pPr>
      <w:r>
        <w:rPr>
          <w:rFonts w:hint="eastAsia" w:ascii="宋体" w:hAnsi="宋体" w:eastAsia="方正小标宋简体" w:cs="方正小标宋简体"/>
          <w:b w:val="0"/>
          <w:bCs w:val="0"/>
          <w:sz w:val="52"/>
          <w:szCs w:val="52"/>
          <w:shd w:val="clear" w:color="auto" w:fill="auto"/>
          <w:lang w:val="en-US" w:eastAsia="zh-CN"/>
        </w:rPr>
        <w:t>乐山市五通桥区委宣传部</w:t>
      </w:r>
    </w:p>
    <w:p w14:paraId="1F1BDB37">
      <w:pPr>
        <w:pStyle w:val="4"/>
        <w:keepNext w:val="0"/>
        <w:keepLines w:val="0"/>
        <w:pageBreakBefore w:val="0"/>
        <w:widowControl w:val="0"/>
        <w:kinsoku/>
        <w:wordWrap/>
        <w:overflowPunct/>
        <w:topLinePunct w:val="0"/>
        <w:autoSpaceDE w:val="0"/>
        <w:autoSpaceDN w:val="0"/>
        <w:bidi w:val="0"/>
        <w:adjustRightInd/>
        <w:snapToGrid/>
        <w:spacing w:line="800" w:lineRule="exact"/>
        <w:jc w:val="center"/>
        <w:textAlignment w:val="auto"/>
        <w:rPr>
          <w:rFonts w:hint="default" w:ascii="宋体" w:hAnsi="宋体" w:eastAsia="方正小标宋简体" w:cs="方正小标宋简体"/>
          <w:b w:val="0"/>
          <w:bCs w:val="0"/>
          <w:sz w:val="52"/>
          <w:szCs w:val="52"/>
          <w:shd w:val="clear" w:color="auto" w:fill="auto"/>
          <w:lang w:val="en-US" w:eastAsia="zh-CN"/>
        </w:rPr>
      </w:pPr>
      <w:r>
        <w:rPr>
          <w:rFonts w:hint="eastAsia" w:ascii="宋体" w:hAnsi="宋体" w:eastAsia="方正小标宋简体" w:cs="方正小标宋简体"/>
          <w:b w:val="0"/>
          <w:bCs w:val="0"/>
          <w:sz w:val="52"/>
          <w:szCs w:val="52"/>
          <w:shd w:val="clear" w:color="auto" w:fill="auto"/>
          <w:lang w:val="en-US" w:eastAsia="zh-CN"/>
        </w:rPr>
        <w:t>2026部门预算编制说明</w:t>
      </w:r>
    </w:p>
    <w:p w14:paraId="22F357E1">
      <w:pPr>
        <w:rPr>
          <w:rFonts w:ascii="宋体" w:hAnsi="宋体"/>
          <w:sz w:val="4"/>
        </w:rPr>
      </w:pPr>
    </w:p>
    <w:p w14:paraId="62461BD1">
      <w:pPr>
        <w:pStyle w:val="4"/>
        <w:spacing w:before="2"/>
        <w:rPr>
          <w:rFonts w:ascii="宋体" w:hAnsi="宋体"/>
          <w:sz w:val="4"/>
        </w:rPr>
      </w:pPr>
    </w:p>
    <w:p w14:paraId="5D149A93">
      <w:pPr>
        <w:pStyle w:val="4"/>
        <w:tabs>
          <w:tab w:val="left" w:pos="4798"/>
        </w:tabs>
        <w:jc w:val="center"/>
        <w:rPr>
          <w:rFonts w:hint="eastAsia" w:ascii="宋体" w:hAnsi="宋体" w:eastAsia="方正小标宋简体" w:cs="方正小标宋简体"/>
          <w:b/>
          <w:bCs/>
          <w:sz w:val="48"/>
          <w:szCs w:val="48"/>
          <w:lang w:val="en-US" w:eastAsia="zh-CN"/>
        </w:rPr>
      </w:pPr>
    </w:p>
    <w:p w14:paraId="5640C6B0">
      <w:pPr>
        <w:pStyle w:val="4"/>
        <w:tabs>
          <w:tab w:val="left" w:pos="4798"/>
        </w:tabs>
        <w:jc w:val="center"/>
        <w:rPr>
          <w:rFonts w:hint="eastAsia" w:ascii="宋体" w:hAnsi="宋体" w:eastAsia="方正小标宋简体" w:cs="方正小标宋简体"/>
          <w:b/>
          <w:bCs/>
          <w:sz w:val="48"/>
          <w:szCs w:val="48"/>
          <w:lang w:val="en-US" w:eastAsia="zh-CN"/>
        </w:rPr>
      </w:pPr>
    </w:p>
    <w:p w14:paraId="1889CCD7">
      <w:pPr>
        <w:pStyle w:val="4"/>
        <w:tabs>
          <w:tab w:val="left" w:pos="4798"/>
        </w:tabs>
        <w:jc w:val="center"/>
        <w:rPr>
          <w:rFonts w:hint="eastAsia" w:ascii="宋体" w:hAnsi="宋体" w:eastAsia="方正小标宋简体" w:cs="方正小标宋简体"/>
          <w:b/>
          <w:bCs/>
          <w:sz w:val="48"/>
          <w:szCs w:val="48"/>
          <w:lang w:val="en-US" w:eastAsia="zh-CN"/>
        </w:rPr>
      </w:pPr>
    </w:p>
    <w:p w14:paraId="3D57A68E">
      <w:pPr>
        <w:pStyle w:val="4"/>
        <w:tabs>
          <w:tab w:val="left" w:pos="4798"/>
        </w:tabs>
        <w:jc w:val="center"/>
        <w:rPr>
          <w:rFonts w:hint="eastAsia" w:ascii="宋体" w:hAnsi="宋体" w:eastAsia="方正小标宋简体" w:cs="方正小标宋简体"/>
          <w:b/>
          <w:bCs/>
          <w:sz w:val="48"/>
          <w:szCs w:val="48"/>
          <w:lang w:val="en-US" w:eastAsia="zh-CN"/>
        </w:rPr>
      </w:pPr>
    </w:p>
    <w:p w14:paraId="5F5DD2E6">
      <w:pPr>
        <w:pStyle w:val="4"/>
        <w:tabs>
          <w:tab w:val="left" w:pos="4798"/>
        </w:tabs>
        <w:jc w:val="center"/>
        <w:rPr>
          <w:rFonts w:hint="eastAsia" w:ascii="宋体" w:hAnsi="宋体" w:eastAsia="方正小标宋简体" w:cs="方正小标宋简体"/>
          <w:b/>
          <w:bCs/>
          <w:sz w:val="48"/>
          <w:szCs w:val="48"/>
          <w:lang w:val="en-US" w:eastAsia="zh-CN"/>
        </w:rPr>
      </w:pPr>
    </w:p>
    <w:p w14:paraId="05D342A6">
      <w:pPr>
        <w:pStyle w:val="4"/>
        <w:tabs>
          <w:tab w:val="left" w:pos="4798"/>
        </w:tabs>
        <w:jc w:val="center"/>
        <w:rPr>
          <w:rFonts w:hint="eastAsia" w:ascii="宋体" w:hAnsi="宋体" w:eastAsia="方正小标宋简体" w:cs="方正小标宋简体"/>
          <w:b/>
          <w:bCs/>
          <w:sz w:val="48"/>
          <w:szCs w:val="48"/>
          <w:lang w:val="en-US" w:eastAsia="zh-CN"/>
        </w:rPr>
      </w:pPr>
    </w:p>
    <w:p w14:paraId="05FE6207">
      <w:pPr>
        <w:pStyle w:val="4"/>
        <w:tabs>
          <w:tab w:val="left" w:pos="4798"/>
        </w:tabs>
        <w:jc w:val="center"/>
        <w:rPr>
          <w:rFonts w:hint="eastAsia" w:ascii="宋体" w:hAnsi="宋体" w:eastAsia="方正小标宋简体" w:cs="方正小标宋简体"/>
          <w:b/>
          <w:bCs/>
          <w:sz w:val="48"/>
          <w:szCs w:val="48"/>
          <w:lang w:val="en-US" w:eastAsia="zh-CN"/>
        </w:rPr>
      </w:pPr>
    </w:p>
    <w:p w14:paraId="1D3245C3">
      <w:pPr>
        <w:pStyle w:val="4"/>
        <w:tabs>
          <w:tab w:val="left" w:pos="4798"/>
        </w:tabs>
        <w:jc w:val="center"/>
        <w:rPr>
          <w:rFonts w:hint="eastAsia" w:ascii="宋体" w:hAnsi="宋体" w:eastAsia="方正小标宋简体" w:cs="方正小标宋简体"/>
          <w:b/>
          <w:bCs/>
          <w:sz w:val="48"/>
          <w:szCs w:val="48"/>
          <w:lang w:val="en-US" w:eastAsia="zh-CN"/>
        </w:rPr>
      </w:pPr>
    </w:p>
    <w:p w14:paraId="59DED287">
      <w:pPr>
        <w:pStyle w:val="4"/>
        <w:tabs>
          <w:tab w:val="left" w:pos="4798"/>
        </w:tabs>
        <w:jc w:val="center"/>
        <w:rPr>
          <w:rFonts w:hint="eastAsia" w:ascii="宋体" w:hAnsi="宋体" w:eastAsia="方正小标宋简体" w:cs="方正小标宋简体"/>
          <w:b/>
          <w:bCs/>
          <w:sz w:val="48"/>
          <w:szCs w:val="48"/>
          <w:lang w:val="en-US" w:eastAsia="zh-CN"/>
        </w:rPr>
      </w:pPr>
    </w:p>
    <w:p w14:paraId="5687D791">
      <w:pPr>
        <w:pStyle w:val="4"/>
        <w:tabs>
          <w:tab w:val="left" w:pos="4798"/>
        </w:tabs>
        <w:jc w:val="center"/>
        <w:rPr>
          <w:rFonts w:hint="eastAsia" w:ascii="宋体" w:hAnsi="宋体" w:eastAsia="方正小标宋简体" w:cs="方正小标宋简体"/>
          <w:b/>
          <w:bCs/>
          <w:sz w:val="48"/>
          <w:szCs w:val="48"/>
          <w:lang w:val="en-US" w:eastAsia="zh-CN"/>
        </w:rPr>
      </w:pPr>
    </w:p>
    <w:p w14:paraId="229606CF">
      <w:pPr>
        <w:pStyle w:val="4"/>
        <w:tabs>
          <w:tab w:val="left" w:pos="4798"/>
        </w:tabs>
        <w:jc w:val="center"/>
        <w:rPr>
          <w:rFonts w:hint="eastAsia" w:ascii="宋体" w:hAnsi="宋体" w:eastAsia="方正小标宋简体" w:cs="方正小标宋简体"/>
          <w:b/>
          <w:bCs/>
          <w:sz w:val="48"/>
          <w:szCs w:val="48"/>
          <w:lang w:val="en-US" w:eastAsia="zh-CN"/>
        </w:rPr>
      </w:pPr>
    </w:p>
    <w:p w14:paraId="4F55C0D9">
      <w:pPr>
        <w:pStyle w:val="4"/>
        <w:tabs>
          <w:tab w:val="left" w:pos="4798"/>
        </w:tabs>
        <w:jc w:val="center"/>
        <w:rPr>
          <w:rFonts w:hint="eastAsia" w:ascii="宋体" w:hAnsi="宋体" w:eastAsia="方正小标宋简体" w:cs="方正小标宋简体"/>
          <w:b/>
          <w:bCs/>
          <w:sz w:val="48"/>
          <w:szCs w:val="48"/>
          <w:lang w:val="en-US" w:eastAsia="zh-CN"/>
        </w:rPr>
      </w:pPr>
    </w:p>
    <w:p w14:paraId="4FAF5986">
      <w:pPr>
        <w:pStyle w:val="4"/>
        <w:tabs>
          <w:tab w:val="left" w:pos="4798"/>
        </w:tabs>
        <w:jc w:val="center"/>
        <w:rPr>
          <w:rFonts w:hint="eastAsia" w:ascii="宋体" w:hAnsi="宋体" w:eastAsia="方正小标宋简体" w:cs="方正小标宋简体"/>
          <w:b/>
          <w:bCs/>
          <w:sz w:val="48"/>
          <w:szCs w:val="48"/>
          <w:lang w:val="en-US" w:eastAsia="zh-CN"/>
        </w:rPr>
      </w:pPr>
    </w:p>
    <w:p w14:paraId="68D9C565">
      <w:pPr>
        <w:pStyle w:val="4"/>
        <w:tabs>
          <w:tab w:val="left" w:pos="4798"/>
        </w:tabs>
        <w:jc w:val="center"/>
        <w:rPr>
          <w:rFonts w:hint="eastAsia" w:ascii="宋体" w:hAnsi="宋体" w:eastAsia="方正小标宋简体" w:cs="方正小标宋简体"/>
          <w:b/>
          <w:bCs/>
          <w:sz w:val="48"/>
          <w:szCs w:val="48"/>
          <w:lang w:val="en-US" w:eastAsia="zh-CN"/>
        </w:rPr>
      </w:pPr>
      <w:r>
        <w:rPr>
          <w:rFonts w:hint="eastAsia" w:ascii="宋体" w:hAnsi="宋体" w:eastAsia="方正小标宋简体" w:cs="方正小标宋简体"/>
          <w:b/>
          <w:bCs/>
          <w:sz w:val="48"/>
          <w:szCs w:val="48"/>
          <w:lang w:val="en-US" w:eastAsia="zh-CN"/>
        </w:rPr>
        <w:t>目  录</w:t>
      </w:r>
    </w:p>
    <w:sdt>
      <w:sdtPr>
        <w:rPr>
          <w:rFonts w:ascii="宋体" w:hAnsi="宋体" w:eastAsia="宋体" w:cs="宋体"/>
          <w:sz w:val="21"/>
          <w:szCs w:val="22"/>
          <w:lang w:val="zh-CN" w:eastAsia="zh-CN" w:bidi="zh-CN"/>
        </w:rPr>
        <w:id w:val="147453385"/>
        <w15:color w:val="DBDBDB"/>
        <w:docPartObj>
          <w:docPartGallery w:val="Table of Contents"/>
          <w:docPartUnique/>
        </w:docPartObj>
      </w:sdtPr>
      <w:sdtEndPr>
        <w:rPr>
          <w:rFonts w:hint="eastAsia" w:ascii="宋体" w:hAnsi="宋体" w:eastAsia="方正小标宋简体" w:cs="方正小标宋简体"/>
          <w:bCs/>
          <w:sz w:val="32"/>
          <w:szCs w:val="48"/>
          <w:lang w:val="en-US" w:eastAsia="zh-CN" w:bidi="zh-CN"/>
        </w:rPr>
      </w:sdtEndPr>
      <w:sdtContent>
        <w:p w14:paraId="4CC39C75">
          <w:pPr>
            <w:spacing w:before="0" w:beforeLines="0" w:after="0" w:afterLines="0" w:line="240" w:lineRule="auto"/>
            <w:ind w:left="0" w:leftChars="0" w:right="0" w:rightChars="0" w:firstLine="0" w:firstLineChars="0"/>
            <w:jc w:val="center"/>
            <w:rPr>
              <w:rFonts w:ascii="宋体" w:hAnsi="宋体"/>
            </w:rPr>
          </w:pPr>
        </w:p>
        <w:p w14:paraId="2F69E354">
          <w:pPr>
            <w:pStyle w:val="10"/>
            <w:tabs>
              <w:tab w:val="right" w:leader="dot" w:pos="9812"/>
            </w:tabs>
          </w:pPr>
          <w:r>
            <w:rPr>
              <w:rFonts w:hint="eastAsia" w:ascii="宋体" w:hAnsi="宋体" w:eastAsia="方正小标宋简体" w:cs="方正小标宋简体"/>
              <w:b/>
              <w:bCs/>
              <w:sz w:val="48"/>
              <w:szCs w:val="48"/>
              <w:lang w:val="en-US" w:eastAsia="zh-CN"/>
            </w:rPr>
            <w:fldChar w:fldCharType="begin"/>
          </w:r>
          <w:r>
            <w:rPr>
              <w:rFonts w:hint="eastAsia" w:ascii="宋体" w:hAnsi="宋体" w:eastAsia="方正小标宋简体" w:cs="方正小标宋简体"/>
              <w:b/>
              <w:bCs/>
              <w:sz w:val="48"/>
              <w:szCs w:val="48"/>
              <w:lang w:val="en-US" w:eastAsia="zh-CN"/>
            </w:rPr>
            <w:instrText xml:space="preserve">TOC \o "1-3" \h \u </w:instrText>
          </w:r>
          <w:r>
            <w:rPr>
              <w:rFonts w:hint="eastAsia" w:ascii="宋体" w:hAnsi="宋体" w:eastAsia="方正小标宋简体" w:cs="方正小标宋简体"/>
              <w:b/>
              <w:bCs/>
              <w:sz w:val="48"/>
              <w:szCs w:val="48"/>
              <w:lang w:val="en-US" w:eastAsia="zh-CN"/>
            </w:rPr>
            <w:fldChar w:fldCharType="separate"/>
          </w: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_Toc4767 </w:instrText>
          </w:r>
          <w:r>
            <w:rPr>
              <w:rFonts w:hint="eastAsia" w:ascii="宋体" w:hAnsi="宋体" w:eastAsia="方正小标宋简体" w:cs="方正小标宋简体"/>
              <w:bCs/>
              <w:szCs w:val="48"/>
              <w:lang w:val="en-US" w:eastAsia="zh-CN"/>
            </w:rPr>
            <w:fldChar w:fldCharType="separate"/>
          </w:r>
          <w:r>
            <w:rPr>
              <w:rFonts w:hint="eastAsia" w:ascii="宋体" w:hAnsi="宋体" w:eastAsia="方正小标宋简体" w:cs="方正小标宋简体"/>
              <w:bCs/>
              <w:szCs w:val="52"/>
              <w:lang w:val="en-US" w:eastAsia="zh-CN"/>
            </w:rPr>
            <w:t>第一部分 部门概况</w:t>
          </w:r>
          <w:r>
            <w:tab/>
          </w:r>
          <w:r>
            <w:fldChar w:fldCharType="begin"/>
          </w:r>
          <w:r>
            <w:instrText xml:space="preserve"> PAGEREF _Toc4767 \h </w:instrText>
          </w:r>
          <w:r>
            <w:fldChar w:fldCharType="separate"/>
          </w:r>
          <w:r>
            <w:t>1</w:t>
          </w:r>
          <w:r>
            <w:fldChar w:fldCharType="end"/>
          </w:r>
          <w:r>
            <w:rPr>
              <w:rFonts w:hint="eastAsia" w:ascii="宋体" w:hAnsi="宋体" w:eastAsia="方正小标宋简体" w:cs="方正小标宋简体"/>
              <w:bCs/>
              <w:szCs w:val="48"/>
              <w:lang w:val="en-US" w:eastAsia="zh-CN"/>
            </w:rPr>
            <w:fldChar w:fldCharType="end"/>
          </w:r>
        </w:p>
        <w:p w14:paraId="1F0B593C">
          <w:pPr>
            <w:pStyle w:val="11"/>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_Toc21544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一、基本职能及主要工作</w:t>
          </w:r>
          <w:r>
            <w:tab/>
          </w:r>
          <w:r>
            <w:fldChar w:fldCharType="begin"/>
          </w:r>
          <w:r>
            <w:instrText xml:space="preserve"> PAGEREF _Toc21544 \h </w:instrText>
          </w:r>
          <w:r>
            <w:fldChar w:fldCharType="separate"/>
          </w:r>
          <w:r>
            <w:t>2</w:t>
          </w:r>
          <w:r>
            <w:fldChar w:fldCharType="end"/>
          </w:r>
          <w:r>
            <w:rPr>
              <w:rFonts w:hint="eastAsia" w:ascii="宋体" w:hAnsi="宋体" w:eastAsia="方正小标宋简体" w:cs="方正小标宋简体"/>
              <w:bCs/>
              <w:szCs w:val="48"/>
              <w:lang w:val="en-US" w:eastAsia="zh-CN"/>
            </w:rPr>
            <w:fldChar w:fldCharType="end"/>
          </w:r>
        </w:p>
        <w:p w14:paraId="325AF713">
          <w:pPr>
            <w:pStyle w:val="7"/>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_Toc20368 </w:instrText>
          </w:r>
          <w:r>
            <w:rPr>
              <w:rFonts w:hint="eastAsia" w:ascii="宋体" w:hAnsi="宋体" w:eastAsia="方正小标宋简体" w:cs="方正小标宋简体"/>
              <w:bCs/>
              <w:szCs w:val="48"/>
              <w:lang w:val="en-US" w:eastAsia="zh-CN"/>
            </w:rPr>
            <w:fldChar w:fldCharType="separate"/>
          </w:r>
          <w:r>
            <w:rPr>
              <w:rFonts w:ascii="宋体" w:hAnsi="宋体"/>
            </w:rPr>
            <w:t>（一）部门职能简介</w:t>
          </w:r>
          <w:r>
            <w:tab/>
          </w:r>
          <w:r>
            <w:fldChar w:fldCharType="begin"/>
          </w:r>
          <w:r>
            <w:instrText xml:space="preserve"> PAGEREF _Toc20368 \h </w:instrText>
          </w:r>
          <w:r>
            <w:fldChar w:fldCharType="separate"/>
          </w:r>
          <w:r>
            <w:t>2</w:t>
          </w:r>
          <w:r>
            <w:fldChar w:fldCharType="end"/>
          </w:r>
          <w:r>
            <w:rPr>
              <w:rFonts w:hint="eastAsia" w:ascii="宋体" w:hAnsi="宋体" w:eastAsia="方正小标宋简体" w:cs="方正小标宋简体"/>
              <w:bCs/>
              <w:szCs w:val="48"/>
              <w:lang w:val="en-US" w:eastAsia="zh-CN"/>
            </w:rPr>
            <w:fldChar w:fldCharType="end"/>
          </w:r>
        </w:p>
        <w:p w14:paraId="08ADC9C1">
          <w:pPr>
            <w:pStyle w:val="7"/>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_Toc837 </w:instrText>
          </w:r>
          <w:r>
            <w:rPr>
              <w:rFonts w:hint="eastAsia" w:ascii="宋体" w:hAnsi="宋体" w:eastAsia="方正小标宋简体" w:cs="方正小标宋简体"/>
              <w:bCs/>
              <w:szCs w:val="48"/>
              <w:lang w:val="en-US" w:eastAsia="zh-CN"/>
            </w:rPr>
            <w:fldChar w:fldCharType="separate"/>
          </w:r>
          <w:r>
            <w:rPr>
              <w:rFonts w:ascii="宋体" w:hAnsi="宋体"/>
              <w:highlight w:val="none"/>
            </w:rPr>
            <w:t>（二）部门</w:t>
          </w:r>
          <w:r>
            <w:rPr>
              <w:rFonts w:hint="eastAsia"/>
              <w:highlight w:val="none"/>
              <w:lang w:val="en-US" w:eastAsia="zh-CN"/>
            </w:rPr>
            <w:t>2026</w:t>
          </w:r>
          <w:r>
            <w:rPr>
              <w:rFonts w:ascii="宋体" w:hAnsi="宋体"/>
              <w:highlight w:val="none"/>
            </w:rPr>
            <w:t>年重点工</w:t>
          </w:r>
          <w:r>
            <w:rPr>
              <w:rFonts w:hint="eastAsia" w:ascii="宋体" w:hAnsi="宋体"/>
              <w:highlight w:val="none"/>
            </w:rPr>
            <w:t>作</w:t>
          </w:r>
          <w:r>
            <w:tab/>
          </w:r>
          <w:r>
            <w:fldChar w:fldCharType="begin"/>
          </w:r>
          <w:r>
            <w:instrText xml:space="preserve"> PAGEREF _Toc837 \h </w:instrText>
          </w:r>
          <w:r>
            <w:fldChar w:fldCharType="separate"/>
          </w:r>
          <w:r>
            <w:t>2</w:t>
          </w:r>
          <w:r>
            <w:fldChar w:fldCharType="end"/>
          </w:r>
          <w:r>
            <w:rPr>
              <w:rFonts w:hint="eastAsia" w:ascii="宋体" w:hAnsi="宋体" w:eastAsia="方正小标宋简体" w:cs="方正小标宋简体"/>
              <w:bCs/>
              <w:szCs w:val="48"/>
              <w:lang w:val="en-US" w:eastAsia="zh-CN"/>
            </w:rPr>
            <w:fldChar w:fldCharType="end"/>
          </w:r>
        </w:p>
        <w:p w14:paraId="32FF13FB">
          <w:pPr>
            <w:pStyle w:val="11"/>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_Toc1164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二、部门预算单位构成</w:t>
          </w:r>
          <w:r>
            <w:tab/>
          </w:r>
          <w:r>
            <w:fldChar w:fldCharType="begin"/>
          </w:r>
          <w:r>
            <w:instrText xml:space="preserve"> PAGEREF _Toc1164 \h </w:instrText>
          </w:r>
          <w:r>
            <w:fldChar w:fldCharType="separate"/>
          </w:r>
          <w:r>
            <w:t>2</w:t>
          </w:r>
          <w:r>
            <w:fldChar w:fldCharType="end"/>
          </w:r>
          <w:r>
            <w:rPr>
              <w:rFonts w:hint="eastAsia" w:ascii="宋体" w:hAnsi="宋体" w:eastAsia="方正小标宋简体" w:cs="方正小标宋简体"/>
              <w:bCs/>
              <w:szCs w:val="48"/>
              <w:lang w:val="en-US" w:eastAsia="zh-CN"/>
            </w:rPr>
            <w:fldChar w:fldCharType="end"/>
          </w:r>
        </w:p>
        <w:p w14:paraId="140E59BD">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_Toc16628 </w:instrText>
          </w:r>
          <w:r>
            <w:rPr>
              <w:rFonts w:hint="eastAsia" w:ascii="宋体" w:hAnsi="宋体" w:eastAsia="方正小标宋简体" w:cs="方正小标宋简体"/>
              <w:bCs/>
              <w:szCs w:val="48"/>
              <w:lang w:val="en-US" w:eastAsia="zh-CN"/>
            </w:rPr>
            <w:fldChar w:fldCharType="separate"/>
          </w:r>
          <w:r>
            <w:rPr>
              <w:rFonts w:hint="eastAsia" w:ascii="宋体" w:hAnsi="宋体" w:eastAsia="方正小标宋简体" w:cs="方正小标宋简体"/>
              <w:bCs/>
              <w:szCs w:val="52"/>
              <w:lang w:val="en-US" w:eastAsia="zh-CN"/>
            </w:rPr>
            <w:t>第二部分 五通桥区委宣传部</w:t>
          </w:r>
          <w:r>
            <w:rPr>
              <w:rFonts w:hint="eastAsia" w:eastAsia="方正小标宋简体" w:cs="方正小标宋简体"/>
              <w:bCs/>
              <w:szCs w:val="52"/>
              <w:lang w:val="en-US" w:eastAsia="zh-CN"/>
            </w:rPr>
            <w:t>2026</w:t>
          </w:r>
          <w:r>
            <w:rPr>
              <w:rFonts w:hint="eastAsia" w:ascii="宋体" w:hAnsi="宋体" w:eastAsia="方正小标宋简体" w:cs="方正小标宋简体"/>
              <w:bCs/>
              <w:szCs w:val="52"/>
              <w:lang w:val="en-US" w:eastAsia="zh-CN"/>
            </w:rPr>
            <w:t>年部门预算表</w:t>
          </w:r>
          <w:r>
            <w:tab/>
          </w:r>
          <w:r>
            <w:fldChar w:fldCharType="begin"/>
          </w:r>
          <w:r>
            <w:instrText xml:space="preserve"> PAGEREF _Toc16628 \h </w:instrText>
          </w:r>
          <w:r>
            <w:fldChar w:fldCharType="separate"/>
          </w:r>
          <w:r>
            <w:t>4</w:t>
          </w:r>
          <w:r>
            <w:fldChar w:fldCharType="end"/>
          </w:r>
          <w:r>
            <w:rPr>
              <w:rFonts w:hint="eastAsia" w:ascii="宋体" w:hAnsi="宋体" w:eastAsia="方正小标宋简体" w:cs="方正小标宋简体"/>
              <w:bCs/>
              <w:szCs w:val="48"/>
              <w:lang w:val="en-US" w:eastAsia="zh-CN"/>
            </w:rPr>
            <w:fldChar w:fldCharType="end"/>
          </w:r>
        </w:p>
        <w:p w14:paraId="2ED6B0E4">
          <w:pPr>
            <w:pStyle w:val="11"/>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_Toc19127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一、收支预算总表（收支总表1）</w:t>
          </w:r>
          <w:r>
            <w:tab/>
          </w:r>
          <w:r>
            <w:fldChar w:fldCharType="begin"/>
          </w:r>
          <w:r>
            <w:instrText xml:space="preserve"> PAGEREF _Toc19127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14:paraId="790FD04F">
          <w:pPr>
            <w:pStyle w:val="11"/>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_Toc12652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二、收入预算总表（收入总表2）</w:t>
          </w:r>
          <w:r>
            <w:tab/>
          </w:r>
          <w:r>
            <w:fldChar w:fldCharType="begin"/>
          </w:r>
          <w:r>
            <w:instrText xml:space="preserve"> PAGEREF _Toc12652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14:paraId="1D0DC028">
          <w:pPr>
            <w:pStyle w:val="11"/>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_Toc28293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三、征收预期表（征收预期3）</w:t>
          </w:r>
          <w:r>
            <w:tab/>
          </w:r>
          <w:r>
            <w:fldChar w:fldCharType="begin"/>
          </w:r>
          <w:r>
            <w:instrText xml:space="preserve"> PAGEREF _Toc28293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14:paraId="7F8A23EA">
          <w:pPr>
            <w:pStyle w:val="11"/>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_Toc11268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四、支出预算总表（支出总表4）</w:t>
          </w:r>
          <w:r>
            <w:tab/>
          </w:r>
          <w:r>
            <w:fldChar w:fldCharType="begin"/>
          </w:r>
          <w:r>
            <w:instrText xml:space="preserve"> PAGEREF _Toc11268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14:paraId="4253FB70">
          <w:pPr>
            <w:pStyle w:val="11"/>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_Toc31705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五、财政拨款预算总表（财拨总表5）</w:t>
          </w:r>
          <w:r>
            <w:tab/>
          </w:r>
          <w:r>
            <w:fldChar w:fldCharType="begin"/>
          </w:r>
          <w:r>
            <w:instrText xml:space="preserve"> PAGEREF _Toc31705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14:paraId="3F4572C4">
          <w:pPr>
            <w:pStyle w:val="11"/>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_Toc32595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六、一般公共预算支出表（一般预算支出6）</w:t>
          </w:r>
          <w:r>
            <w:tab/>
          </w:r>
          <w:r>
            <w:fldChar w:fldCharType="begin"/>
          </w:r>
          <w:r>
            <w:instrText xml:space="preserve"> PAGEREF _Toc32595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14:paraId="51ADCAE8">
          <w:pPr>
            <w:pStyle w:val="11"/>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_Toc14376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七、一般公共预算基本支出表（基本支出7）</w:t>
          </w:r>
          <w:r>
            <w:tab/>
          </w:r>
          <w:r>
            <w:fldChar w:fldCharType="begin"/>
          </w:r>
          <w:r>
            <w:instrText xml:space="preserve"> PAGEREF _Toc14376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14:paraId="714FCC06">
          <w:pPr>
            <w:pStyle w:val="11"/>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_Toc12109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八、一般公共预算“三公”经费支出预算表（三公8）</w:t>
          </w:r>
          <w:r>
            <w:tab/>
          </w:r>
          <w:r>
            <w:fldChar w:fldCharType="begin"/>
          </w:r>
          <w:r>
            <w:instrText xml:space="preserve"> PAGEREF _Toc12109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14:paraId="15BE05BF">
          <w:pPr>
            <w:pStyle w:val="11"/>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_Toc25251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九、政府性基金预算支出表（基金9）</w:t>
          </w:r>
          <w:r>
            <w:tab/>
          </w:r>
          <w:r>
            <w:fldChar w:fldCharType="begin"/>
          </w:r>
          <w:r>
            <w:instrText xml:space="preserve"> PAGEREF _Toc25251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14:paraId="6720D843">
          <w:pPr>
            <w:pStyle w:val="11"/>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_Toc17731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十、国有资本经营预算支出表（国资10）</w:t>
          </w:r>
          <w:r>
            <w:tab/>
          </w:r>
          <w:r>
            <w:fldChar w:fldCharType="begin"/>
          </w:r>
          <w:r>
            <w:instrText xml:space="preserve"> PAGEREF _Toc17731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14:paraId="21CFC915">
          <w:pPr>
            <w:pStyle w:val="11"/>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_Toc4784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十一、支出功能分类预算表（支出功能11）</w:t>
          </w:r>
          <w:r>
            <w:tab/>
          </w:r>
          <w:r>
            <w:fldChar w:fldCharType="begin"/>
          </w:r>
          <w:r>
            <w:instrText xml:space="preserve"> PAGEREF _Toc4784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14:paraId="3102DBCC">
          <w:pPr>
            <w:pStyle w:val="11"/>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_Toc18673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十二、支出经济分类预算表（支出经济分类12）</w:t>
          </w:r>
          <w:r>
            <w:tab/>
          </w:r>
          <w:r>
            <w:fldChar w:fldCharType="begin"/>
          </w:r>
          <w:r>
            <w:instrText xml:space="preserve"> PAGEREF _Toc18673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14:paraId="29E20920">
          <w:pPr>
            <w:pStyle w:val="11"/>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_Toc3905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十三、上级资金安排情况表（上级资金安排13）</w:t>
          </w:r>
          <w:r>
            <w:tab/>
          </w:r>
          <w:r>
            <w:fldChar w:fldCharType="begin"/>
          </w:r>
          <w:r>
            <w:instrText xml:space="preserve"> PAGEREF _Toc3905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14:paraId="729A3BA9">
          <w:pPr>
            <w:pStyle w:val="11"/>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_Toc29447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十四、项目支出表（项目支出14）</w:t>
          </w:r>
          <w:r>
            <w:tab/>
          </w:r>
          <w:r>
            <w:fldChar w:fldCharType="begin"/>
          </w:r>
          <w:r>
            <w:instrText xml:space="preserve"> PAGEREF _Toc29447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14:paraId="567602E9">
          <w:pPr>
            <w:pStyle w:val="11"/>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_Toc3527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十六、政府购买服务预算表（购买服务16）</w:t>
          </w:r>
          <w:r>
            <w:tab/>
          </w:r>
          <w:r>
            <w:fldChar w:fldCharType="begin"/>
          </w:r>
          <w:r>
            <w:instrText xml:space="preserve"> PAGEREF _Toc3527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14:paraId="5B1536F5">
          <w:pPr>
            <w:pStyle w:val="11"/>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_Toc27841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十七、采购需求表（采购需求表17）</w:t>
          </w:r>
          <w:r>
            <w:tab/>
          </w:r>
          <w:r>
            <w:fldChar w:fldCharType="begin"/>
          </w:r>
          <w:r>
            <w:instrText xml:space="preserve"> PAGEREF _Toc27841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14:paraId="4085161F">
          <w:pPr>
            <w:pStyle w:val="11"/>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_Toc32209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十八、国有资产配置预算表（资产18）</w:t>
          </w:r>
          <w:r>
            <w:tab/>
          </w:r>
          <w:r>
            <w:fldChar w:fldCharType="begin"/>
          </w:r>
          <w:r>
            <w:instrText xml:space="preserve"> PAGEREF _Toc32209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14:paraId="612F4425">
          <w:pPr>
            <w:pStyle w:val="11"/>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_Toc19861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十九、项目支出绩效表（项目绩效19）</w:t>
          </w:r>
          <w:r>
            <w:tab/>
          </w:r>
          <w:r>
            <w:fldChar w:fldCharType="begin"/>
          </w:r>
          <w:r>
            <w:instrText xml:space="preserve"> PAGEREF _Toc19861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14:paraId="10B19ED0">
          <w:pPr>
            <w:pStyle w:val="11"/>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_Toc28316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二十、部门绩效表（部门绩效20）</w:t>
          </w:r>
          <w:r>
            <w:tab/>
          </w:r>
          <w:r>
            <w:fldChar w:fldCharType="begin"/>
          </w:r>
          <w:r>
            <w:instrText xml:space="preserve"> PAGEREF _Toc28316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14:paraId="3325DA2C">
          <w:pPr>
            <w:pStyle w:val="11"/>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_Toc20224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二十一、年初政府采购项目预算表（政府采购项目预算表21）</w:t>
          </w:r>
          <w:r>
            <w:tab/>
          </w:r>
          <w:r>
            <w:fldChar w:fldCharType="begin"/>
          </w:r>
          <w:r>
            <w:instrText xml:space="preserve"> PAGEREF _Toc20224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14:paraId="45DFA3D9">
          <w:pPr>
            <w:pStyle w:val="11"/>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_Toc17944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二十二、</w:t>
          </w:r>
          <w:r>
            <w:rPr>
              <w:rFonts w:hint="eastAsia"/>
              <w:lang w:val="en-US" w:eastAsia="zh-CN"/>
            </w:rPr>
            <w:t>2026</w:t>
          </w:r>
          <w:r>
            <w:rPr>
              <w:rFonts w:hint="eastAsia" w:ascii="宋体" w:hAnsi="宋体"/>
              <w:lang w:val="en-US" w:eastAsia="zh-CN"/>
            </w:rPr>
            <w:t>-202</w:t>
          </w:r>
          <w:r>
            <w:rPr>
              <w:rFonts w:hint="eastAsia"/>
              <w:lang w:val="en-US" w:eastAsia="zh-CN"/>
            </w:rPr>
            <w:t>8</w:t>
          </w:r>
          <w:r>
            <w:rPr>
              <w:rFonts w:hint="eastAsia" w:ascii="宋体" w:hAnsi="宋体"/>
              <w:lang w:val="en-US" w:eastAsia="zh-CN"/>
            </w:rPr>
            <w:t>年支出计划总表（三年计划总表22）</w:t>
          </w:r>
          <w:r>
            <w:tab/>
          </w:r>
          <w:r>
            <w:fldChar w:fldCharType="begin"/>
          </w:r>
          <w:r>
            <w:instrText xml:space="preserve"> PAGEREF _Toc17944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14:paraId="1A1E782A">
          <w:pPr>
            <w:pStyle w:val="11"/>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_Toc12273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二十三、</w:t>
          </w:r>
          <w:r>
            <w:rPr>
              <w:rFonts w:hint="eastAsia"/>
              <w:lang w:val="en-US" w:eastAsia="zh-CN"/>
            </w:rPr>
            <w:t>2026</w:t>
          </w:r>
          <w:r>
            <w:rPr>
              <w:rFonts w:hint="eastAsia" w:ascii="宋体" w:hAnsi="宋体"/>
              <w:lang w:val="en-US" w:eastAsia="zh-CN"/>
            </w:rPr>
            <w:t>-202</w:t>
          </w:r>
          <w:r>
            <w:rPr>
              <w:rFonts w:hint="eastAsia"/>
              <w:lang w:val="en-US" w:eastAsia="zh-CN"/>
            </w:rPr>
            <w:t>8</w:t>
          </w:r>
          <w:r>
            <w:rPr>
              <w:rFonts w:hint="eastAsia" w:ascii="宋体" w:hAnsi="宋体"/>
              <w:lang w:val="en-US" w:eastAsia="zh-CN"/>
            </w:rPr>
            <w:t>年支出计划明细表（三年计划明细表23）</w:t>
          </w:r>
          <w:r>
            <w:tab/>
          </w:r>
          <w:r>
            <w:fldChar w:fldCharType="begin"/>
          </w:r>
          <w:r>
            <w:instrText xml:space="preserve"> PAGEREF _Toc12273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14:paraId="432E6BF4">
          <w:pPr>
            <w:pStyle w:val="11"/>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_Toc32054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二十四、人员和车辆基本情况表（人员24）</w:t>
          </w:r>
          <w:r>
            <w:tab/>
          </w:r>
          <w:r>
            <w:fldChar w:fldCharType="begin"/>
          </w:r>
          <w:r>
            <w:instrText xml:space="preserve"> PAGEREF _Toc32054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14:paraId="24EEC532">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_Toc29556 </w:instrText>
          </w:r>
          <w:r>
            <w:rPr>
              <w:rFonts w:hint="eastAsia" w:ascii="宋体" w:hAnsi="宋体" w:eastAsia="方正小标宋简体" w:cs="方正小标宋简体"/>
              <w:bCs/>
              <w:szCs w:val="48"/>
              <w:lang w:val="en-US" w:eastAsia="zh-CN"/>
            </w:rPr>
            <w:fldChar w:fldCharType="separate"/>
          </w:r>
          <w:r>
            <w:rPr>
              <w:rFonts w:hint="eastAsia" w:ascii="宋体" w:hAnsi="宋体" w:eastAsia="方正小标宋简体" w:cs="方正小标宋简体"/>
              <w:szCs w:val="52"/>
              <w:lang w:val="en-US" w:eastAsia="zh-CN"/>
            </w:rPr>
            <w:t xml:space="preserve">第三部分 </w:t>
          </w:r>
          <w:r>
            <w:rPr>
              <w:rFonts w:hint="eastAsia" w:ascii="宋体" w:hAnsi="宋体" w:eastAsia="方正小标宋简体" w:cs="方正小标宋简体"/>
              <w:bCs/>
              <w:szCs w:val="52"/>
              <w:lang w:val="en-US" w:eastAsia="zh-CN"/>
            </w:rPr>
            <w:t>五通桥区委宣传部</w:t>
          </w:r>
          <w:r>
            <w:rPr>
              <w:rFonts w:hint="eastAsia" w:eastAsia="方正小标宋简体" w:cs="方正小标宋简体"/>
              <w:szCs w:val="52"/>
              <w:lang w:val="en-US" w:eastAsia="zh-CN"/>
            </w:rPr>
            <w:t>2026</w:t>
          </w:r>
          <w:r>
            <w:rPr>
              <w:rFonts w:hint="eastAsia" w:ascii="宋体" w:hAnsi="宋体" w:eastAsia="方正小标宋简体" w:cs="方正小标宋简体"/>
              <w:szCs w:val="52"/>
              <w:lang w:val="en-US" w:eastAsia="zh-CN"/>
            </w:rPr>
            <w:t>年</w:t>
          </w:r>
          <w:r>
            <w:tab/>
          </w:r>
          <w:r>
            <w:fldChar w:fldCharType="begin"/>
          </w:r>
          <w:r>
            <w:instrText xml:space="preserve"> PAGEREF _Toc29556 \h </w:instrText>
          </w:r>
          <w:r>
            <w:fldChar w:fldCharType="separate"/>
          </w:r>
          <w:r>
            <w:t>7</w:t>
          </w:r>
          <w:r>
            <w:fldChar w:fldCharType="end"/>
          </w:r>
          <w:r>
            <w:rPr>
              <w:rFonts w:hint="eastAsia" w:ascii="宋体" w:hAnsi="宋体" w:eastAsia="方正小标宋简体" w:cs="方正小标宋简体"/>
              <w:bCs/>
              <w:szCs w:val="48"/>
              <w:lang w:val="en-US" w:eastAsia="zh-CN"/>
            </w:rPr>
            <w:fldChar w:fldCharType="end"/>
          </w:r>
        </w:p>
        <w:p w14:paraId="59CADA9A">
          <w:pPr>
            <w:pStyle w:val="11"/>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_Toc21327 </w:instrText>
          </w:r>
          <w:r>
            <w:rPr>
              <w:rFonts w:hint="eastAsia" w:ascii="宋体" w:hAnsi="宋体" w:eastAsia="方正小标宋简体" w:cs="方正小标宋简体"/>
              <w:bCs/>
              <w:szCs w:val="48"/>
              <w:lang w:val="en-US" w:eastAsia="zh-CN"/>
            </w:rPr>
            <w:fldChar w:fldCharType="separate"/>
          </w:r>
          <w:r>
            <w:rPr>
              <w:rFonts w:hint="eastAsia" w:ascii="宋体" w:hAnsi="宋体" w:eastAsia="方正小标宋简体" w:cs="方正小标宋简体"/>
              <w:szCs w:val="52"/>
              <w:lang w:val="en-US" w:eastAsia="zh-CN"/>
            </w:rPr>
            <w:t>部门预算情况说明</w:t>
          </w:r>
          <w:r>
            <w:tab/>
          </w:r>
          <w:r>
            <w:fldChar w:fldCharType="begin"/>
          </w:r>
          <w:r>
            <w:instrText xml:space="preserve"> PAGEREF _Toc21327 \h </w:instrText>
          </w:r>
          <w:r>
            <w:fldChar w:fldCharType="separate"/>
          </w:r>
          <w:r>
            <w:t>7</w:t>
          </w:r>
          <w:r>
            <w:fldChar w:fldCharType="end"/>
          </w:r>
          <w:r>
            <w:rPr>
              <w:rFonts w:hint="eastAsia" w:ascii="宋体" w:hAnsi="宋体" w:eastAsia="方正小标宋简体" w:cs="方正小标宋简体"/>
              <w:bCs/>
              <w:szCs w:val="48"/>
              <w:lang w:val="en-US" w:eastAsia="zh-CN"/>
            </w:rPr>
            <w:fldChar w:fldCharType="end"/>
          </w:r>
        </w:p>
        <w:p w14:paraId="040F5E20">
          <w:pPr>
            <w:pStyle w:val="11"/>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_Toc15368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一、收支预算情况说明</w:t>
          </w:r>
          <w:r>
            <w:tab/>
          </w:r>
          <w:r>
            <w:fldChar w:fldCharType="begin"/>
          </w:r>
          <w:r>
            <w:instrText xml:space="preserve"> PAGEREF _Toc15368 \h </w:instrText>
          </w:r>
          <w:r>
            <w:fldChar w:fldCharType="separate"/>
          </w:r>
          <w:r>
            <w:t>8</w:t>
          </w:r>
          <w:r>
            <w:fldChar w:fldCharType="end"/>
          </w:r>
          <w:r>
            <w:rPr>
              <w:rFonts w:hint="eastAsia" w:ascii="宋体" w:hAnsi="宋体" w:eastAsia="方正小标宋简体" w:cs="方正小标宋简体"/>
              <w:bCs/>
              <w:szCs w:val="48"/>
              <w:lang w:val="en-US" w:eastAsia="zh-CN"/>
            </w:rPr>
            <w:fldChar w:fldCharType="end"/>
          </w:r>
        </w:p>
        <w:p w14:paraId="276D658A">
          <w:pPr>
            <w:pStyle w:val="7"/>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_Toc4981 </w:instrText>
          </w:r>
          <w:r>
            <w:rPr>
              <w:rFonts w:hint="eastAsia" w:ascii="宋体" w:hAnsi="宋体" w:eastAsia="方正小标宋简体" w:cs="方正小标宋简体"/>
              <w:bCs/>
              <w:szCs w:val="48"/>
              <w:lang w:val="en-US" w:eastAsia="zh-CN"/>
            </w:rPr>
            <w:fldChar w:fldCharType="separate"/>
          </w:r>
          <w:r>
            <w:rPr>
              <w:rFonts w:ascii="宋体" w:hAnsi="宋体"/>
            </w:rPr>
            <w:t>（一）收入预算情况</w:t>
          </w:r>
          <w:r>
            <w:tab/>
          </w:r>
          <w:r>
            <w:fldChar w:fldCharType="begin"/>
          </w:r>
          <w:r>
            <w:instrText xml:space="preserve"> PAGEREF _Toc4981 \h </w:instrText>
          </w:r>
          <w:r>
            <w:fldChar w:fldCharType="separate"/>
          </w:r>
          <w:r>
            <w:t>8</w:t>
          </w:r>
          <w:r>
            <w:fldChar w:fldCharType="end"/>
          </w:r>
          <w:r>
            <w:rPr>
              <w:rFonts w:hint="eastAsia" w:ascii="宋体" w:hAnsi="宋体" w:eastAsia="方正小标宋简体" w:cs="方正小标宋简体"/>
              <w:bCs/>
              <w:szCs w:val="48"/>
              <w:lang w:val="en-US" w:eastAsia="zh-CN"/>
            </w:rPr>
            <w:fldChar w:fldCharType="end"/>
          </w:r>
        </w:p>
        <w:p w14:paraId="6BE2FE4C">
          <w:pPr>
            <w:pStyle w:val="7"/>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_Toc6418 </w:instrText>
          </w:r>
          <w:r>
            <w:rPr>
              <w:rFonts w:hint="eastAsia" w:ascii="宋体" w:hAnsi="宋体" w:eastAsia="方正小标宋简体" w:cs="方正小标宋简体"/>
              <w:bCs/>
              <w:szCs w:val="48"/>
              <w:lang w:val="en-US" w:eastAsia="zh-CN"/>
            </w:rPr>
            <w:fldChar w:fldCharType="separate"/>
          </w:r>
          <w:r>
            <w:rPr>
              <w:rFonts w:ascii="宋体" w:hAnsi="宋体"/>
            </w:rPr>
            <w:t>（二）支出预算情况</w:t>
          </w:r>
          <w:r>
            <w:tab/>
          </w:r>
          <w:r>
            <w:fldChar w:fldCharType="begin"/>
          </w:r>
          <w:r>
            <w:instrText xml:space="preserve"> PAGEREF _Toc6418 \h </w:instrText>
          </w:r>
          <w:r>
            <w:fldChar w:fldCharType="separate"/>
          </w:r>
          <w:r>
            <w:t>8</w:t>
          </w:r>
          <w:r>
            <w:fldChar w:fldCharType="end"/>
          </w:r>
          <w:r>
            <w:rPr>
              <w:rFonts w:hint="eastAsia" w:ascii="宋体" w:hAnsi="宋体" w:eastAsia="方正小标宋简体" w:cs="方正小标宋简体"/>
              <w:bCs/>
              <w:szCs w:val="48"/>
              <w:lang w:val="en-US" w:eastAsia="zh-CN"/>
            </w:rPr>
            <w:fldChar w:fldCharType="end"/>
          </w:r>
        </w:p>
        <w:p w14:paraId="26C74118">
          <w:pPr>
            <w:pStyle w:val="11"/>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_Toc25208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二、财政拨款收支预算情况说明</w:t>
          </w:r>
          <w:r>
            <w:tab/>
          </w:r>
          <w:r>
            <w:fldChar w:fldCharType="begin"/>
          </w:r>
          <w:r>
            <w:instrText xml:space="preserve"> PAGEREF _Toc25208 \h </w:instrText>
          </w:r>
          <w:r>
            <w:fldChar w:fldCharType="separate"/>
          </w:r>
          <w:r>
            <w:t>9</w:t>
          </w:r>
          <w:r>
            <w:fldChar w:fldCharType="end"/>
          </w:r>
          <w:r>
            <w:rPr>
              <w:rFonts w:hint="eastAsia" w:ascii="宋体" w:hAnsi="宋体" w:eastAsia="方正小标宋简体" w:cs="方正小标宋简体"/>
              <w:bCs/>
              <w:szCs w:val="48"/>
              <w:lang w:val="en-US" w:eastAsia="zh-CN"/>
            </w:rPr>
            <w:fldChar w:fldCharType="end"/>
          </w:r>
        </w:p>
        <w:p w14:paraId="005BE9B0">
          <w:pPr>
            <w:pStyle w:val="11"/>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_Toc15813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三、一般公共预算当年拨款情况说明</w:t>
          </w:r>
          <w:r>
            <w:tab/>
          </w:r>
          <w:r>
            <w:fldChar w:fldCharType="begin"/>
          </w:r>
          <w:r>
            <w:instrText xml:space="preserve"> PAGEREF _Toc15813 \h </w:instrText>
          </w:r>
          <w:r>
            <w:fldChar w:fldCharType="separate"/>
          </w:r>
          <w:r>
            <w:t>9</w:t>
          </w:r>
          <w:r>
            <w:fldChar w:fldCharType="end"/>
          </w:r>
          <w:r>
            <w:rPr>
              <w:rFonts w:hint="eastAsia" w:ascii="宋体" w:hAnsi="宋体" w:eastAsia="方正小标宋简体" w:cs="方正小标宋简体"/>
              <w:bCs/>
              <w:szCs w:val="48"/>
              <w:lang w:val="en-US" w:eastAsia="zh-CN"/>
            </w:rPr>
            <w:fldChar w:fldCharType="end"/>
          </w:r>
        </w:p>
        <w:p w14:paraId="2FEE25E9">
          <w:pPr>
            <w:pStyle w:val="7"/>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_Toc30305 </w:instrText>
          </w:r>
          <w:r>
            <w:rPr>
              <w:rFonts w:hint="eastAsia" w:ascii="宋体" w:hAnsi="宋体" w:eastAsia="方正小标宋简体" w:cs="方正小标宋简体"/>
              <w:bCs/>
              <w:szCs w:val="48"/>
              <w:lang w:val="en-US" w:eastAsia="zh-CN"/>
            </w:rPr>
            <w:fldChar w:fldCharType="separate"/>
          </w:r>
          <w:r>
            <w:rPr>
              <w:rFonts w:ascii="宋体" w:hAnsi="宋体"/>
            </w:rPr>
            <w:t>（一）一般公共预算当年拨款规模变化情况</w:t>
          </w:r>
          <w:r>
            <w:tab/>
          </w:r>
          <w:r>
            <w:fldChar w:fldCharType="begin"/>
          </w:r>
          <w:r>
            <w:instrText xml:space="preserve"> PAGEREF _Toc30305 \h </w:instrText>
          </w:r>
          <w:r>
            <w:fldChar w:fldCharType="separate"/>
          </w:r>
          <w:r>
            <w:t>9</w:t>
          </w:r>
          <w:r>
            <w:fldChar w:fldCharType="end"/>
          </w:r>
          <w:r>
            <w:rPr>
              <w:rFonts w:hint="eastAsia" w:ascii="宋体" w:hAnsi="宋体" w:eastAsia="方正小标宋简体" w:cs="方正小标宋简体"/>
              <w:bCs/>
              <w:szCs w:val="48"/>
              <w:lang w:val="en-US" w:eastAsia="zh-CN"/>
            </w:rPr>
            <w:fldChar w:fldCharType="end"/>
          </w:r>
        </w:p>
        <w:p w14:paraId="1A5F5D60">
          <w:pPr>
            <w:pStyle w:val="7"/>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_Toc23662 </w:instrText>
          </w:r>
          <w:r>
            <w:rPr>
              <w:rFonts w:hint="eastAsia" w:ascii="宋体" w:hAnsi="宋体" w:eastAsia="方正小标宋简体" w:cs="方正小标宋简体"/>
              <w:bCs/>
              <w:szCs w:val="48"/>
              <w:lang w:val="en-US" w:eastAsia="zh-CN"/>
            </w:rPr>
            <w:fldChar w:fldCharType="separate"/>
          </w:r>
          <w:r>
            <w:rPr>
              <w:rFonts w:ascii="宋体" w:hAnsi="宋体"/>
            </w:rPr>
            <w:t>（二）一般公共预算当年拨款结构情况</w:t>
          </w:r>
          <w:r>
            <w:tab/>
          </w:r>
          <w:r>
            <w:fldChar w:fldCharType="begin"/>
          </w:r>
          <w:r>
            <w:instrText xml:space="preserve"> PAGEREF _Toc23662 \h </w:instrText>
          </w:r>
          <w:r>
            <w:fldChar w:fldCharType="separate"/>
          </w:r>
          <w:r>
            <w:t>10</w:t>
          </w:r>
          <w:r>
            <w:fldChar w:fldCharType="end"/>
          </w:r>
          <w:r>
            <w:rPr>
              <w:rFonts w:hint="eastAsia" w:ascii="宋体" w:hAnsi="宋体" w:eastAsia="方正小标宋简体" w:cs="方正小标宋简体"/>
              <w:bCs/>
              <w:szCs w:val="48"/>
              <w:lang w:val="en-US" w:eastAsia="zh-CN"/>
            </w:rPr>
            <w:fldChar w:fldCharType="end"/>
          </w:r>
        </w:p>
        <w:p w14:paraId="0DA55A32">
          <w:pPr>
            <w:pStyle w:val="7"/>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_Toc3445 </w:instrText>
          </w:r>
          <w:r>
            <w:rPr>
              <w:rFonts w:hint="eastAsia" w:ascii="宋体" w:hAnsi="宋体" w:eastAsia="方正小标宋简体" w:cs="方正小标宋简体"/>
              <w:bCs/>
              <w:szCs w:val="48"/>
              <w:lang w:val="en-US" w:eastAsia="zh-CN"/>
            </w:rPr>
            <w:fldChar w:fldCharType="separate"/>
          </w:r>
          <w:r>
            <w:rPr>
              <w:rFonts w:ascii="宋体" w:hAnsi="宋体"/>
            </w:rPr>
            <w:t>（三）一般公共预算当年拨款具体使用情况</w:t>
          </w:r>
          <w:r>
            <w:tab/>
          </w:r>
          <w:r>
            <w:fldChar w:fldCharType="begin"/>
          </w:r>
          <w:r>
            <w:instrText xml:space="preserve"> PAGEREF _Toc3445 \h </w:instrText>
          </w:r>
          <w:r>
            <w:fldChar w:fldCharType="separate"/>
          </w:r>
          <w:r>
            <w:t>11</w:t>
          </w:r>
          <w:r>
            <w:fldChar w:fldCharType="end"/>
          </w:r>
          <w:r>
            <w:rPr>
              <w:rFonts w:hint="eastAsia" w:ascii="宋体" w:hAnsi="宋体" w:eastAsia="方正小标宋简体" w:cs="方正小标宋简体"/>
              <w:bCs/>
              <w:szCs w:val="48"/>
              <w:lang w:val="en-US" w:eastAsia="zh-CN"/>
            </w:rPr>
            <w:fldChar w:fldCharType="end"/>
          </w:r>
        </w:p>
        <w:p w14:paraId="5F94DBC5">
          <w:pPr>
            <w:pStyle w:val="11"/>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_Toc29000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四、一般公共预算基本支出情况说明</w:t>
          </w:r>
          <w:r>
            <w:tab/>
          </w:r>
          <w:r>
            <w:fldChar w:fldCharType="begin"/>
          </w:r>
          <w:r>
            <w:instrText xml:space="preserve"> PAGEREF _Toc29000 \h </w:instrText>
          </w:r>
          <w:r>
            <w:fldChar w:fldCharType="separate"/>
          </w:r>
          <w:r>
            <w:t>13</w:t>
          </w:r>
          <w:r>
            <w:fldChar w:fldCharType="end"/>
          </w:r>
          <w:r>
            <w:rPr>
              <w:rFonts w:hint="eastAsia" w:ascii="宋体" w:hAnsi="宋体" w:eastAsia="方正小标宋简体" w:cs="方正小标宋简体"/>
              <w:bCs/>
              <w:szCs w:val="48"/>
              <w:lang w:val="en-US" w:eastAsia="zh-CN"/>
            </w:rPr>
            <w:fldChar w:fldCharType="end"/>
          </w:r>
        </w:p>
        <w:p w14:paraId="70DA7A99">
          <w:pPr>
            <w:pStyle w:val="11"/>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_Toc16327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五、“三公”经费财政拨款预算安排情况说明</w:t>
          </w:r>
          <w:r>
            <w:tab/>
          </w:r>
          <w:r>
            <w:fldChar w:fldCharType="begin"/>
          </w:r>
          <w:r>
            <w:instrText xml:space="preserve"> PAGEREF _Toc16327 \h </w:instrText>
          </w:r>
          <w:r>
            <w:fldChar w:fldCharType="separate"/>
          </w:r>
          <w:r>
            <w:t>14</w:t>
          </w:r>
          <w:r>
            <w:fldChar w:fldCharType="end"/>
          </w:r>
          <w:r>
            <w:rPr>
              <w:rFonts w:hint="eastAsia" w:ascii="宋体" w:hAnsi="宋体" w:eastAsia="方正小标宋简体" w:cs="方正小标宋简体"/>
              <w:bCs/>
              <w:szCs w:val="48"/>
              <w:lang w:val="en-US" w:eastAsia="zh-CN"/>
            </w:rPr>
            <w:fldChar w:fldCharType="end"/>
          </w:r>
        </w:p>
        <w:p w14:paraId="1C27309F">
          <w:pPr>
            <w:pStyle w:val="7"/>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_Toc2643 </w:instrText>
          </w:r>
          <w:r>
            <w:rPr>
              <w:rFonts w:hint="eastAsia" w:ascii="宋体" w:hAnsi="宋体" w:eastAsia="方正小标宋简体" w:cs="方正小标宋简体"/>
              <w:bCs/>
              <w:szCs w:val="48"/>
              <w:lang w:val="en-US" w:eastAsia="zh-CN"/>
            </w:rPr>
            <w:fldChar w:fldCharType="separate"/>
          </w:r>
          <w:r>
            <w:rPr>
              <w:rFonts w:ascii="宋体" w:hAnsi="宋体"/>
            </w:rPr>
            <w:t>（一）</w:t>
          </w:r>
          <w:r>
            <w:rPr>
              <w:rFonts w:hint="eastAsia" w:ascii="宋体" w:hAnsi="宋体"/>
              <w:lang w:val="en-US" w:eastAsia="zh-CN"/>
            </w:rPr>
            <w:t>公务接待费变化情况</w:t>
          </w:r>
          <w:r>
            <w:tab/>
          </w:r>
          <w:r>
            <w:fldChar w:fldCharType="begin"/>
          </w:r>
          <w:r>
            <w:instrText xml:space="preserve"> PAGEREF _Toc2643 \h </w:instrText>
          </w:r>
          <w:r>
            <w:fldChar w:fldCharType="separate"/>
          </w:r>
          <w:r>
            <w:t>14</w:t>
          </w:r>
          <w:r>
            <w:fldChar w:fldCharType="end"/>
          </w:r>
          <w:r>
            <w:rPr>
              <w:rFonts w:hint="eastAsia" w:ascii="宋体" w:hAnsi="宋体" w:eastAsia="方正小标宋简体" w:cs="方正小标宋简体"/>
              <w:bCs/>
              <w:szCs w:val="48"/>
              <w:lang w:val="en-US" w:eastAsia="zh-CN"/>
            </w:rPr>
            <w:fldChar w:fldCharType="end"/>
          </w:r>
        </w:p>
        <w:p w14:paraId="362BE4F0">
          <w:pPr>
            <w:pStyle w:val="7"/>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_Toc23753 </w:instrText>
          </w:r>
          <w:r>
            <w:rPr>
              <w:rFonts w:hint="eastAsia" w:ascii="宋体" w:hAnsi="宋体" w:eastAsia="方正小标宋简体" w:cs="方正小标宋简体"/>
              <w:bCs/>
              <w:szCs w:val="48"/>
              <w:lang w:val="en-US" w:eastAsia="zh-CN"/>
            </w:rPr>
            <w:fldChar w:fldCharType="separate"/>
          </w:r>
          <w:r>
            <w:rPr>
              <w:rFonts w:ascii="宋体" w:hAnsi="宋体"/>
            </w:rPr>
            <w:t>（</w:t>
          </w:r>
          <w:r>
            <w:rPr>
              <w:rFonts w:hint="eastAsia" w:ascii="宋体" w:hAnsi="宋体"/>
              <w:lang w:val="en-US" w:eastAsia="zh-CN"/>
            </w:rPr>
            <w:t>二</w:t>
          </w:r>
          <w:r>
            <w:rPr>
              <w:rFonts w:ascii="宋体" w:hAnsi="宋体"/>
            </w:rPr>
            <w:t>）</w:t>
          </w:r>
          <w:r>
            <w:rPr>
              <w:rFonts w:hint="eastAsia" w:ascii="宋体" w:hAnsi="宋体"/>
              <w:lang w:val="en-US" w:eastAsia="zh-CN"/>
            </w:rPr>
            <w:t>公务用车购置及运行维护费变化情况</w:t>
          </w:r>
          <w:r>
            <w:tab/>
          </w:r>
          <w:r>
            <w:fldChar w:fldCharType="begin"/>
          </w:r>
          <w:r>
            <w:instrText xml:space="preserve"> PAGEREF _Toc23753 \h </w:instrText>
          </w:r>
          <w:r>
            <w:fldChar w:fldCharType="separate"/>
          </w:r>
          <w:r>
            <w:t>14</w:t>
          </w:r>
          <w:r>
            <w:fldChar w:fldCharType="end"/>
          </w:r>
          <w:r>
            <w:rPr>
              <w:rFonts w:hint="eastAsia" w:ascii="宋体" w:hAnsi="宋体" w:eastAsia="方正小标宋简体" w:cs="方正小标宋简体"/>
              <w:bCs/>
              <w:szCs w:val="48"/>
              <w:lang w:val="en-US" w:eastAsia="zh-CN"/>
            </w:rPr>
            <w:fldChar w:fldCharType="end"/>
          </w:r>
        </w:p>
        <w:p w14:paraId="2C6DB867">
          <w:pPr>
            <w:pStyle w:val="11"/>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_Toc4745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六、政府性基金预算支出情况说明</w:t>
          </w:r>
          <w:r>
            <w:tab/>
          </w:r>
          <w:r>
            <w:fldChar w:fldCharType="begin"/>
          </w:r>
          <w:r>
            <w:instrText xml:space="preserve"> PAGEREF _Toc4745 \h </w:instrText>
          </w:r>
          <w:r>
            <w:fldChar w:fldCharType="separate"/>
          </w:r>
          <w:r>
            <w:t>15</w:t>
          </w:r>
          <w:r>
            <w:fldChar w:fldCharType="end"/>
          </w:r>
          <w:r>
            <w:rPr>
              <w:rFonts w:hint="eastAsia" w:ascii="宋体" w:hAnsi="宋体" w:eastAsia="方正小标宋简体" w:cs="方正小标宋简体"/>
              <w:bCs/>
              <w:szCs w:val="48"/>
              <w:lang w:val="en-US" w:eastAsia="zh-CN"/>
            </w:rPr>
            <w:fldChar w:fldCharType="end"/>
          </w:r>
        </w:p>
        <w:p w14:paraId="57AB81DA">
          <w:pPr>
            <w:pStyle w:val="11"/>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_Toc24466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lang w:val="en-US" w:eastAsia="zh-CN"/>
            </w:rPr>
            <w:t>七、</w:t>
          </w:r>
          <w:r>
            <w:rPr>
              <w:rFonts w:hint="eastAsia" w:ascii="宋体" w:hAnsi="宋体" w:eastAsia="黑体"/>
            </w:rPr>
            <w:t>国有资本经营预算情况说明</w:t>
          </w:r>
          <w:r>
            <w:tab/>
          </w:r>
          <w:r>
            <w:fldChar w:fldCharType="begin"/>
          </w:r>
          <w:r>
            <w:instrText xml:space="preserve"> PAGEREF _Toc24466 \h </w:instrText>
          </w:r>
          <w:r>
            <w:fldChar w:fldCharType="separate"/>
          </w:r>
          <w:r>
            <w:t>15</w:t>
          </w:r>
          <w:r>
            <w:fldChar w:fldCharType="end"/>
          </w:r>
          <w:r>
            <w:rPr>
              <w:rFonts w:hint="eastAsia" w:ascii="宋体" w:hAnsi="宋体" w:eastAsia="方正小标宋简体" w:cs="方正小标宋简体"/>
              <w:bCs/>
              <w:szCs w:val="48"/>
              <w:lang w:val="en-US" w:eastAsia="zh-CN"/>
            </w:rPr>
            <w:fldChar w:fldCharType="end"/>
          </w:r>
        </w:p>
        <w:p w14:paraId="673FA53C">
          <w:pPr>
            <w:pStyle w:val="11"/>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_Toc3207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lang w:val="en-US" w:eastAsia="zh-CN"/>
            </w:rPr>
            <w:t>八、其他重要事项的情况说明</w:t>
          </w:r>
          <w:r>
            <w:tab/>
          </w:r>
          <w:r>
            <w:fldChar w:fldCharType="begin"/>
          </w:r>
          <w:r>
            <w:instrText xml:space="preserve"> PAGEREF _Toc3207 \h </w:instrText>
          </w:r>
          <w:r>
            <w:fldChar w:fldCharType="separate"/>
          </w:r>
          <w:r>
            <w:t>15</w:t>
          </w:r>
          <w:r>
            <w:fldChar w:fldCharType="end"/>
          </w:r>
          <w:r>
            <w:rPr>
              <w:rFonts w:hint="eastAsia" w:ascii="宋体" w:hAnsi="宋体" w:eastAsia="方正小标宋简体" w:cs="方正小标宋简体"/>
              <w:bCs/>
              <w:szCs w:val="48"/>
              <w:lang w:val="en-US" w:eastAsia="zh-CN"/>
            </w:rPr>
            <w:fldChar w:fldCharType="end"/>
          </w:r>
        </w:p>
        <w:p w14:paraId="423F2B60">
          <w:pPr>
            <w:pStyle w:val="7"/>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_Toc27819 </w:instrText>
          </w:r>
          <w:r>
            <w:rPr>
              <w:rFonts w:hint="eastAsia" w:ascii="宋体" w:hAnsi="宋体" w:eastAsia="方正小标宋简体" w:cs="方正小标宋简体"/>
              <w:bCs/>
              <w:szCs w:val="48"/>
              <w:lang w:val="en-US" w:eastAsia="zh-CN"/>
            </w:rPr>
            <w:fldChar w:fldCharType="separate"/>
          </w:r>
          <w:r>
            <w:rPr>
              <w:rFonts w:ascii="宋体" w:hAnsi="宋体"/>
            </w:rPr>
            <w:t>（一）机关运行经费情况</w:t>
          </w:r>
          <w:r>
            <w:tab/>
          </w:r>
          <w:r>
            <w:fldChar w:fldCharType="begin"/>
          </w:r>
          <w:r>
            <w:instrText xml:space="preserve"> PAGEREF _Toc27819 \h </w:instrText>
          </w:r>
          <w:r>
            <w:fldChar w:fldCharType="separate"/>
          </w:r>
          <w:r>
            <w:t>15</w:t>
          </w:r>
          <w:r>
            <w:fldChar w:fldCharType="end"/>
          </w:r>
          <w:r>
            <w:rPr>
              <w:rFonts w:hint="eastAsia" w:ascii="宋体" w:hAnsi="宋体" w:eastAsia="方正小标宋简体" w:cs="方正小标宋简体"/>
              <w:bCs/>
              <w:szCs w:val="48"/>
              <w:lang w:val="en-US" w:eastAsia="zh-CN"/>
            </w:rPr>
            <w:fldChar w:fldCharType="end"/>
          </w:r>
        </w:p>
        <w:p w14:paraId="16E5007A">
          <w:pPr>
            <w:pStyle w:val="7"/>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_Toc28069 </w:instrText>
          </w:r>
          <w:r>
            <w:rPr>
              <w:rFonts w:hint="eastAsia" w:ascii="宋体" w:hAnsi="宋体" w:eastAsia="方正小标宋简体" w:cs="方正小标宋简体"/>
              <w:bCs/>
              <w:szCs w:val="48"/>
              <w:lang w:val="en-US" w:eastAsia="zh-CN"/>
            </w:rPr>
            <w:fldChar w:fldCharType="separate"/>
          </w:r>
          <w:r>
            <w:rPr>
              <w:rFonts w:ascii="宋体" w:hAnsi="宋体"/>
            </w:rPr>
            <w:t>（二）政府采购情况</w:t>
          </w:r>
          <w:r>
            <w:tab/>
          </w:r>
          <w:r>
            <w:fldChar w:fldCharType="begin"/>
          </w:r>
          <w:r>
            <w:instrText xml:space="preserve"> PAGEREF _Toc28069 \h </w:instrText>
          </w:r>
          <w:r>
            <w:fldChar w:fldCharType="separate"/>
          </w:r>
          <w:r>
            <w:t>15</w:t>
          </w:r>
          <w:r>
            <w:fldChar w:fldCharType="end"/>
          </w:r>
          <w:r>
            <w:rPr>
              <w:rFonts w:hint="eastAsia" w:ascii="宋体" w:hAnsi="宋体" w:eastAsia="方正小标宋简体" w:cs="方正小标宋简体"/>
              <w:bCs/>
              <w:szCs w:val="48"/>
              <w:lang w:val="en-US" w:eastAsia="zh-CN"/>
            </w:rPr>
            <w:fldChar w:fldCharType="end"/>
          </w:r>
        </w:p>
        <w:p w14:paraId="3A26105C">
          <w:pPr>
            <w:pStyle w:val="7"/>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_Toc17201 </w:instrText>
          </w:r>
          <w:r>
            <w:rPr>
              <w:rFonts w:hint="eastAsia" w:ascii="宋体" w:hAnsi="宋体" w:eastAsia="方正小标宋简体" w:cs="方正小标宋简体"/>
              <w:bCs/>
              <w:szCs w:val="48"/>
              <w:lang w:val="en-US" w:eastAsia="zh-CN"/>
            </w:rPr>
            <w:fldChar w:fldCharType="separate"/>
          </w:r>
          <w:r>
            <w:rPr>
              <w:rFonts w:ascii="宋体" w:hAnsi="宋体"/>
            </w:rPr>
            <w:t>（三）国有资产占有使用情况</w:t>
          </w:r>
          <w:r>
            <w:tab/>
          </w:r>
          <w:r>
            <w:fldChar w:fldCharType="begin"/>
          </w:r>
          <w:r>
            <w:instrText xml:space="preserve"> PAGEREF _Toc17201 \h </w:instrText>
          </w:r>
          <w:r>
            <w:fldChar w:fldCharType="separate"/>
          </w:r>
          <w:r>
            <w:t>15</w:t>
          </w:r>
          <w:r>
            <w:fldChar w:fldCharType="end"/>
          </w:r>
          <w:r>
            <w:rPr>
              <w:rFonts w:hint="eastAsia" w:ascii="宋体" w:hAnsi="宋体" w:eastAsia="方正小标宋简体" w:cs="方正小标宋简体"/>
              <w:bCs/>
              <w:szCs w:val="48"/>
              <w:lang w:val="en-US" w:eastAsia="zh-CN"/>
            </w:rPr>
            <w:fldChar w:fldCharType="end"/>
          </w:r>
        </w:p>
        <w:p w14:paraId="3A0D4154">
          <w:pPr>
            <w:pStyle w:val="7"/>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_Toc17169 </w:instrText>
          </w:r>
          <w:r>
            <w:rPr>
              <w:rFonts w:hint="eastAsia" w:ascii="宋体" w:hAnsi="宋体" w:eastAsia="方正小标宋简体" w:cs="方正小标宋简体"/>
              <w:bCs/>
              <w:szCs w:val="48"/>
              <w:lang w:val="en-US" w:eastAsia="zh-CN"/>
            </w:rPr>
            <w:fldChar w:fldCharType="separate"/>
          </w:r>
          <w:r>
            <w:rPr>
              <w:rFonts w:hint="eastAsia" w:ascii="宋体" w:hAnsi="宋体"/>
              <w:lang w:eastAsia="zh-CN"/>
            </w:rPr>
            <w:t>（</w:t>
          </w:r>
          <w:r>
            <w:rPr>
              <w:rFonts w:hint="eastAsia" w:ascii="宋体" w:hAnsi="宋体"/>
              <w:lang w:val="en-US" w:eastAsia="zh-CN"/>
            </w:rPr>
            <w:t>四</w:t>
          </w:r>
          <w:r>
            <w:rPr>
              <w:rFonts w:hint="eastAsia" w:ascii="宋体" w:hAnsi="宋体"/>
              <w:lang w:eastAsia="zh-CN"/>
            </w:rPr>
            <w:t>）</w:t>
          </w:r>
          <w:r>
            <w:rPr>
              <w:rFonts w:ascii="宋体" w:hAnsi="宋体"/>
            </w:rPr>
            <w:t>预算绩效情况</w:t>
          </w:r>
          <w:r>
            <w:tab/>
          </w:r>
          <w:r>
            <w:fldChar w:fldCharType="begin"/>
          </w:r>
          <w:r>
            <w:instrText xml:space="preserve"> PAGEREF _Toc17169 \h </w:instrText>
          </w:r>
          <w:r>
            <w:fldChar w:fldCharType="separate"/>
          </w:r>
          <w:r>
            <w:t>16</w:t>
          </w:r>
          <w:r>
            <w:fldChar w:fldCharType="end"/>
          </w:r>
          <w:r>
            <w:rPr>
              <w:rFonts w:hint="eastAsia" w:ascii="宋体" w:hAnsi="宋体" w:eastAsia="方正小标宋简体" w:cs="方正小标宋简体"/>
              <w:bCs/>
              <w:szCs w:val="48"/>
              <w:lang w:val="en-US" w:eastAsia="zh-CN"/>
            </w:rPr>
            <w:fldChar w:fldCharType="end"/>
          </w:r>
        </w:p>
        <w:p w14:paraId="3ABA4D6A">
          <w:pPr>
            <w:pStyle w:val="10"/>
            <w:tabs>
              <w:tab w:val="right" w:leader="dot" w:pos="9812"/>
            </w:tabs>
            <w:ind w:firstLine="440" w:firstLineChars="200"/>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_Toc25626 </w:instrText>
          </w:r>
          <w:r>
            <w:rPr>
              <w:rFonts w:hint="eastAsia" w:ascii="宋体" w:hAnsi="宋体" w:eastAsia="方正小标宋简体" w:cs="方正小标宋简体"/>
              <w:bCs/>
              <w:szCs w:val="48"/>
              <w:lang w:val="en-US" w:eastAsia="zh-CN"/>
            </w:rPr>
            <w:fldChar w:fldCharType="separate"/>
          </w:r>
          <w:r>
            <w:rPr>
              <w:rFonts w:hint="eastAsia" w:ascii="宋体" w:hAnsi="宋体" w:eastAsia="方正小标宋简体" w:cs="方正小标宋简体"/>
              <w:szCs w:val="52"/>
              <w:lang w:val="en-US" w:eastAsia="zh-CN"/>
            </w:rPr>
            <w:t>第四部分  名词解释</w:t>
          </w:r>
          <w:r>
            <w:tab/>
          </w:r>
          <w:r>
            <w:fldChar w:fldCharType="begin"/>
          </w:r>
          <w:r>
            <w:instrText xml:space="preserve"> PAGEREF _Toc25626 \h </w:instrText>
          </w:r>
          <w:r>
            <w:fldChar w:fldCharType="separate"/>
          </w:r>
          <w:r>
            <w:t>17</w:t>
          </w:r>
          <w:r>
            <w:fldChar w:fldCharType="end"/>
          </w:r>
          <w:r>
            <w:rPr>
              <w:rFonts w:hint="eastAsia" w:ascii="宋体" w:hAnsi="宋体" w:eastAsia="方正小标宋简体" w:cs="方正小标宋简体"/>
              <w:bCs/>
              <w:szCs w:val="48"/>
              <w:lang w:val="en-US" w:eastAsia="zh-CN"/>
            </w:rPr>
            <w:fldChar w:fldCharType="end"/>
          </w:r>
        </w:p>
        <w:p w14:paraId="6F2621C3">
          <w:pPr>
            <w:pStyle w:val="4"/>
            <w:tabs>
              <w:tab w:val="left" w:pos="4798"/>
            </w:tabs>
            <w:jc w:val="both"/>
            <w:rPr>
              <w:rFonts w:hint="eastAsia" w:ascii="宋体" w:hAnsi="宋体" w:eastAsia="方正小标宋简体" w:cs="方正小标宋简体"/>
              <w:b/>
              <w:bCs/>
              <w:sz w:val="48"/>
              <w:szCs w:val="48"/>
              <w:lang w:val="en-US" w:eastAsia="zh-CN"/>
            </w:rPr>
          </w:pPr>
          <w:r>
            <w:rPr>
              <w:rFonts w:hint="eastAsia" w:ascii="宋体" w:hAnsi="宋体" w:eastAsia="方正小标宋简体" w:cs="方正小标宋简体"/>
              <w:bCs/>
              <w:szCs w:val="48"/>
              <w:lang w:val="en-US" w:eastAsia="zh-CN"/>
            </w:rPr>
            <w:fldChar w:fldCharType="end"/>
          </w:r>
        </w:p>
      </w:sdtContent>
    </w:sdt>
    <w:p w14:paraId="15458952">
      <w:pPr>
        <w:pStyle w:val="4"/>
        <w:rPr>
          <w:rFonts w:ascii="宋体" w:hAnsi="宋体"/>
          <w:sz w:val="20"/>
        </w:rPr>
        <w:sectPr>
          <w:headerReference r:id="rId5" w:type="default"/>
          <w:footerReference r:id="rId6" w:type="default"/>
          <w:pgSz w:w="11910" w:h="16840"/>
          <w:pgMar w:top="1587" w:right="964" w:bottom="1701" w:left="1134" w:header="737" w:footer="737" w:gutter="0"/>
          <w:pgNumType w:fmt="decimal" w:start="1"/>
          <w:cols w:space="0" w:num="1"/>
          <w:rtlGutter w:val="0"/>
          <w:docGrid w:linePitch="0" w:charSpace="0"/>
        </w:sectPr>
      </w:pPr>
    </w:p>
    <w:p w14:paraId="1ECF8EA0">
      <w:pPr>
        <w:pStyle w:val="4"/>
        <w:rPr>
          <w:rFonts w:ascii="宋体" w:hAnsi="宋体"/>
          <w:sz w:val="20"/>
        </w:rPr>
      </w:pPr>
    </w:p>
    <w:p w14:paraId="353453DA">
      <w:pPr>
        <w:pStyle w:val="4"/>
        <w:rPr>
          <w:rFonts w:ascii="宋体" w:hAnsi="宋体"/>
          <w:sz w:val="20"/>
        </w:rPr>
      </w:pPr>
    </w:p>
    <w:p w14:paraId="4129672E">
      <w:pPr>
        <w:pStyle w:val="4"/>
        <w:rPr>
          <w:rFonts w:ascii="宋体" w:hAnsi="宋体"/>
          <w:sz w:val="20"/>
        </w:rPr>
      </w:pPr>
    </w:p>
    <w:p w14:paraId="5F4E98D8">
      <w:pPr>
        <w:pStyle w:val="4"/>
        <w:rPr>
          <w:rFonts w:ascii="宋体" w:hAnsi="宋体"/>
          <w:sz w:val="20"/>
        </w:rPr>
      </w:pPr>
    </w:p>
    <w:p w14:paraId="1C868FAF">
      <w:pPr>
        <w:pStyle w:val="4"/>
        <w:rPr>
          <w:rFonts w:ascii="宋体" w:hAnsi="宋体"/>
          <w:sz w:val="20"/>
        </w:rPr>
      </w:pPr>
    </w:p>
    <w:p w14:paraId="4E957EE2">
      <w:pPr>
        <w:pStyle w:val="4"/>
        <w:rPr>
          <w:rFonts w:ascii="宋体" w:hAnsi="宋体"/>
          <w:sz w:val="20"/>
        </w:rPr>
      </w:pPr>
    </w:p>
    <w:p w14:paraId="168AEF9E">
      <w:pPr>
        <w:pStyle w:val="4"/>
        <w:rPr>
          <w:rFonts w:ascii="宋体" w:hAnsi="宋体"/>
          <w:sz w:val="20"/>
        </w:rPr>
      </w:pPr>
    </w:p>
    <w:p w14:paraId="5CBD909D">
      <w:pPr>
        <w:pStyle w:val="4"/>
        <w:rPr>
          <w:rFonts w:ascii="宋体" w:hAnsi="宋体"/>
          <w:sz w:val="20"/>
        </w:rPr>
      </w:pPr>
    </w:p>
    <w:p w14:paraId="58A808F6">
      <w:pPr>
        <w:pStyle w:val="4"/>
        <w:rPr>
          <w:rFonts w:ascii="宋体" w:hAnsi="宋体"/>
          <w:sz w:val="20"/>
        </w:rPr>
      </w:pPr>
    </w:p>
    <w:p w14:paraId="465A4297">
      <w:pPr>
        <w:pStyle w:val="4"/>
        <w:rPr>
          <w:rFonts w:ascii="宋体" w:hAnsi="宋体"/>
          <w:sz w:val="20"/>
        </w:rPr>
      </w:pPr>
    </w:p>
    <w:p w14:paraId="6813D945">
      <w:pPr>
        <w:pStyle w:val="4"/>
        <w:rPr>
          <w:rFonts w:ascii="宋体" w:hAnsi="宋体"/>
          <w:sz w:val="20"/>
        </w:rPr>
      </w:pPr>
    </w:p>
    <w:p w14:paraId="4AEEB979">
      <w:pPr>
        <w:pStyle w:val="4"/>
        <w:rPr>
          <w:rFonts w:ascii="宋体" w:hAnsi="宋体"/>
          <w:sz w:val="20"/>
        </w:rPr>
      </w:pPr>
    </w:p>
    <w:p w14:paraId="6AD1B719">
      <w:pPr>
        <w:pStyle w:val="4"/>
        <w:rPr>
          <w:rFonts w:ascii="宋体" w:hAnsi="宋体"/>
          <w:sz w:val="20"/>
        </w:rPr>
      </w:pPr>
    </w:p>
    <w:p w14:paraId="087E1E54">
      <w:pPr>
        <w:pStyle w:val="4"/>
        <w:rPr>
          <w:rFonts w:ascii="宋体" w:hAnsi="宋体"/>
          <w:sz w:val="20"/>
        </w:rPr>
      </w:pPr>
    </w:p>
    <w:p w14:paraId="2299E80B">
      <w:pPr>
        <w:pStyle w:val="4"/>
        <w:rPr>
          <w:rFonts w:ascii="宋体" w:hAnsi="宋体"/>
          <w:sz w:val="20"/>
        </w:rPr>
      </w:pPr>
    </w:p>
    <w:p w14:paraId="680329FA">
      <w:pPr>
        <w:pStyle w:val="4"/>
        <w:rPr>
          <w:rFonts w:ascii="宋体" w:hAnsi="宋体"/>
          <w:sz w:val="20"/>
        </w:rPr>
      </w:pPr>
    </w:p>
    <w:p w14:paraId="19B14289">
      <w:pPr>
        <w:pStyle w:val="4"/>
        <w:rPr>
          <w:rFonts w:ascii="宋体" w:hAnsi="宋体"/>
          <w:sz w:val="20"/>
        </w:rPr>
      </w:pPr>
    </w:p>
    <w:p w14:paraId="250F45DB">
      <w:pPr>
        <w:pStyle w:val="4"/>
        <w:rPr>
          <w:rFonts w:ascii="宋体" w:hAnsi="宋体"/>
          <w:sz w:val="20"/>
        </w:rPr>
      </w:pPr>
    </w:p>
    <w:p w14:paraId="43854B6E">
      <w:pPr>
        <w:pStyle w:val="4"/>
        <w:rPr>
          <w:rFonts w:ascii="宋体" w:hAnsi="宋体"/>
          <w:sz w:val="20"/>
        </w:rPr>
      </w:pPr>
    </w:p>
    <w:p w14:paraId="13251981">
      <w:pPr>
        <w:pStyle w:val="4"/>
        <w:rPr>
          <w:rFonts w:ascii="宋体" w:hAnsi="宋体"/>
          <w:sz w:val="20"/>
        </w:rPr>
      </w:pPr>
    </w:p>
    <w:p w14:paraId="51DE1852">
      <w:pPr>
        <w:pStyle w:val="4"/>
        <w:spacing w:before="3"/>
        <w:rPr>
          <w:rFonts w:ascii="宋体" w:hAnsi="宋体"/>
          <w:sz w:val="28"/>
        </w:rPr>
      </w:pPr>
    </w:p>
    <w:p w14:paraId="3663E1B7">
      <w:pPr>
        <w:pStyle w:val="4"/>
        <w:numPr>
          <w:ilvl w:val="0"/>
          <w:numId w:val="1"/>
        </w:numPr>
        <w:jc w:val="center"/>
        <w:outlineLvl w:val="0"/>
        <w:rPr>
          <w:rFonts w:hint="eastAsia" w:ascii="宋体" w:hAnsi="宋体" w:eastAsia="方正小标宋简体" w:cs="方正小标宋简体"/>
          <w:b/>
          <w:bCs/>
          <w:sz w:val="52"/>
          <w:szCs w:val="52"/>
          <w:lang w:val="en-US" w:eastAsia="zh-CN"/>
        </w:rPr>
      </w:pPr>
      <w:bookmarkStart w:id="0" w:name="_Toc4767"/>
      <w:r>
        <w:rPr>
          <w:rFonts w:hint="eastAsia" w:ascii="宋体" w:hAnsi="宋体" w:eastAsia="方正小标宋简体" w:cs="方正小标宋简体"/>
          <w:b/>
          <w:bCs/>
          <w:sz w:val="52"/>
          <w:szCs w:val="52"/>
          <w:lang w:val="en-US" w:eastAsia="zh-CN"/>
        </w:rPr>
        <w:t>部门概况</w:t>
      </w:r>
      <w:bookmarkEnd w:id="0"/>
    </w:p>
    <w:p w14:paraId="05237FB5">
      <w:pPr>
        <w:pStyle w:val="4"/>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333333"/>
        </w:rPr>
      </w:pPr>
    </w:p>
    <w:p w14:paraId="7B7E292E">
      <w:pPr>
        <w:pStyle w:val="4"/>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333333"/>
        </w:rPr>
      </w:pPr>
    </w:p>
    <w:p w14:paraId="340ECE6F">
      <w:pPr>
        <w:pStyle w:val="4"/>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333333"/>
        </w:rPr>
        <w:sectPr>
          <w:footerReference r:id="rId7" w:type="default"/>
          <w:pgSz w:w="11910" w:h="16840"/>
          <w:pgMar w:top="1587" w:right="964" w:bottom="1701" w:left="1134" w:header="737" w:footer="737" w:gutter="0"/>
          <w:pgNumType w:fmt="decimal" w:start="1"/>
          <w:cols w:space="0" w:num="1"/>
          <w:rtlGutter w:val="0"/>
          <w:docGrid w:linePitch="0" w:charSpace="0"/>
        </w:sectPr>
      </w:pPr>
    </w:p>
    <w:p w14:paraId="75F0F2CB">
      <w:pPr>
        <w:pStyle w:val="4"/>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outlineLvl w:val="1"/>
        <w:rPr>
          <w:rFonts w:hint="eastAsia" w:ascii="宋体" w:hAnsi="宋体" w:eastAsia="黑体"/>
          <w:color w:val="333333"/>
        </w:rPr>
      </w:pPr>
      <w:bookmarkStart w:id="1" w:name="_Toc21544"/>
      <w:r>
        <w:rPr>
          <w:rFonts w:hint="eastAsia" w:ascii="宋体" w:hAnsi="宋体" w:eastAsia="黑体"/>
          <w:color w:val="333333"/>
        </w:rPr>
        <w:t>一、基本职能及主要工作</w:t>
      </w:r>
      <w:bookmarkEnd w:id="1"/>
    </w:p>
    <w:p w14:paraId="35F99686">
      <w:pPr>
        <w:pStyle w:val="6"/>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hint="eastAsia" w:ascii="宋体" w:hAnsi="宋体" w:eastAsia="楷体"/>
          <w:lang w:eastAsia="zh-CN"/>
        </w:rPr>
      </w:pPr>
      <w:bookmarkStart w:id="2" w:name="_Toc20368"/>
      <w:r>
        <w:rPr>
          <w:rFonts w:ascii="宋体" w:hAnsi="宋体"/>
        </w:rPr>
        <w:t>（一）部门职能简介</w:t>
      </w:r>
      <w:bookmarkEnd w:id="2"/>
    </w:p>
    <w:p w14:paraId="768478A9">
      <w:pPr>
        <w:pStyle w:val="21"/>
        <w:ind w:left="638" w:leftChars="290" w:firstLine="640" w:firstLineChars="200"/>
        <w:rPr>
          <w:rFonts w:hint="eastAsia"/>
          <w:highlight w:val="none"/>
        </w:rPr>
      </w:pPr>
      <w:r>
        <w:rPr>
          <w:rFonts w:hint="eastAsia"/>
          <w:highlight w:val="none"/>
        </w:rPr>
        <w:t>基本职能：</w:t>
      </w:r>
      <w:r>
        <w:rPr>
          <w:rFonts w:hint="eastAsia" w:hAnsi="仿宋"/>
          <w:bCs/>
          <w:highlight w:val="none"/>
        </w:rPr>
        <w:t>拟定全区宣传思想文化工作重大政策和事业产业发展总体规划；统筹协调全区党的意识形态工作；统筹指导协调全区理论研究、理论学习、理论宣传工作，指导推动哲学社会科学工作；统筹组织协调精神文明建设工作，协调推动精神文明创建、公民思想道德建设和志愿服务工作；指导全区群众文化建设；指导协调区级新闻单位工作，负责组织协调重大新闻宣传活动和重大突发公共事件应急新闻工作；统筹协调对外宣传工作；统筹协调全区网络安全和信息化工作；统筹协调新媒体的建设与管理；统筹指导舆情信息工作；统筹组织开展新闻发布工作；对新闻出版、文化艺术、广播电视、电影、体育和旅游业改革发展研究提出政策性建议，统筹指导推进文化体制改革和文化事业、文化产业及旅游业发展，统筹区属国有文化资产监管工作；管理新闻出版行政事务；组织指导协调“扫黄打非”工作；管理电影行政事务，指导监管电影放映工作；负责完成市委宣传部、区委交办的其他任务。</w:t>
      </w:r>
    </w:p>
    <w:p w14:paraId="59B5C21F">
      <w:pPr>
        <w:pStyle w:val="6"/>
        <w:keepNext w:val="0"/>
        <w:keepLines w:val="0"/>
        <w:pageBreakBefore w:val="0"/>
        <w:widowControl w:val="0"/>
        <w:kinsoku/>
        <w:wordWrap/>
        <w:overflowPunct/>
        <w:topLinePunct w:val="0"/>
        <w:autoSpaceDE w:val="0"/>
        <w:autoSpaceDN w:val="0"/>
        <w:bidi w:val="0"/>
        <w:adjustRightInd/>
        <w:snapToGrid/>
        <w:spacing w:before="190"/>
        <w:ind w:left="0" w:leftChars="0" w:firstLine="964" w:firstLineChars="300"/>
        <w:textAlignment w:val="auto"/>
        <w:rPr>
          <w:rFonts w:hint="eastAsia" w:ascii="宋体" w:hAnsi="宋体"/>
          <w:highlight w:val="none"/>
        </w:rPr>
      </w:pPr>
      <w:bookmarkStart w:id="3" w:name="_Toc837"/>
      <w:r>
        <w:rPr>
          <w:rFonts w:ascii="宋体" w:hAnsi="宋体"/>
          <w:highlight w:val="none"/>
        </w:rPr>
        <w:t>（二）部门</w:t>
      </w:r>
      <w:r>
        <w:rPr>
          <w:rFonts w:hint="eastAsia" w:ascii="宋体" w:hAnsi="宋体"/>
          <w:highlight w:val="none"/>
          <w:lang w:val="en-US" w:eastAsia="zh-CN"/>
        </w:rPr>
        <w:t>2026</w:t>
      </w:r>
      <w:r>
        <w:rPr>
          <w:rFonts w:ascii="宋体" w:hAnsi="宋体"/>
          <w:highlight w:val="none"/>
        </w:rPr>
        <w:t>年重点工</w:t>
      </w:r>
      <w:r>
        <w:rPr>
          <w:rFonts w:hint="eastAsia" w:ascii="宋体" w:hAnsi="宋体"/>
          <w:highlight w:val="none"/>
        </w:rPr>
        <w:t>作</w:t>
      </w:r>
      <w:bookmarkEnd w:id="3"/>
      <w:bookmarkStart w:id="4" w:name="_Toc1164"/>
    </w:p>
    <w:p w14:paraId="5DD1CA98">
      <w:pPr>
        <w:pStyle w:val="6"/>
        <w:keepNext w:val="0"/>
        <w:keepLines w:val="0"/>
        <w:pageBreakBefore w:val="0"/>
        <w:widowControl w:val="0"/>
        <w:kinsoku/>
        <w:wordWrap/>
        <w:overflowPunct/>
        <w:topLinePunct w:val="0"/>
        <w:autoSpaceDE w:val="0"/>
        <w:autoSpaceDN w:val="0"/>
        <w:bidi w:val="0"/>
        <w:adjustRightInd/>
        <w:snapToGrid/>
        <w:spacing w:before="190" w:line="600" w:lineRule="exact"/>
        <w:ind w:left="660" w:leftChars="300" w:firstLine="659" w:firstLineChars="206"/>
        <w:textAlignment w:val="auto"/>
        <w:rPr>
          <w:rFonts w:hint="eastAsia" w:ascii="仿宋_GB2312" w:hAnsi="仿宋" w:eastAsia="仿宋_GB2312" w:cs="宋体"/>
          <w:b w:val="0"/>
          <w:bCs/>
          <w:sz w:val="32"/>
          <w:szCs w:val="32"/>
          <w:highlight w:val="none"/>
          <w:lang w:val="en-US" w:eastAsia="zh-CN" w:bidi="zh-CN"/>
        </w:rPr>
      </w:pPr>
      <w:r>
        <w:rPr>
          <w:rFonts w:hint="eastAsia" w:ascii="仿宋_GB2312" w:hAnsi="仿宋" w:eastAsia="仿宋_GB2312" w:cs="宋体"/>
          <w:b w:val="0"/>
          <w:bCs/>
          <w:sz w:val="32"/>
          <w:szCs w:val="32"/>
          <w:highlight w:val="none"/>
          <w:lang w:val="en-US" w:eastAsia="zh-CN" w:bidi="zh-CN"/>
        </w:rPr>
        <w:t>2026年，区委宣传部将紧扣“谋实事、务实干、创实绩”作风建设专项行动，主动扛牢五大攻坚行动的职责使命，重点做好以下工作：一是强化理论武装。坚持把学习贯彻习近平新时代中国特色社会主义思想作为首要政治任务，创新中心组学习与基层宣讲形式，打造一批精品宣讲内容，用情景教学、案例教学等方式增强吸引力。二是加强宣传引导。紧扣“工业强区、城市更新、文化赋能”发展战略和五大攻坚行动，策划开展系列主题宣传与网络传播活动。优化全媒体传播格局，推出一批形式新颖的新媒体产品。三是深化文明建设。以文明城市创建为总抓手，提升城市精细化管理水平与市民文明素养。全力争创全国文明村镇、文明单位、文明校园、文明家庭，常态化选树宣传先进典型。提质建设新时代文明实践中心(所、站)，做强“小西湖微光”活动品牌。</w:t>
      </w:r>
    </w:p>
    <w:p w14:paraId="5977E9D5">
      <w:pPr>
        <w:pStyle w:val="4"/>
        <w:keepNext w:val="0"/>
        <w:keepLines w:val="0"/>
        <w:pageBreakBefore w:val="0"/>
        <w:widowControl w:val="0"/>
        <w:kinsoku/>
        <w:wordWrap/>
        <w:overflowPunct/>
        <w:topLinePunct w:val="0"/>
        <w:autoSpaceDE w:val="0"/>
        <w:autoSpaceDN w:val="0"/>
        <w:bidi w:val="0"/>
        <w:adjustRightInd/>
        <w:snapToGrid/>
        <w:spacing w:before="40" w:after="0" w:afterLines="50" w:line="600" w:lineRule="exact"/>
        <w:ind w:firstLine="640" w:firstLineChars="200"/>
        <w:textAlignment w:val="auto"/>
        <w:outlineLvl w:val="1"/>
        <w:rPr>
          <w:rFonts w:hint="eastAsia" w:ascii="宋体" w:hAnsi="宋体" w:eastAsia="黑体"/>
          <w:color w:val="333333"/>
        </w:rPr>
      </w:pPr>
      <w:r>
        <w:rPr>
          <w:rFonts w:hint="eastAsia" w:ascii="宋体" w:hAnsi="宋体" w:eastAsia="黑体"/>
          <w:color w:val="333333"/>
        </w:rPr>
        <w:t>二、部门预算单位构成</w:t>
      </w:r>
      <w:bookmarkEnd w:id="4"/>
    </w:p>
    <w:p w14:paraId="79964FE9">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60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部门下属预算单位3个（含局机关），其中行政单位1个，参照公务员法管理的事业单位0个，其他事业单位2个。主要包括：</w:t>
      </w:r>
    </w:p>
    <w:tbl>
      <w:tblPr>
        <w:tblStyle w:val="13"/>
        <w:tblW w:w="0" w:type="auto"/>
        <w:tblInd w:w="75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007"/>
        <w:gridCol w:w="6282"/>
      </w:tblGrid>
      <w:tr w14:paraId="662324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81" w:hRule="atLeast"/>
        </w:trPr>
        <w:tc>
          <w:tcPr>
            <w:tcW w:w="2007" w:type="dxa"/>
          </w:tcPr>
          <w:p w14:paraId="2E05D5B1">
            <w:pPr>
              <w:pStyle w:val="17"/>
              <w:spacing w:before="159"/>
              <w:ind w:left="748"/>
              <w:rPr>
                <w:rFonts w:hint="eastAsia" w:ascii="宋体" w:hAnsi="宋体" w:eastAsia="仿宋_GB2312"/>
                <w:sz w:val="32"/>
              </w:rPr>
            </w:pPr>
            <w:r>
              <w:rPr>
                <w:rFonts w:hint="eastAsia" w:ascii="宋体" w:hAnsi="宋体" w:eastAsia="仿宋_GB2312"/>
                <w:color w:val="333333"/>
                <w:sz w:val="32"/>
              </w:rPr>
              <w:t>序号</w:t>
            </w:r>
          </w:p>
        </w:tc>
        <w:tc>
          <w:tcPr>
            <w:tcW w:w="6282" w:type="dxa"/>
          </w:tcPr>
          <w:p w14:paraId="6452C96A">
            <w:pPr>
              <w:pStyle w:val="17"/>
              <w:spacing w:before="159"/>
              <w:ind w:left="2498"/>
              <w:rPr>
                <w:rFonts w:hint="eastAsia" w:ascii="宋体" w:hAnsi="宋体" w:eastAsia="仿宋_GB2312"/>
                <w:sz w:val="32"/>
              </w:rPr>
            </w:pPr>
            <w:r>
              <w:rPr>
                <w:rFonts w:hint="eastAsia" w:ascii="宋体" w:hAnsi="宋体" w:eastAsia="仿宋_GB2312"/>
                <w:color w:val="333333"/>
                <w:sz w:val="32"/>
              </w:rPr>
              <w:t>预算单位名称</w:t>
            </w:r>
          </w:p>
        </w:tc>
      </w:tr>
      <w:tr w14:paraId="23BC51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1" w:hRule="atLeast"/>
        </w:trPr>
        <w:tc>
          <w:tcPr>
            <w:tcW w:w="2007" w:type="dxa"/>
          </w:tcPr>
          <w:p w14:paraId="1BD719D2">
            <w:pPr>
              <w:pStyle w:val="17"/>
              <w:spacing w:before="181"/>
              <w:ind w:left="748"/>
              <w:rPr>
                <w:rFonts w:ascii="宋体" w:hAnsi="宋体"/>
                <w:sz w:val="32"/>
              </w:rPr>
            </w:pPr>
            <w:r>
              <w:rPr>
                <w:rFonts w:ascii="宋体" w:hAnsi="宋体"/>
                <w:color w:val="333333"/>
                <w:w w:val="99"/>
                <w:sz w:val="32"/>
              </w:rPr>
              <w:t>1</w:t>
            </w:r>
          </w:p>
        </w:tc>
        <w:tc>
          <w:tcPr>
            <w:tcW w:w="6282" w:type="dxa"/>
            <w:vAlign w:val="top"/>
          </w:tcPr>
          <w:p w14:paraId="34697D8A">
            <w:pPr>
              <w:pStyle w:val="17"/>
              <w:spacing w:before="160"/>
              <w:ind w:left="0" w:leftChars="0" w:right="0" w:rightChars="0"/>
              <w:rPr>
                <w:rFonts w:hint="eastAsia" w:ascii="宋体" w:hAnsi="宋体" w:eastAsia="仿宋_GB2312" w:cs="宋体"/>
                <w:sz w:val="32"/>
                <w:szCs w:val="22"/>
                <w:lang w:val="zh-CN" w:eastAsia="zh-CN" w:bidi="zh-CN"/>
              </w:rPr>
            </w:pPr>
            <w:r>
              <w:rPr>
                <w:rFonts w:hint="eastAsia" w:eastAsia="仿宋_GB2312"/>
                <w:sz w:val="32"/>
                <w:lang w:val="en-US" w:eastAsia="zh-CN"/>
              </w:rPr>
              <w:t>104001-</w:t>
            </w:r>
            <w:r>
              <w:rPr>
                <w:rFonts w:hint="eastAsia" w:ascii="宋体" w:hAnsi="宋体" w:eastAsia="仿宋_GB2312"/>
                <w:sz w:val="32"/>
              </w:rPr>
              <w:t>五通桥区委宣传部机关</w:t>
            </w:r>
          </w:p>
        </w:tc>
      </w:tr>
      <w:tr w14:paraId="63DB3D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4" w:hRule="atLeast"/>
        </w:trPr>
        <w:tc>
          <w:tcPr>
            <w:tcW w:w="2007" w:type="dxa"/>
          </w:tcPr>
          <w:p w14:paraId="6592DDFC">
            <w:pPr>
              <w:pStyle w:val="17"/>
              <w:spacing w:before="183"/>
              <w:ind w:left="748"/>
              <w:rPr>
                <w:rFonts w:ascii="宋体" w:hAnsi="宋体"/>
                <w:sz w:val="32"/>
              </w:rPr>
            </w:pPr>
            <w:r>
              <w:rPr>
                <w:rFonts w:ascii="宋体" w:hAnsi="宋体"/>
                <w:color w:val="333333"/>
                <w:w w:val="99"/>
                <w:sz w:val="32"/>
              </w:rPr>
              <w:t>2</w:t>
            </w:r>
          </w:p>
        </w:tc>
        <w:tc>
          <w:tcPr>
            <w:tcW w:w="6282" w:type="dxa"/>
            <w:vAlign w:val="top"/>
          </w:tcPr>
          <w:p w14:paraId="161614CE">
            <w:pPr>
              <w:pStyle w:val="17"/>
              <w:spacing w:before="162"/>
              <w:ind w:left="0" w:leftChars="0" w:right="0" w:rightChars="0"/>
              <w:rPr>
                <w:rFonts w:hint="eastAsia" w:ascii="宋体" w:hAnsi="宋体" w:eastAsia="仿宋_GB2312" w:cs="宋体"/>
                <w:sz w:val="32"/>
                <w:szCs w:val="22"/>
                <w:lang w:val="zh-CN" w:eastAsia="zh-CN" w:bidi="zh-CN"/>
              </w:rPr>
            </w:pPr>
            <w:r>
              <w:rPr>
                <w:rFonts w:hint="eastAsia" w:eastAsia="仿宋_GB2312"/>
                <w:sz w:val="32"/>
                <w:lang w:val="en-US" w:eastAsia="zh-CN"/>
              </w:rPr>
              <w:t>104103-五通桥区融媒体中心</w:t>
            </w:r>
          </w:p>
        </w:tc>
      </w:tr>
      <w:tr w14:paraId="45BE2B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4" w:hRule="atLeast"/>
        </w:trPr>
        <w:tc>
          <w:tcPr>
            <w:tcW w:w="2007" w:type="dxa"/>
          </w:tcPr>
          <w:p w14:paraId="0520C9B5">
            <w:pPr>
              <w:pStyle w:val="17"/>
              <w:spacing w:before="183"/>
              <w:ind w:left="748"/>
              <w:rPr>
                <w:rFonts w:ascii="宋体" w:hAnsi="宋体"/>
                <w:sz w:val="32"/>
              </w:rPr>
            </w:pPr>
            <w:r>
              <w:rPr>
                <w:rFonts w:ascii="宋体" w:hAnsi="宋体"/>
                <w:color w:val="333333"/>
                <w:w w:val="99"/>
                <w:sz w:val="32"/>
              </w:rPr>
              <w:t>3</w:t>
            </w:r>
          </w:p>
        </w:tc>
        <w:tc>
          <w:tcPr>
            <w:tcW w:w="6282" w:type="dxa"/>
            <w:vAlign w:val="top"/>
          </w:tcPr>
          <w:p w14:paraId="4718A7C9">
            <w:pPr>
              <w:pStyle w:val="17"/>
              <w:spacing w:before="162"/>
              <w:ind w:left="0" w:leftChars="0" w:right="0" w:rightChars="0"/>
              <w:rPr>
                <w:rFonts w:hint="eastAsia" w:ascii="宋体" w:hAnsi="宋体" w:eastAsia="仿宋_GB2312" w:cs="宋体"/>
                <w:sz w:val="32"/>
                <w:szCs w:val="22"/>
                <w:lang w:val="zh-CN" w:eastAsia="zh-CN" w:bidi="zh-CN"/>
              </w:rPr>
            </w:pPr>
            <w:r>
              <w:rPr>
                <w:rFonts w:hint="eastAsia" w:eastAsia="仿宋_GB2312"/>
                <w:sz w:val="32"/>
                <w:lang w:val="en-US" w:eastAsia="zh-CN"/>
              </w:rPr>
              <w:t>104104-乐山市五通桥区社会科学界联合会</w:t>
            </w:r>
          </w:p>
        </w:tc>
      </w:tr>
      <w:tr w14:paraId="301358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3" w:hRule="atLeast"/>
        </w:trPr>
        <w:tc>
          <w:tcPr>
            <w:tcW w:w="2007" w:type="dxa"/>
          </w:tcPr>
          <w:p w14:paraId="28AB5D0C">
            <w:pPr>
              <w:pStyle w:val="17"/>
              <w:spacing w:before="183"/>
              <w:ind w:left="748"/>
              <w:rPr>
                <w:rFonts w:ascii="宋体" w:hAnsi="宋体"/>
                <w:sz w:val="32"/>
              </w:rPr>
            </w:pPr>
            <w:r>
              <w:rPr>
                <w:rFonts w:ascii="宋体" w:hAnsi="宋体"/>
                <w:color w:val="333333"/>
                <w:w w:val="99"/>
                <w:sz w:val="32"/>
              </w:rPr>
              <w:t>4</w:t>
            </w:r>
          </w:p>
        </w:tc>
        <w:tc>
          <w:tcPr>
            <w:tcW w:w="6282" w:type="dxa"/>
          </w:tcPr>
          <w:p w14:paraId="3FBFCCF9">
            <w:pPr>
              <w:pStyle w:val="17"/>
              <w:spacing w:before="162"/>
              <w:ind w:left="746"/>
              <w:rPr>
                <w:rFonts w:hint="eastAsia" w:ascii="宋体" w:hAnsi="宋体" w:eastAsia="仿宋_GB2312"/>
                <w:sz w:val="32"/>
              </w:rPr>
            </w:pPr>
          </w:p>
        </w:tc>
      </w:tr>
      <w:tr w14:paraId="298703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4" w:hRule="atLeast"/>
        </w:trPr>
        <w:tc>
          <w:tcPr>
            <w:tcW w:w="2007" w:type="dxa"/>
          </w:tcPr>
          <w:p w14:paraId="097A95FF">
            <w:pPr>
              <w:pStyle w:val="17"/>
              <w:spacing w:before="183"/>
              <w:ind w:left="748"/>
              <w:rPr>
                <w:rFonts w:ascii="宋体" w:hAnsi="宋体"/>
                <w:sz w:val="32"/>
              </w:rPr>
            </w:pPr>
            <w:r>
              <w:rPr>
                <w:rFonts w:ascii="宋体" w:hAnsi="宋体"/>
                <w:color w:val="333333"/>
                <w:w w:val="99"/>
                <w:sz w:val="32"/>
              </w:rPr>
              <w:t>5</w:t>
            </w:r>
          </w:p>
        </w:tc>
        <w:tc>
          <w:tcPr>
            <w:tcW w:w="6282" w:type="dxa"/>
          </w:tcPr>
          <w:p w14:paraId="78CD3357">
            <w:pPr>
              <w:pStyle w:val="17"/>
              <w:spacing w:before="162"/>
              <w:ind w:left="746"/>
              <w:rPr>
                <w:rFonts w:hint="eastAsia" w:ascii="宋体" w:hAnsi="宋体" w:eastAsia="仿宋_GB2312"/>
                <w:sz w:val="32"/>
              </w:rPr>
            </w:pPr>
          </w:p>
        </w:tc>
      </w:tr>
    </w:tbl>
    <w:p w14:paraId="2CFF1D31">
      <w:pPr>
        <w:pStyle w:val="4"/>
        <w:rPr>
          <w:rFonts w:ascii="宋体" w:hAnsi="宋体"/>
          <w:sz w:val="20"/>
        </w:rPr>
      </w:pPr>
    </w:p>
    <w:p w14:paraId="2C55601E">
      <w:pPr>
        <w:pStyle w:val="4"/>
        <w:rPr>
          <w:rFonts w:ascii="宋体" w:hAnsi="宋体"/>
          <w:sz w:val="20"/>
        </w:rPr>
      </w:pPr>
    </w:p>
    <w:p w14:paraId="455644A1">
      <w:pPr>
        <w:pStyle w:val="4"/>
        <w:rPr>
          <w:rFonts w:ascii="宋体" w:hAnsi="宋体"/>
          <w:sz w:val="20"/>
        </w:rPr>
      </w:pPr>
    </w:p>
    <w:p w14:paraId="1813A4E2">
      <w:pPr>
        <w:pStyle w:val="4"/>
        <w:rPr>
          <w:rFonts w:ascii="宋体" w:hAnsi="宋体"/>
          <w:sz w:val="20"/>
        </w:rPr>
      </w:pPr>
    </w:p>
    <w:p w14:paraId="4D32E685">
      <w:pPr>
        <w:pStyle w:val="4"/>
        <w:rPr>
          <w:rFonts w:ascii="宋体" w:hAnsi="宋体"/>
          <w:sz w:val="20"/>
        </w:rPr>
      </w:pPr>
    </w:p>
    <w:p w14:paraId="5E52B88E">
      <w:pPr>
        <w:pStyle w:val="4"/>
        <w:rPr>
          <w:rFonts w:ascii="宋体" w:hAnsi="宋体"/>
          <w:sz w:val="20"/>
        </w:rPr>
      </w:pPr>
    </w:p>
    <w:p w14:paraId="4794CBA8">
      <w:pPr>
        <w:pStyle w:val="4"/>
        <w:rPr>
          <w:rFonts w:ascii="宋体" w:hAnsi="宋体"/>
          <w:sz w:val="20"/>
        </w:rPr>
      </w:pPr>
    </w:p>
    <w:p w14:paraId="53DA0870">
      <w:pPr>
        <w:pStyle w:val="4"/>
        <w:rPr>
          <w:rFonts w:ascii="宋体" w:hAnsi="宋体"/>
          <w:sz w:val="20"/>
        </w:rPr>
      </w:pPr>
    </w:p>
    <w:p w14:paraId="64920659">
      <w:pPr>
        <w:pStyle w:val="4"/>
        <w:rPr>
          <w:rFonts w:ascii="宋体" w:hAnsi="宋体"/>
          <w:sz w:val="20"/>
        </w:rPr>
      </w:pPr>
    </w:p>
    <w:p w14:paraId="785ED889">
      <w:pPr>
        <w:pStyle w:val="4"/>
        <w:rPr>
          <w:rFonts w:ascii="宋体" w:hAnsi="宋体"/>
          <w:sz w:val="20"/>
        </w:rPr>
      </w:pPr>
    </w:p>
    <w:p w14:paraId="66E745FF">
      <w:pPr>
        <w:pStyle w:val="4"/>
        <w:rPr>
          <w:rFonts w:ascii="宋体" w:hAnsi="宋体"/>
          <w:sz w:val="20"/>
        </w:rPr>
      </w:pPr>
    </w:p>
    <w:p w14:paraId="1A7F7F8F">
      <w:pPr>
        <w:pStyle w:val="4"/>
        <w:rPr>
          <w:rFonts w:ascii="宋体" w:hAnsi="宋体"/>
          <w:sz w:val="20"/>
        </w:rPr>
      </w:pPr>
    </w:p>
    <w:p w14:paraId="3875DE5C">
      <w:pPr>
        <w:pStyle w:val="4"/>
        <w:rPr>
          <w:rFonts w:ascii="宋体" w:hAnsi="宋体"/>
          <w:sz w:val="20"/>
        </w:rPr>
      </w:pPr>
    </w:p>
    <w:p w14:paraId="229EB0FE">
      <w:pPr>
        <w:pStyle w:val="4"/>
        <w:rPr>
          <w:rFonts w:ascii="宋体" w:hAnsi="宋体"/>
          <w:sz w:val="20"/>
        </w:rPr>
      </w:pPr>
    </w:p>
    <w:p w14:paraId="18CE9EBF">
      <w:pPr>
        <w:pStyle w:val="4"/>
        <w:rPr>
          <w:rFonts w:ascii="宋体" w:hAnsi="宋体"/>
          <w:sz w:val="20"/>
        </w:rPr>
      </w:pPr>
    </w:p>
    <w:p w14:paraId="7B150FDE">
      <w:pPr>
        <w:pStyle w:val="4"/>
        <w:rPr>
          <w:rFonts w:ascii="宋体" w:hAnsi="宋体"/>
          <w:sz w:val="20"/>
        </w:rPr>
      </w:pPr>
    </w:p>
    <w:p w14:paraId="1F136AE3">
      <w:pPr>
        <w:pStyle w:val="4"/>
        <w:rPr>
          <w:rFonts w:ascii="宋体" w:hAnsi="宋体"/>
          <w:sz w:val="20"/>
        </w:rPr>
      </w:pPr>
    </w:p>
    <w:p w14:paraId="3A9FA17C">
      <w:pPr>
        <w:pStyle w:val="4"/>
        <w:rPr>
          <w:rFonts w:ascii="宋体" w:hAnsi="宋体"/>
          <w:sz w:val="20"/>
        </w:rPr>
      </w:pPr>
    </w:p>
    <w:p w14:paraId="1561DE84">
      <w:pPr>
        <w:pStyle w:val="4"/>
        <w:rPr>
          <w:rFonts w:ascii="宋体" w:hAnsi="宋体"/>
          <w:sz w:val="20"/>
        </w:rPr>
      </w:pPr>
    </w:p>
    <w:p w14:paraId="13C1FAB6">
      <w:pPr>
        <w:pStyle w:val="4"/>
        <w:rPr>
          <w:rFonts w:ascii="宋体" w:hAnsi="宋体"/>
          <w:sz w:val="20"/>
        </w:rPr>
      </w:pPr>
    </w:p>
    <w:p w14:paraId="062DC3F6">
      <w:pPr>
        <w:pStyle w:val="4"/>
        <w:rPr>
          <w:rFonts w:ascii="宋体" w:hAnsi="宋体"/>
          <w:sz w:val="20"/>
        </w:rPr>
      </w:pPr>
    </w:p>
    <w:p w14:paraId="29F4DEC9">
      <w:pPr>
        <w:pStyle w:val="4"/>
        <w:rPr>
          <w:rFonts w:ascii="宋体" w:hAnsi="宋体"/>
          <w:sz w:val="20"/>
        </w:rPr>
      </w:pPr>
    </w:p>
    <w:p w14:paraId="34E9D8BC">
      <w:pPr>
        <w:pStyle w:val="4"/>
        <w:rPr>
          <w:rFonts w:ascii="宋体" w:hAnsi="宋体"/>
          <w:sz w:val="20"/>
        </w:rPr>
      </w:pPr>
    </w:p>
    <w:p w14:paraId="0617E0A8">
      <w:pPr>
        <w:pStyle w:val="4"/>
        <w:rPr>
          <w:rFonts w:ascii="宋体" w:hAnsi="宋体"/>
          <w:sz w:val="20"/>
        </w:rPr>
      </w:pPr>
    </w:p>
    <w:p w14:paraId="6DC34539">
      <w:pPr>
        <w:pStyle w:val="4"/>
        <w:numPr>
          <w:ilvl w:val="0"/>
          <w:numId w:val="2"/>
        </w:numPr>
        <w:jc w:val="center"/>
        <w:outlineLvl w:val="0"/>
        <w:rPr>
          <w:rFonts w:hint="default" w:ascii="宋体" w:hAnsi="宋体" w:eastAsia="方正小标宋简体" w:cs="方正小标宋简体"/>
          <w:b/>
          <w:bCs/>
          <w:sz w:val="52"/>
          <w:szCs w:val="52"/>
          <w:lang w:val="en-US" w:eastAsia="zh-CN"/>
        </w:rPr>
      </w:pPr>
      <w:bookmarkStart w:id="5" w:name="_Toc29399"/>
      <w:bookmarkStart w:id="6" w:name="_Toc16628"/>
      <w:r>
        <w:rPr>
          <w:rFonts w:hint="eastAsia" w:ascii="宋体" w:hAnsi="宋体" w:eastAsia="方正小标宋简体" w:cs="方正小标宋简体"/>
          <w:b/>
          <w:bCs/>
          <w:sz w:val="52"/>
          <w:szCs w:val="52"/>
          <w:lang w:val="en-US" w:eastAsia="zh-CN"/>
        </w:rPr>
        <w:t>五通桥区委宣传部</w:t>
      </w:r>
      <w:bookmarkEnd w:id="5"/>
      <w:r>
        <w:rPr>
          <w:rFonts w:hint="eastAsia" w:ascii="宋体" w:hAnsi="宋体" w:eastAsia="方正小标宋简体" w:cs="方正小标宋简体"/>
          <w:b/>
          <w:bCs/>
          <w:sz w:val="52"/>
          <w:szCs w:val="52"/>
          <w:lang w:val="en-US" w:eastAsia="zh-CN"/>
        </w:rPr>
        <w:t>2026年部门预算表</w:t>
      </w:r>
      <w:bookmarkEnd w:id="6"/>
    </w:p>
    <w:p w14:paraId="65B65718">
      <w:pPr>
        <w:rPr>
          <w:rFonts w:hint="eastAsia" w:ascii="宋体" w:hAnsi="宋体"/>
          <w:sz w:val="32"/>
          <w:lang w:val="en-US" w:eastAsia="zh-CN"/>
        </w:rPr>
      </w:pPr>
      <w:r>
        <w:rPr>
          <w:rFonts w:ascii="宋体" w:hAnsi="宋体"/>
          <w:color w:val="333333"/>
        </w:rPr>
        <w:br w:type="page"/>
      </w:r>
    </w:p>
    <w:p w14:paraId="7154BF0F">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7" w:name="_Toc19127"/>
      <w:r>
        <w:rPr>
          <w:rFonts w:hint="eastAsia" w:ascii="宋体" w:hAnsi="宋体"/>
          <w:sz w:val="32"/>
          <w:lang w:val="en-US" w:eastAsia="zh-CN"/>
        </w:rPr>
        <w:t>一、收支预算总表（收支总表1）</w:t>
      </w:r>
      <w:bookmarkEnd w:id="7"/>
    </w:p>
    <w:p w14:paraId="7100D6C4">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8" w:name="_Toc12652"/>
      <w:r>
        <w:rPr>
          <w:rFonts w:hint="eastAsia" w:ascii="宋体" w:hAnsi="宋体"/>
          <w:sz w:val="32"/>
          <w:lang w:val="en-US" w:eastAsia="zh-CN"/>
        </w:rPr>
        <w:t>二、收入预算总表（收入总表2）</w:t>
      </w:r>
      <w:bookmarkEnd w:id="8"/>
    </w:p>
    <w:p w14:paraId="29B56D48">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9" w:name="_Toc28293"/>
      <w:r>
        <w:rPr>
          <w:rFonts w:hint="eastAsia" w:ascii="宋体" w:hAnsi="宋体"/>
          <w:sz w:val="32"/>
          <w:lang w:val="en-US" w:eastAsia="zh-CN"/>
        </w:rPr>
        <w:t>三、征收预期表（征收预期3）</w:t>
      </w:r>
      <w:bookmarkEnd w:id="9"/>
    </w:p>
    <w:p w14:paraId="0B8AEE8E">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0" w:name="_Toc11268"/>
      <w:r>
        <w:rPr>
          <w:rFonts w:hint="eastAsia" w:ascii="宋体" w:hAnsi="宋体"/>
          <w:sz w:val="32"/>
          <w:lang w:val="en-US" w:eastAsia="zh-CN"/>
        </w:rPr>
        <w:t>四、支出预算总表（支出总表4）</w:t>
      </w:r>
      <w:bookmarkEnd w:id="10"/>
    </w:p>
    <w:p w14:paraId="75226F7C">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1" w:name="_Toc31705"/>
      <w:r>
        <w:rPr>
          <w:rFonts w:hint="eastAsia" w:ascii="宋体" w:hAnsi="宋体"/>
          <w:sz w:val="32"/>
          <w:lang w:val="en-US" w:eastAsia="zh-CN"/>
        </w:rPr>
        <w:t>五、财政拨款预算总表（财拨总表5）</w:t>
      </w:r>
      <w:bookmarkEnd w:id="11"/>
    </w:p>
    <w:p w14:paraId="42A3757B">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2" w:name="_Toc32595"/>
      <w:r>
        <w:rPr>
          <w:rFonts w:hint="eastAsia" w:ascii="宋体" w:hAnsi="宋体"/>
          <w:sz w:val="32"/>
          <w:lang w:val="en-US" w:eastAsia="zh-CN"/>
        </w:rPr>
        <w:t>六、一般公共预算支出表（一般预算支出6）</w:t>
      </w:r>
      <w:bookmarkEnd w:id="12"/>
    </w:p>
    <w:p w14:paraId="4C5F984F">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3" w:name="_Toc14376"/>
      <w:r>
        <w:rPr>
          <w:rFonts w:hint="eastAsia" w:ascii="宋体" w:hAnsi="宋体"/>
          <w:sz w:val="32"/>
          <w:lang w:val="en-US" w:eastAsia="zh-CN"/>
        </w:rPr>
        <w:t>七、一般公共预算基本支出表（基本支出7）</w:t>
      </w:r>
      <w:bookmarkEnd w:id="13"/>
      <w:r>
        <w:rPr>
          <w:rFonts w:hint="eastAsia" w:ascii="宋体" w:hAnsi="宋体"/>
          <w:sz w:val="32"/>
          <w:lang w:val="en-US" w:eastAsia="zh-CN"/>
        </w:rPr>
        <w:t xml:space="preserve"> </w:t>
      </w:r>
    </w:p>
    <w:p w14:paraId="413001D3">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4" w:name="_Toc12109"/>
      <w:r>
        <w:rPr>
          <w:rFonts w:hint="eastAsia" w:ascii="宋体" w:hAnsi="宋体"/>
          <w:sz w:val="32"/>
          <w:lang w:val="en-US" w:eastAsia="zh-CN"/>
        </w:rPr>
        <w:t>八、一般公共预算“三公”经费支出预算表（三公8）</w:t>
      </w:r>
      <w:bookmarkEnd w:id="14"/>
    </w:p>
    <w:p w14:paraId="4C673C7A">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5" w:name="_Toc25251"/>
      <w:r>
        <w:rPr>
          <w:rFonts w:hint="eastAsia" w:ascii="宋体" w:hAnsi="宋体"/>
          <w:sz w:val="32"/>
          <w:lang w:val="en-US" w:eastAsia="zh-CN"/>
        </w:rPr>
        <w:t>九、政府性基金预算支出表（基金9）</w:t>
      </w:r>
      <w:bookmarkEnd w:id="15"/>
      <w:r>
        <w:rPr>
          <w:rFonts w:hint="eastAsia" w:ascii="宋体" w:hAnsi="宋体"/>
          <w:sz w:val="32"/>
          <w:lang w:val="en-US" w:eastAsia="zh-CN"/>
        </w:rPr>
        <w:t xml:space="preserve"> </w:t>
      </w:r>
    </w:p>
    <w:p w14:paraId="34B9E3A5">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6" w:name="_Toc17731"/>
      <w:r>
        <w:rPr>
          <w:rFonts w:hint="eastAsia" w:ascii="宋体" w:hAnsi="宋体"/>
          <w:sz w:val="32"/>
          <w:lang w:val="en-US" w:eastAsia="zh-CN"/>
        </w:rPr>
        <w:t>十、国有资本经营预算支出表（国资10）</w:t>
      </w:r>
      <w:bookmarkEnd w:id="16"/>
    </w:p>
    <w:p w14:paraId="0FC09C54">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7" w:name="_Toc4784"/>
      <w:r>
        <w:rPr>
          <w:rFonts w:hint="eastAsia" w:ascii="宋体" w:hAnsi="宋体"/>
          <w:sz w:val="32"/>
          <w:lang w:val="en-US" w:eastAsia="zh-CN"/>
        </w:rPr>
        <w:t>十一、支出功能分类预算表（支出功能11）</w:t>
      </w:r>
      <w:bookmarkEnd w:id="17"/>
    </w:p>
    <w:p w14:paraId="230E6E6E">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8" w:name="_Toc18673"/>
      <w:r>
        <w:rPr>
          <w:rFonts w:hint="eastAsia" w:ascii="宋体" w:hAnsi="宋体"/>
          <w:sz w:val="32"/>
          <w:lang w:val="en-US" w:eastAsia="zh-CN"/>
        </w:rPr>
        <w:t>十二、支出经济分类预算表（支出经济分类12）</w:t>
      </w:r>
      <w:bookmarkEnd w:id="18"/>
    </w:p>
    <w:p w14:paraId="65DE1C7F">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9" w:name="_Toc3905"/>
      <w:r>
        <w:rPr>
          <w:rFonts w:hint="eastAsia" w:ascii="宋体" w:hAnsi="宋体"/>
          <w:sz w:val="32"/>
          <w:lang w:val="en-US" w:eastAsia="zh-CN"/>
        </w:rPr>
        <w:t>十三、上级资金安排情况表（上级资金安排13）</w:t>
      </w:r>
      <w:bookmarkEnd w:id="19"/>
      <w:r>
        <w:rPr>
          <w:rFonts w:hint="eastAsia" w:ascii="宋体" w:hAnsi="宋体"/>
          <w:sz w:val="32"/>
          <w:lang w:val="en-US" w:eastAsia="zh-CN"/>
        </w:rPr>
        <w:t xml:space="preserve"> </w:t>
      </w:r>
    </w:p>
    <w:p w14:paraId="55904E95">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0" w:name="_Toc29447"/>
      <w:r>
        <w:rPr>
          <w:rFonts w:hint="eastAsia" w:ascii="宋体" w:hAnsi="宋体"/>
          <w:sz w:val="32"/>
          <w:lang w:val="en-US" w:eastAsia="zh-CN"/>
        </w:rPr>
        <w:t>十四、项目支出表（项目支出14）</w:t>
      </w:r>
      <w:bookmarkEnd w:id="20"/>
    </w:p>
    <w:p w14:paraId="056338B0">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1" w:name="_Toc3527"/>
      <w:r>
        <w:rPr>
          <w:rFonts w:hint="eastAsia" w:ascii="宋体" w:hAnsi="宋体"/>
          <w:sz w:val="32"/>
          <w:lang w:val="en-US" w:eastAsia="zh-CN"/>
        </w:rPr>
        <w:t>十六、政府购买服务预算表（购买服务16）</w:t>
      </w:r>
      <w:bookmarkEnd w:id="21"/>
    </w:p>
    <w:p w14:paraId="3A690B2D">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2" w:name="_Toc27841"/>
      <w:bookmarkStart w:id="23" w:name="_Toc16458"/>
      <w:r>
        <w:rPr>
          <w:rFonts w:hint="eastAsia" w:ascii="宋体" w:hAnsi="宋体"/>
          <w:sz w:val="32"/>
          <w:lang w:val="en-US" w:eastAsia="zh-CN"/>
        </w:rPr>
        <w:t>十七、采购需求表（采购需求表17）</w:t>
      </w:r>
      <w:bookmarkEnd w:id="22"/>
    </w:p>
    <w:p w14:paraId="22CE050E">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4" w:name="_Toc32209"/>
      <w:r>
        <w:rPr>
          <w:rFonts w:hint="eastAsia" w:ascii="宋体" w:hAnsi="宋体"/>
          <w:sz w:val="32"/>
          <w:lang w:val="en-US" w:eastAsia="zh-CN"/>
        </w:rPr>
        <w:t>十八、国有资产配置预算表（资产18）</w:t>
      </w:r>
      <w:bookmarkEnd w:id="24"/>
    </w:p>
    <w:p w14:paraId="7E28DA5D">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5" w:name="_Toc19861"/>
      <w:r>
        <w:rPr>
          <w:rFonts w:hint="eastAsia" w:ascii="宋体" w:hAnsi="宋体"/>
          <w:sz w:val="32"/>
          <w:lang w:val="en-US" w:eastAsia="zh-CN"/>
        </w:rPr>
        <w:t>十九、项目支出绩效表（项目绩效19）</w:t>
      </w:r>
      <w:bookmarkEnd w:id="25"/>
    </w:p>
    <w:p w14:paraId="741620AD">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6" w:name="_Toc28316"/>
      <w:r>
        <w:rPr>
          <w:rFonts w:hint="eastAsia" w:ascii="宋体" w:hAnsi="宋体"/>
          <w:sz w:val="32"/>
          <w:lang w:val="en-US" w:eastAsia="zh-CN"/>
        </w:rPr>
        <w:t>二十、部门绩效表（部门绩效20）</w:t>
      </w:r>
      <w:bookmarkEnd w:id="26"/>
    </w:p>
    <w:p w14:paraId="44A83328">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7" w:name="_Toc20224"/>
      <w:r>
        <w:rPr>
          <w:rFonts w:hint="eastAsia" w:ascii="宋体" w:hAnsi="宋体"/>
          <w:sz w:val="32"/>
          <w:lang w:val="en-US" w:eastAsia="zh-CN"/>
        </w:rPr>
        <w:t>二十一、年初政府采购项目预算表（政府采购项目预算表21）</w:t>
      </w:r>
      <w:bookmarkEnd w:id="27"/>
    </w:p>
    <w:p w14:paraId="08A2F0B2">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8" w:name="_Toc17944"/>
      <w:r>
        <w:rPr>
          <w:rFonts w:hint="eastAsia" w:ascii="宋体" w:hAnsi="宋体"/>
          <w:sz w:val="32"/>
          <w:lang w:val="en-US" w:eastAsia="zh-CN"/>
        </w:rPr>
        <w:t>二十二、2026-2028年支出计划总表（三年计划总表22）</w:t>
      </w:r>
      <w:bookmarkEnd w:id="28"/>
    </w:p>
    <w:p w14:paraId="3E08214C">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9" w:name="_Toc12273"/>
      <w:r>
        <w:rPr>
          <w:rFonts w:hint="eastAsia" w:ascii="宋体" w:hAnsi="宋体"/>
          <w:sz w:val="32"/>
          <w:lang w:val="en-US" w:eastAsia="zh-CN"/>
        </w:rPr>
        <w:t>二十三、2026-2028年支出计划明细表（三年计划明细表23）</w:t>
      </w:r>
      <w:bookmarkEnd w:id="29"/>
    </w:p>
    <w:p w14:paraId="440F25BE">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30" w:name="_Toc32054"/>
      <w:r>
        <w:rPr>
          <w:rFonts w:hint="eastAsia" w:ascii="宋体" w:hAnsi="宋体"/>
          <w:sz w:val="32"/>
          <w:lang w:val="en-US" w:eastAsia="zh-CN"/>
        </w:rPr>
        <w:t>二十四、人员和车辆基本情况表（人员24）</w:t>
      </w:r>
      <w:bookmarkEnd w:id="30"/>
    </w:p>
    <w:p w14:paraId="09FA1FE2">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right="660" w:rightChars="300" w:firstLine="643" w:firstLineChars="200"/>
        <w:jc w:val="left"/>
        <w:textAlignment w:val="auto"/>
        <w:outlineLvl w:val="1"/>
        <w:rPr>
          <w:rFonts w:hint="default" w:ascii="宋体" w:hAnsi="宋体"/>
          <w:b/>
          <w:bCs/>
          <w:sz w:val="32"/>
          <w:lang w:val="en-US" w:eastAsia="zh-CN"/>
        </w:rPr>
      </w:pPr>
      <w:bookmarkStart w:id="31" w:name="_Toc19562"/>
      <w:r>
        <w:rPr>
          <w:rFonts w:hint="eastAsia" w:ascii="宋体" w:hAnsi="宋体"/>
          <w:b/>
          <w:bCs/>
          <w:sz w:val="32"/>
          <w:lang w:val="en-US" w:eastAsia="zh-CN"/>
        </w:rPr>
        <w:t>以上所有表格详见部门说明后附件。</w:t>
      </w:r>
      <w:bookmarkEnd w:id="23"/>
      <w:bookmarkEnd w:id="31"/>
    </w:p>
    <w:p w14:paraId="579697E4">
      <w:pPr>
        <w:rPr>
          <w:rFonts w:ascii="宋体" w:hAnsi="宋体"/>
          <w:sz w:val="20"/>
        </w:rPr>
      </w:pPr>
      <w:r>
        <w:rPr>
          <w:rFonts w:ascii="宋体" w:hAnsi="宋体"/>
          <w:sz w:val="20"/>
        </w:rPr>
        <w:br w:type="page"/>
      </w:r>
    </w:p>
    <w:p w14:paraId="278F71E9">
      <w:pPr>
        <w:pStyle w:val="4"/>
        <w:rPr>
          <w:rFonts w:ascii="宋体" w:hAnsi="宋体"/>
          <w:sz w:val="20"/>
        </w:rPr>
      </w:pPr>
    </w:p>
    <w:p w14:paraId="197FB863">
      <w:pPr>
        <w:pStyle w:val="4"/>
        <w:rPr>
          <w:rFonts w:ascii="宋体" w:hAnsi="宋体"/>
          <w:sz w:val="20"/>
        </w:rPr>
      </w:pPr>
    </w:p>
    <w:p w14:paraId="55D08BBA">
      <w:pPr>
        <w:pStyle w:val="4"/>
        <w:rPr>
          <w:rFonts w:ascii="宋体" w:hAnsi="宋体"/>
          <w:sz w:val="20"/>
        </w:rPr>
      </w:pPr>
    </w:p>
    <w:p w14:paraId="454958F5">
      <w:pPr>
        <w:pStyle w:val="4"/>
        <w:rPr>
          <w:rFonts w:ascii="宋体" w:hAnsi="宋体"/>
          <w:sz w:val="20"/>
        </w:rPr>
      </w:pPr>
    </w:p>
    <w:p w14:paraId="3C975E29">
      <w:pPr>
        <w:pStyle w:val="4"/>
        <w:rPr>
          <w:rFonts w:ascii="宋体" w:hAnsi="宋体"/>
          <w:sz w:val="20"/>
        </w:rPr>
      </w:pPr>
    </w:p>
    <w:p w14:paraId="1A7F013B">
      <w:pPr>
        <w:pStyle w:val="4"/>
        <w:rPr>
          <w:rFonts w:ascii="宋体" w:hAnsi="宋体"/>
          <w:sz w:val="20"/>
        </w:rPr>
      </w:pPr>
    </w:p>
    <w:p w14:paraId="40656EDF">
      <w:pPr>
        <w:pStyle w:val="4"/>
        <w:rPr>
          <w:rFonts w:ascii="宋体" w:hAnsi="宋体"/>
          <w:sz w:val="20"/>
        </w:rPr>
      </w:pPr>
    </w:p>
    <w:p w14:paraId="12FAC153">
      <w:pPr>
        <w:pStyle w:val="4"/>
        <w:rPr>
          <w:rFonts w:ascii="宋体" w:hAnsi="宋体"/>
          <w:sz w:val="20"/>
        </w:rPr>
      </w:pPr>
    </w:p>
    <w:p w14:paraId="33546731">
      <w:pPr>
        <w:pStyle w:val="4"/>
        <w:rPr>
          <w:rFonts w:ascii="宋体" w:hAnsi="宋体"/>
          <w:sz w:val="20"/>
        </w:rPr>
      </w:pPr>
    </w:p>
    <w:p w14:paraId="2CFC839A">
      <w:pPr>
        <w:pStyle w:val="4"/>
        <w:rPr>
          <w:rFonts w:ascii="宋体" w:hAnsi="宋体"/>
          <w:sz w:val="20"/>
        </w:rPr>
      </w:pPr>
    </w:p>
    <w:p w14:paraId="0C4C3D2C">
      <w:pPr>
        <w:pStyle w:val="4"/>
        <w:rPr>
          <w:rFonts w:ascii="宋体" w:hAnsi="宋体"/>
          <w:sz w:val="20"/>
        </w:rPr>
      </w:pPr>
    </w:p>
    <w:p w14:paraId="59B3DBEF">
      <w:pPr>
        <w:pStyle w:val="4"/>
        <w:rPr>
          <w:rFonts w:ascii="宋体" w:hAnsi="宋体"/>
          <w:sz w:val="20"/>
        </w:rPr>
      </w:pPr>
    </w:p>
    <w:p w14:paraId="4F60DC1B">
      <w:pPr>
        <w:pStyle w:val="4"/>
        <w:rPr>
          <w:rFonts w:ascii="宋体" w:hAnsi="宋体"/>
          <w:sz w:val="20"/>
        </w:rPr>
      </w:pPr>
    </w:p>
    <w:p w14:paraId="7B731220">
      <w:pPr>
        <w:pStyle w:val="4"/>
        <w:rPr>
          <w:rFonts w:ascii="宋体" w:hAnsi="宋体"/>
          <w:sz w:val="20"/>
        </w:rPr>
      </w:pPr>
    </w:p>
    <w:p w14:paraId="5C3BFDA0">
      <w:pPr>
        <w:pStyle w:val="4"/>
        <w:rPr>
          <w:rFonts w:ascii="宋体" w:hAnsi="宋体"/>
          <w:sz w:val="20"/>
        </w:rPr>
      </w:pPr>
    </w:p>
    <w:p w14:paraId="628C4304">
      <w:pPr>
        <w:pStyle w:val="4"/>
        <w:rPr>
          <w:rFonts w:ascii="宋体" w:hAnsi="宋体"/>
          <w:sz w:val="20"/>
        </w:rPr>
      </w:pPr>
    </w:p>
    <w:p w14:paraId="456827FB">
      <w:pPr>
        <w:pStyle w:val="4"/>
        <w:rPr>
          <w:rFonts w:ascii="宋体" w:hAnsi="宋体"/>
          <w:sz w:val="20"/>
        </w:rPr>
      </w:pPr>
    </w:p>
    <w:p w14:paraId="72231E24">
      <w:pPr>
        <w:pStyle w:val="4"/>
        <w:rPr>
          <w:rFonts w:ascii="宋体" w:hAnsi="宋体"/>
          <w:sz w:val="20"/>
        </w:rPr>
      </w:pPr>
    </w:p>
    <w:p w14:paraId="01BD3292">
      <w:pPr>
        <w:pStyle w:val="4"/>
        <w:rPr>
          <w:rFonts w:ascii="宋体" w:hAnsi="宋体"/>
          <w:sz w:val="20"/>
        </w:rPr>
      </w:pPr>
    </w:p>
    <w:p w14:paraId="4E099DF7">
      <w:pPr>
        <w:pStyle w:val="4"/>
        <w:rPr>
          <w:rFonts w:ascii="宋体" w:hAnsi="宋体"/>
          <w:sz w:val="20"/>
        </w:rPr>
      </w:pPr>
    </w:p>
    <w:p w14:paraId="65927BE8">
      <w:pPr>
        <w:pStyle w:val="4"/>
        <w:rPr>
          <w:rFonts w:ascii="宋体" w:hAnsi="宋体"/>
          <w:sz w:val="20"/>
        </w:rPr>
      </w:pPr>
    </w:p>
    <w:p w14:paraId="3DEFB0AC">
      <w:pPr>
        <w:pStyle w:val="4"/>
        <w:rPr>
          <w:rFonts w:ascii="宋体" w:hAnsi="宋体"/>
          <w:sz w:val="20"/>
        </w:rPr>
      </w:pPr>
    </w:p>
    <w:p w14:paraId="7F22BBE9">
      <w:pPr>
        <w:pStyle w:val="4"/>
        <w:numPr>
          <w:ilvl w:val="0"/>
          <w:numId w:val="2"/>
        </w:numPr>
        <w:spacing w:before="6"/>
        <w:ind w:left="0" w:leftChars="0" w:firstLine="0" w:firstLineChars="0"/>
        <w:jc w:val="center"/>
        <w:outlineLvl w:val="0"/>
        <w:rPr>
          <w:rFonts w:hint="eastAsia" w:ascii="宋体" w:hAnsi="宋体" w:eastAsia="方正小标宋简体" w:cs="方正小标宋简体"/>
          <w:sz w:val="52"/>
          <w:szCs w:val="52"/>
          <w:lang w:val="en-US" w:eastAsia="zh-CN"/>
        </w:rPr>
      </w:pPr>
      <w:bookmarkStart w:id="32" w:name="_Toc29556"/>
      <w:r>
        <w:rPr>
          <w:rFonts w:hint="eastAsia" w:ascii="宋体" w:hAnsi="宋体" w:eastAsia="方正小标宋简体" w:cs="方正小标宋简体"/>
          <w:b/>
          <w:bCs/>
          <w:sz w:val="52"/>
          <w:szCs w:val="52"/>
          <w:lang w:val="en-US" w:eastAsia="zh-CN"/>
        </w:rPr>
        <w:t>五通桥区委宣传部</w:t>
      </w:r>
      <w:r>
        <w:rPr>
          <w:rFonts w:hint="eastAsia" w:ascii="宋体" w:hAnsi="宋体" w:eastAsia="方正小标宋简体" w:cs="方正小标宋简体"/>
          <w:sz w:val="52"/>
          <w:szCs w:val="52"/>
          <w:lang w:val="en-US" w:eastAsia="zh-CN"/>
        </w:rPr>
        <w:t>2026年</w:t>
      </w:r>
      <w:bookmarkEnd w:id="32"/>
    </w:p>
    <w:p w14:paraId="4B6040AC">
      <w:pPr>
        <w:pStyle w:val="4"/>
        <w:numPr>
          <w:ilvl w:val="0"/>
          <w:numId w:val="0"/>
        </w:numPr>
        <w:spacing w:before="6"/>
        <w:ind w:leftChars="0" w:right="0" w:rightChars="0"/>
        <w:jc w:val="center"/>
        <w:outlineLvl w:val="1"/>
        <w:rPr>
          <w:rFonts w:hint="default" w:ascii="宋体" w:hAnsi="宋体"/>
          <w:sz w:val="20"/>
          <w:lang w:val="en-US"/>
        </w:rPr>
        <w:sectPr>
          <w:headerReference r:id="rId8" w:type="default"/>
          <w:pgSz w:w="11910" w:h="16840"/>
          <w:pgMar w:top="1587" w:right="964" w:bottom="1701" w:left="1134" w:header="737" w:footer="737" w:gutter="0"/>
          <w:pgNumType w:fmt="decimal"/>
          <w:cols w:space="0" w:num="1"/>
          <w:rtlGutter w:val="0"/>
          <w:docGrid w:linePitch="0" w:charSpace="0"/>
        </w:sectPr>
      </w:pPr>
      <w:bookmarkStart w:id="33" w:name="_Toc1047"/>
      <w:bookmarkStart w:id="34" w:name="_Toc21327"/>
      <w:r>
        <w:rPr>
          <w:rFonts w:hint="eastAsia" w:ascii="宋体" w:hAnsi="宋体" w:eastAsia="方正小标宋简体" w:cs="方正小标宋简体"/>
          <w:sz w:val="52"/>
          <w:szCs w:val="52"/>
          <w:lang w:val="en-US" w:eastAsia="zh-CN"/>
        </w:rPr>
        <w:t>部门预算情况说明</w:t>
      </w:r>
      <w:bookmarkEnd w:id="33"/>
      <w:bookmarkEnd w:id="34"/>
    </w:p>
    <w:p w14:paraId="30C6F033">
      <w:pPr>
        <w:pStyle w:val="4"/>
        <w:keepNext w:val="0"/>
        <w:keepLines w:val="0"/>
        <w:pageBreakBefore w:val="0"/>
        <w:widowControl w:val="0"/>
        <w:kinsoku/>
        <w:wordWrap/>
        <w:overflowPunct/>
        <w:topLinePunct w:val="0"/>
        <w:autoSpaceDE w:val="0"/>
        <w:autoSpaceDN w:val="0"/>
        <w:bidi w:val="0"/>
        <w:adjustRightInd/>
        <w:snapToGrid/>
        <w:spacing w:before="40" w:after="0" w:afterLines="50"/>
        <w:textAlignment w:val="auto"/>
        <w:rPr>
          <w:rFonts w:hint="eastAsia" w:ascii="宋体" w:hAnsi="宋体" w:eastAsia="黑体"/>
          <w:color w:val="333333"/>
        </w:rPr>
      </w:pPr>
    </w:p>
    <w:p w14:paraId="75E95CAA">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35" w:name="_Toc15368"/>
      <w:r>
        <w:rPr>
          <w:rFonts w:hint="eastAsia" w:ascii="宋体" w:hAnsi="宋体" w:eastAsia="黑体"/>
          <w:color w:val="333333"/>
        </w:rPr>
        <w:t>一、收支预算情况说明</w:t>
      </w:r>
      <w:bookmarkEnd w:id="35"/>
    </w:p>
    <w:p w14:paraId="6B0EF4F4">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按照综合预算的原则，五通桥区委宣传部部门所有收入和支出均纳入部门预算管理。收入包括：一般公共预算拨款收入1,619.09万元、上年结转52.18万元。支出包括：一般公共服务支出、文化旅游体育与传媒支出、社会保障和就业支出、卫生健康支出</w:t>
      </w:r>
      <w:r>
        <w:rPr>
          <w:rFonts w:hint="eastAsia" w:ascii="宋体" w:hAnsi="宋体"/>
          <w:b w:val="0"/>
          <w:bCs w:val="0"/>
          <w:sz w:val="32"/>
          <w:lang w:val="en-US" w:eastAsia="zh-CN"/>
        </w:rPr>
        <w:t>、住房保障支出。</w:t>
      </w:r>
      <w:r>
        <w:rPr>
          <w:rFonts w:hint="eastAsia" w:ascii="宋体" w:hAnsi="宋体"/>
          <w:sz w:val="32"/>
          <w:lang w:val="en-US" w:eastAsia="zh-CN"/>
        </w:rPr>
        <w:t>五通桥区委宣传部部门2026年收支预算总数1671.27万元,比2025年收支预算总数1784.93万元减少113.66万元。主要原因：一般公共服务支出比上年减少139.05万元、文化旅游体育与传媒支出比上年增加8.38万元、社会保障和就业支出比上年增加13.47万元、卫生健康支出比上年增加2.82万元</w:t>
      </w:r>
      <w:r>
        <w:rPr>
          <w:rFonts w:hint="eastAsia" w:ascii="宋体" w:hAnsi="宋体"/>
          <w:b w:val="0"/>
          <w:bCs w:val="0"/>
          <w:sz w:val="32"/>
          <w:lang w:val="en-US" w:eastAsia="zh-CN"/>
        </w:rPr>
        <w:t>、住房保障支出</w:t>
      </w:r>
      <w:r>
        <w:rPr>
          <w:rFonts w:hint="eastAsia" w:ascii="宋体" w:hAnsi="宋体"/>
          <w:sz w:val="32"/>
          <w:lang w:val="en-US" w:eastAsia="zh-CN"/>
        </w:rPr>
        <w:t>比上年增加0.72万元所致。</w:t>
      </w:r>
    </w:p>
    <w:p w14:paraId="4E6CBCA5">
      <w:pPr>
        <w:pStyle w:val="6"/>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36" w:name="_Toc4981"/>
      <w:r>
        <w:rPr>
          <w:rFonts w:ascii="宋体" w:hAnsi="宋体"/>
        </w:rPr>
        <w:t>（一）收入预算情况</w:t>
      </w:r>
      <w:bookmarkEnd w:id="36"/>
    </w:p>
    <w:p w14:paraId="7F95A902">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五通桥区委宣传部部门2026年收入预算1,671.27万元，其中：上年结转52.18万元，占3.12%；一般公共预算拨款收入1,619.09万元，占96.88%；政府基金预算拨款收入0万元，占0%；事业收入0万元，占0%；事业单位经营收入0万元，占0%；其他收入0万元，占0%。</w:t>
      </w:r>
    </w:p>
    <w:p w14:paraId="617E51EC">
      <w:pPr>
        <w:pStyle w:val="6"/>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37" w:name="_Toc6418"/>
      <w:r>
        <w:rPr>
          <w:rFonts w:ascii="宋体" w:hAnsi="宋体"/>
        </w:rPr>
        <w:t>（二）支出预算情况</w:t>
      </w:r>
      <w:bookmarkEnd w:id="37"/>
    </w:p>
    <w:p w14:paraId="6346716E">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五通桥区委宣传部部门2026年支出预算1,671.27万元，其中：人员支出773.34万元，日常公用支出116.89万元，对个人和家庭的补助支出34.66万元，专项支出746.38万元。</w:t>
      </w:r>
    </w:p>
    <w:p w14:paraId="50562DFE">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38" w:name="_Toc25208"/>
      <w:r>
        <w:rPr>
          <w:rFonts w:hint="eastAsia" w:ascii="宋体" w:hAnsi="宋体" w:eastAsia="黑体"/>
          <w:color w:val="333333"/>
        </w:rPr>
        <w:t>二、财政拨款收支预算情况说明</w:t>
      </w:r>
      <w:bookmarkEnd w:id="38"/>
    </w:p>
    <w:p w14:paraId="5BB58644">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highlight w:val="none"/>
          <w:lang w:val="en-US" w:eastAsia="zh-CN"/>
        </w:rPr>
        <w:t>五通桥区委宣传部部门2026年财政拨款收支预算总数1,671.27万元,比2025年财政拨</w:t>
      </w:r>
      <w:r>
        <w:rPr>
          <w:rFonts w:hint="eastAsia" w:ascii="宋体" w:hAnsi="宋体"/>
          <w:sz w:val="32"/>
          <w:lang w:val="en-US" w:eastAsia="zh-CN"/>
        </w:rPr>
        <w:t>款收支预算总数1784.93万元减少113.66万元。主要原因：一般公共服务支出比上年减少139.05万元、文化旅游体育与传媒支出比上年增加8.38万元、社会保障和就业支出比上年增加13.47万元、卫生健康支出比上年增加2.82万元</w:t>
      </w:r>
      <w:r>
        <w:rPr>
          <w:rFonts w:hint="eastAsia" w:ascii="宋体" w:hAnsi="宋体"/>
          <w:b w:val="0"/>
          <w:bCs w:val="0"/>
          <w:sz w:val="32"/>
          <w:lang w:val="en-US" w:eastAsia="zh-CN"/>
        </w:rPr>
        <w:t>、住房保障支出</w:t>
      </w:r>
      <w:r>
        <w:rPr>
          <w:rFonts w:hint="eastAsia" w:ascii="宋体" w:hAnsi="宋体"/>
          <w:sz w:val="32"/>
          <w:lang w:val="en-US" w:eastAsia="zh-CN"/>
        </w:rPr>
        <w:t>比上年增加0.72万元所致。</w:t>
      </w:r>
    </w:p>
    <w:p w14:paraId="350704E0">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其中：基本支出924.89万元，占55.34%；项目支出746.38万元，占44.66%。</w:t>
      </w:r>
    </w:p>
    <w:p w14:paraId="00EB7E6C">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基本支出，是用于保障五通桥区委宣传部机关、下属事业单位等机构正常运转的日常支出，包括基本工资、津贴补贴等人员经费以及办公费、印刷费、水电费、办公设备购置等日常公用经费。</w:t>
      </w:r>
    </w:p>
    <w:p w14:paraId="6A3E2CBC">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项目支出，是用于保障五通桥区委宣传部机关、下属事业单位等机构为完成特定的行政工作任务或事业发展目标，用于专项业务工作的经费支出。</w:t>
      </w:r>
    </w:p>
    <w:p w14:paraId="1E196F2F">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39" w:name="_Toc15813"/>
      <w:r>
        <w:rPr>
          <w:rFonts w:hint="eastAsia" w:ascii="宋体" w:hAnsi="宋体" w:eastAsia="黑体"/>
          <w:color w:val="333333"/>
        </w:rPr>
        <w:t>三、一般公共预算当年拨款情况说明</w:t>
      </w:r>
      <w:bookmarkEnd w:id="39"/>
    </w:p>
    <w:p w14:paraId="64EEBF30">
      <w:pPr>
        <w:pStyle w:val="6"/>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40" w:name="_Toc30305"/>
      <w:r>
        <w:rPr>
          <w:rFonts w:ascii="宋体" w:hAnsi="宋体"/>
        </w:rPr>
        <w:t>（一）一般公共预算当年拨款规模变化情况</w:t>
      </w:r>
      <w:bookmarkEnd w:id="40"/>
    </w:p>
    <w:p w14:paraId="441DED36">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360" w:lineRule="auto"/>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委宣传部部门2026年一般公共预算当年拨款1671.27万元，比2025年财政拨款收支预算总数1784.93万元减少113.66万元。主要原因：一般公共服务支出比上年减少139.05万元、文化旅游体育与传媒支出比上年增加8.38万元、社会保障和就业支出比上年增加13.47万元、卫生健康支出比上年增加2.82万元</w:t>
      </w:r>
      <w:r>
        <w:rPr>
          <w:rFonts w:hint="eastAsia" w:ascii="宋体" w:hAnsi="宋体"/>
          <w:b w:val="0"/>
          <w:bCs w:val="0"/>
          <w:sz w:val="32"/>
          <w:lang w:val="en-US" w:eastAsia="zh-CN"/>
        </w:rPr>
        <w:t>、住房保障支出</w:t>
      </w:r>
      <w:r>
        <w:rPr>
          <w:rFonts w:hint="eastAsia" w:ascii="宋体" w:hAnsi="宋体"/>
          <w:sz w:val="32"/>
          <w:lang w:val="en-US" w:eastAsia="zh-CN"/>
        </w:rPr>
        <w:t>比上年增加0.72万元所致。</w:t>
      </w:r>
    </w:p>
    <w:p w14:paraId="6751A029">
      <w:pPr>
        <w:pStyle w:val="6"/>
        <w:keepNext w:val="0"/>
        <w:keepLines w:val="0"/>
        <w:pageBreakBefore w:val="0"/>
        <w:widowControl w:val="0"/>
        <w:kinsoku/>
        <w:wordWrap/>
        <w:overflowPunct/>
        <w:topLinePunct w:val="0"/>
        <w:autoSpaceDE w:val="0"/>
        <w:autoSpaceDN w:val="0"/>
        <w:bidi w:val="0"/>
        <w:adjustRightInd/>
        <w:snapToGrid/>
        <w:spacing w:before="100" w:after="0" w:afterLines="50" w:line="360" w:lineRule="auto"/>
        <w:ind w:left="0" w:leftChars="0" w:firstLine="964" w:firstLineChars="300"/>
        <w:textAlignment w:val="auto"/>
        <w:rPr>
          <w:rFonts w:ascii="宋体" w:hAnsi="宋体"/>
        </w:rPr>
      </w:pPr>
      <w:bookmarkStart w:id="41" w:name="_Toc23662"/>
      <w:r>
        <w:rPr>
          <w:rFonts w:ascii="宋体" w:hAnsi="宋体"/>
        </w:rPr>
        <w:t>（二）一般公共预算当年拨款结构情况</w:t>
      </w:r>
      <w:bookmarkEnd w:id="41"/>
    </w:p>
    <w:p w14:paraId="21EB04C2">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360" w:lineRule="auto"/>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highlight w:val="none"/>
          <w:lang w:val="en-US" w:eastAsia="zh-CN"/>
        </w:rPr>
        <w:t>五通桥区委宣传部</w:t>
      </w:r>
      <w:r>
        <w:rPr>
          <w:rFonts w:hint="eastAsia" w:ascii="宋体" w:hAnsi="宋体"/>
          <w:sz w:val="32"/>
          <w:lang w:val="en-US" w:eastAsia="zh-CN"/>
        </w:rPr>
        <w:t>部门2026年一般公共预算支出1,671.27万元，主要包括一般公共服务支出1361.76万元，占81.48%；外交支出0万元，占0%；国防支出0万元，占0%；公共安全支出0万元，占0%；教育支出0万元，占0%；科学技术支出0万元，占0%；文化旅游体育与传媒支出52.18万元，占3.12%；社会保障和就业支出158.65万元，占9.49%；卫生健康支出33.37万元，占2%；节能环保支出0万元，占0%；城乡社区支出0万元，占0%；农林水支出0万元，占0%；交通运输支出0万元，占0%；资源勘探工业信息等支出0万元，占0%；商业服务业等支出0万元，占0%；金融支出0万元，占0%；援助其他地区支出0万元，占0%；自然资源海洋气象等支出0万元，占0%；住房保障支出65.31万元，占3.91%；粮油物资储备支出0万元，占0%；灾害防治及应急管理支出0万元，占0%；预备费0万元，占0%；其他支出0万元，占0%；转移性支出0万元，占0%；债务还本支出0万元，占0%；债务付息支出0万元，占0%；债务发行费支出0万元，占0%。</w:t>
      </w:r>
    </w:p>
    <w:p w14:paraId="46C09551">
      <w:pPr>
        <w:pStyle w:val="6"/>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hint="eastAsia" w:ascii="宋体" w:hAnsi="宋体" w:eastAsia="楷体"/>
          <w:highlight w:val="none"/>
          <w:lang w:eastAsia="zh-CN"/>
        </w:rPr>
      </w:pPr>
      <w:bookmarkStart w:id="42" w:name="_Toc3445"/>
      <w:r>
        <w:rPr>
          <w:rFonts w:ascii="宋体" w:hAnsi="宋体"/>
          <w:highlight w:val="none"/>
        </w:rPr>
        <w:t>（三）一般公共预算当年拨款具体使用情况</w:t>
      </w:r>
      <w:bookmarkEnd w:id="42"/>
    </w:p>
    <w:p w14:paraId="075D9EF2">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360" w:lineRule="auto"/>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一般公共服务（类）宣传事务（款）行政运行（项）（项）:2026年预算数为172.84万元，主要用于：机关及参公管理事业单位正常运转的基本支出，包括基本工资、津贴补贴等人员经费以及办公费、印刷费、水电费等日常公用经费。</w:t>
      </w:r>
    </w:p>
    <w:p w14:paraId="7D4FA053">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360" w:lineRule="auto"/>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 xml:space="preserve">2.一般公共服务（类）宣传事务（款）一般行政管理事务（项）:2026年预算数为521.70万元，主要用于：机关及参公管理事业单位开展财政综合业务、预决算编审等未单独设置项级科目的专门性财政管理工作的项目支出。 </w:t>
      </w:r>
    </w:p>
    <w:p w14:paraId="00949A2F">
      <w:pPr>
        <w:pStyle w:val="21"/>
        <w:spacing w:line="360" w:lineRule="auto"/>
        <w:ind w:firstLine="1280" w:firstLineChars="400"/>
        <w:rPr>
          <w:rFonts w:hint="eastAsia"/>
        </w:rPr>
      </w:pPr>
      <w:r>
        <w:rPr>
          <w:rFonts w:hint="eastAsia"/>
          <w:lang w:val="en-US" w:eastAsia="zh-CN"/>
        </w:rPr>
        <w:t>3.</w:t>
      </w:r>
      <w:r>
        <w:rPr>
          <w:rFonts w:hint="eastAsia"/>
        </w:rPr>
        <w:t xml:space="preserve"> 一般公共服务（类）宣传事务（款）事业运行（项）</w:t>
      </w:r>
    </w:p>
    <w:p w14:paraId="65BDDF1A">
      <w:pPr>
        <w:pStyle w:val="21"/>
        <w:spacing w:line="360" w:lineRule="auto"/>
        <w:rPr>
          <w:rFonts w:hint="eastAsia"/>
        </w:rPr>
      </w:pPr>
      <w:r>
        <w:rPr>
          <w:rFonts w:hint="eastAsia"/>
          <w:lang w:eastAsia="zh-CN"/>
        </w:rPr>
        <w:t>2026</w:t>
      </w:r>
      <w:r>
        <w:rPr>
          <w:rFonts w:hint="eastAsia"/>
        </w:rPr>
        <w:t>年预算数为</w:t>
      </w:r>
      <w:r>
        <w:rPr>
          <w:rFonts w:hint="eastAsia"/>
          <w:lang w:val="en-US" w:eastAsia="zh-CN"/>
        </w:rPr>
        <w:t>494.73</w:t>
      </w:r>
      <w:r>
        <w:rPr>
          <w:rFonts w:hint="eastAsia"/>
        </w:rPr>
        <w:t>万元，主要用于：事业单位正常运转</w:t>
      </w:r>
    </w:p>
    <w:p w14:paraId="0D3F1B85">
      <w:pPr>
        <w:pStyle w:val="21"/>
        <w:spacing w:line="360" w:lineRule="auto"/>
        <w:rPr>
          <w:rFonts w:hint="eastAsia"/>
        </w:rPr>
      </w:pPr>
      <w:r>
        <w:rPr>
          <w:rFonts w:hint="eastAsia"/>
        </w:rPr>
        <w:t>的基本支出，包括基本工资、津贴补贴等人员经费以及办公</w:t>
      </w:r>
    </w:p>
    <w:p w14:paraId="73D4C02B">
      <w:pPr>
        <w:pStyle w:val="21"/>
        <w:spacing w:line="360" w:lineRule="auto"/>
        <w:rPr>
          <w:rFonts w:hint="eastAsia"/>
        </w:rPr>
      </w:pPr>
      <w:r>
        <w:rPr>
          <w:rFonts w:hint="eastAsia"/>
        </w:rPr>
        <w:t>费、印刷费、水电费等日常公用经费。</w:t>
      </w:r>
    </w:p>
    <w:p w14:paraId="66EF2192">
      <w:pPr>
        <w:pStyle w:val="21"/>
        <w:numPr>
          <w:ilvl w:val="0"/>
          <w:numId w:val="3"/>
        </w:numPr>
        <w:spacing w:line="360" w:lineRule="auto"/>
        <w:ind w:left="638" w:leftChars="290" w:right="0" w:rightChars="0" w:firstLine="640" w:firstLineChars="200"/>
        <w:rPr>
          <w:rFonts w:hint="eastAsia"/>
        </w:rPr>
      </w:pPr>
      <w:r>
        <w:rPr>
          <w:rFonts w:hint="eastAsia"/>
        </w:rPr>
        <w:t>一般公共服务（类）宣传事务（款）其他宣传事务（项）:</w:t>
      </w:r>
      <w:r>
        <w:rPr>
          <w:rFonts w:hint="eastAsia"/>
          <w:lang w:eastAsia="zh-CN"/>
        </w:rPr>
        <w:t>2026</w:t>
      </w:r>
      <w:r>
        <w:rPr>
          <w:rFonts w:hint="eastAsia"/>
        </w:rPr>
        <w:t>年预算数为</w:t>
      </w:r>
      <w:r>
        <w:rPr>
          <w:rFonts w:hint="eastAsia"/>
          <w:lang w:val="en-US" w:eastAsia="zh-CN"/>
        </w:rPr>
        <w:t>172.50</w:t>
      </w:r>
      <w:r>
        <w:rPr>
          <w:rFonts w:hint="eastAsia"/>
        </w:rPr>
        <w:t>万元，主要用于：全区党报党</w:t>
      </w:r>
    </w:p>
    <w:p w14:paraId="21E152A6">
      <w:pPr>
        <w:pStyle w:val="21"/>
        <w:numPr>
          <w:ilvl w:val="0"/>
          <w:numId w:val="0"/>
        </w:numPr>
        <w:spacing w:line="360" w:lineRule="auto"/>
        <w:ind w:right="0" w:rightChars="0" w:firstLine="640" w:firstLineChars="200"/>
        <w:rPr>
          <w:rFonts w:hint="eastAsia"/>
        </w:rPr>
      </w:pPr>
      <w:r>
        <w:rPr>
          <w:rFonts w:hint="eastAsia"/>
        </w:rPr>
        <w:t>刊征订、媒体合作等项目支出。</w:t>
      </w:r>
    </w:p>
    <w:p w14:paraId="4D5182AA">
      <w:pPr>
        <w:pStyle w:val="21"/>
        <w:numPr>
          <w:ilvl w:val="0"/>
          <w:numId w:val="0"/>
        </w:numPr>
        <w:spacing w:line="360" w:lineRule="auto"/>
        <w:ind w:left="319" w:leftChars="145" w:right="0" w:rightChars="0" w:firstLine="960" w:firstLineChars="300"/>
        <w:rPr>
          <w:rFonts w:hint="eastAsia"/>
        </w:rPr>
      </w:pPr>
      <w:r>
        <w:rPr>
          <w:rFonts w:hint="eastAsia"/>
          <w:lang w:val="en-US" w:eastAsia="zh-CN"/>
        </w:rPr>
        <w:t>5.文化旅游体育与传媒支出</w:t>
      </w:r>
      <w:r>
        <w:rPr>
          <w:rFonts w:hint="eastAsia"/>
        </w:rPr>
        <w:t>（类）</w:t>
      </w:r>
      <w:r>
        <w:rPr>
          <w:rFonts w:hint="eastAsia"/>
          <w:lang w:val="en-US" w:eastAsia="zh-CN"/>
        </w:rPr>
        <w:t>新闻出版电影</w:t>
      </w:r>
      <w:r>
        <w:rPr>
          <w:rFonts w:hint="eastAsia"/>
        </w:rPr>
        <w:t>（款）</w:t>
      </w:r>
    </w:p>
    <w:p w14:paraId="4ED3CF48">
      <w:pPr>
        <w:pStyle w:val="21"/>
        <w:numPr>
          <w:ilvl w:val="0"/>
          <w:numId w:val="0"/>
        </w:numPr>
        <w:spacing w:line="360" w:lineRule="auto"/>
        <w:ind w:right="0" w:rightChars="0" w:firstLine="640" w:firstLineChars="200"/>
        <w:rPr>
          <w:rFonts w:hint="eastAsia"/>
          <w:lang w:val="en-US" w:eastAsia="zh-CN"/>
        </w:rPr>
      </w:pPr>
      <w:r>
        <w:rPr>
          <w:rFonts w:hint="eastAsia"/>
          <w:lang w:val="en-US" w:eastAsia="zh-CN"/>
        </w:rPr>
        <w:t>电影</w:t>
      </w:r>
      <w:r>
        <w:rPr>
          <w:rFonts w:hint="eastAsia"/>
        </w:rPr>
        <w:t>（项）</w:t>
      </w:r>
      <w:r>
        <w:rPr>
          <w:rFonts w:hint="eastAsia"/>
          <w:lang w:eastAsia="zh-CN"/>
        </w:rPr>
        <w:t>：2026</w:t>
      </w:r>
      <w:r>
        <w:rPr>
          <w:rFonts w:hint="eastAsia"/>
        </w:rPr>
        <w:t>年预算数为</w:t>
      </w:r>
      <w:r>
        <w:rPr>
          <w:rFonts w:hint="eastAsia"/>
          <w:lang w:val="en-US" w:eastAsia="zh-CN"/>
        </w:rPr>
        <w:t>3.68</w:t>
      </w:r>
      <w:r>
        <w:rPr>
          <w:rFonts w:hint="eastAsia"/>
        </w:rPr>
        <w:t>万元，主要用于：</w:t>
      </w:r>
      <w:r>
        <w:rPr>
          <w:rFonts w:hint="eastAsia"/>
          <w:lang w:val="en-US" w:eastAsia="zh-CN"/>
        </w:rPr>
        <w:t>电影</w:t>
      </w:r>
    </w:p>
    <w:p w14:paraId="6A581780">
      <w:pPr>
        <w:pStyle w:val="21"/>
        <w:numPr>
          <w:ilvl w:val="0"/>
          <w:numId w:val="0"/>
        </w:numPr>
        <w:spacing w:line="360" w:lineRule="auto"/>
        <w:ind w:right="0" w:rightChars="0" w:firstLine="640" w:firstLineChars="200"/>
        <w:rPr>
          <w:rFonts w:hint="eastAsia"/>
          <w:lang w:val="en-US" w:eastAsia="zh-CN"/>
        </w:rPr>
      </w:pPr>
      <w:r>
        <w:rPr>
          <w:rFonts w:hint="eastAsia"/>
          <w:lang w:val="en-US" w:eastAsia="zh-CN"/>
        </w:rPr>
        <w:t>制片、发行、放映方面的支出。</w:t>
      </w:r>
    </w:p>
    <w:p w14:paraId="0D6A66C4">
      <w:pPr>
        <w:pStyle w:val="21"/>
        <w:numPr>
          <w:ilvl w:val="0"/>
          <w:numId w:val="0"/>
        </w:numPr>
        <w:spacing w:line="360" w:lineRule="auto"/>
        <w:ind w:left="319" w:leftChars="145" w:right="0" w:rightChars="0" w:firstLine="960" w:firstLineChars="300"/>
        <w:rPr>
          <w:rFonts w:hint="eastAsia"/>
          <w:lang w:val="en-US" w:eastAsia="zh-CN"/>
        </w:rPr>
      </w:pPr>
      <w:r>
        <w:rPr>
          <w:rFonts w:hint="eastAsia"/>
          <w:lang w:val="en-US" w:eastAsia="zh-CN"/>
        </w:rPr>
        <w:t>6.文化旅游体育与传媒支出</w:t>
      </w:r>
      <w:r>
        <w:rPr>
          <w:rFonts w:hint="eastAsia"/>
        </w:rPr>
        <w:t>（类）</w:t>
      </w:r>
      <w:r>
        <w:rPr>
          <w:rFonts w:hint="eastAsia"/>
          <w:lang w:val="en-US" w:eastAsia="zh-CN"/>
        </w:rPr>
        <w:t>其他文化旅游体育与传媒支出</w:t>
      </w:r>
      <w:r>
        <w:rPr>
          <w:rFonts w:hint="eastAsia"/>
        </w:rPr>
        <w:t>（款）</w:t>
      </w:r>
      <w:r>
        <w:rPr>
          <w:rFonts w:hint="eastAsia"/>
          <w:lang w:val="en-US" w:eastAsia="zh-CN"/>
        </w:rPr>
        <w:t>其他文化旅游体育与传媒支出</w:t>
      </w:r>
      <w:r>
        <w:rPr>
          <w:rFonts w:hint="eastAsia"/>
        </w:rPr>
        <w:t>（项）</w:t>
      </w:r>
      <w:r>
        <w:rPr>
          <w:rFonts w:hint="eastAsia"/>
          <w:lang w:eastAsia="zh-CN"/>
        </w:rPr>
        <w:t>：2026</w:t>
      </w:r>
      <w:r>
        <w:rPr>
          <w:rFonts w:hint="eastAsia"/>
        </w:rPr>
        <w:t>年预算数为</w:t>
      </w:r>
      <w:r>
        <w:rPr>
          <w:rFonts w:hint="eastAsia"/>
          <w:lang w:val="en-US" w:eastAsia="zh-CN"/>
        </w:rPr>
        <w:t xml:space="preserve">  48.50</w:t>
      </w:r>
      <w:r>
        <w:rPr>
          <w:rFonts w:hint="eastAsia"/>
        </w:rPr>
        <w:t>万元，</w:t>
      </w:r>
      <w:r>
        <w:rPr>
          <w:rFonts w:hint="eastAsia"/>
          <w:lang w:eastAsia="zh-CN"/>
        </w:rPr>
        <w:t>指</w:t>
      </w:r>
      <w:r>
        <w:rPr>
          <w:rFonts w:hint="eastAsia"/>
        </w:rPr>
        <w:t>用于</w:t>
      </w:r>
      <w:r>
        <w:rPr>
          <w:rFonts w:hint="eastAsia"/>
          <w:lang w:val="en-US" w:eastAsia="zh-CN"/>
        </w:rPr>
        <w:t>其他文化旅游体育与传媒支出方面的支出。</w:t>
      </w:r>
    </w:p>
    <w:p w14:paraId="3F3BA869">
      <w:pPr>
        <w:pStyle w:val="21"/>
        <w:numPr>
          <w:ilvl w:val="0"/>
          <w:numId w:val="0"/>
        </w:numPr>
        <w:spacing w:line="360" w:lineRule="auto"/>
        <w:ind w:right="0" w:rightChars="0" w:firstLine="1280" w:firstLineChars="400"/>
        <w:rPr>
          <w:rFonts w:hint="eastAsia" w:hAnsi="Calibri" w:cs="宋体"/>
          <w:lang w:val="en-US" w:eastAsia="zh-CN"/>
        </w:rPr>
      </w:pPr>
      <w:r>
        <w:rPr>
          <w:rFonts w:hint="eastAsia" w:cs="宋体"/>
          <w:lang w:val="en-US" w:eastAsia="zh-CN"/>
        </w:rPr>
        <w:t>7</w:t>
      </w:r>
      <w:r>
        <w:rPr>
          <w:rFonts w:hint="eastAsia" w:hAnsi="Calibri" w:cs="宋体"/>
          <w:lang w:val="en-US" w:eastAsia="zh-CN"/>
        </w:rPr>
        <w:t>.社会保障和就业（类）行政事业单位离退休（款）</w:t>
      </w:r>
    </w:p>
    <w:p w14:paraId="783CD170">
      <w:pPr>
        <w:pStyle w:val="21"/>
        <w:numPr>
          <w:ilvl w:val="0"/>
          <w:numId w:val="0"/>
        </w:numPr>
        <w:spacing w:line="360" w:lineRule="auto"/>
        <w:ind w:left="638" w:leftChars="290" w:right="0" w:rightChars="0" w:firstLine="0" w:firstLineChars="0"/>
        <w:rPr>
          <w:rFonts w:hint="eastAsia" w:hAnsi="Calibri" w:cs="宋体"/>
          <w:lang w:val="en-US" w:eastAsia="zh-CN"/>
        </w:rPr>
      </w:pPr>
      <w:r>
        <w:rPr>
          <w:rFonts w:hint="eastAsia" w:hAnsi="Calibri" w:cs="宋体"/>
          <w:lang w:val="en-US" w:eastAsia="zh-CN"/>
        </w:rPr>
        <w:t>机关事业单位基本养老保险缴费支出（项）:</w:t>
      </w:r>
      <w:r>
        <w:rPr>
          <w:rFonts w:hint="eastAsia" w:cs="宋体"/>
          <w:lang w:val="en-US" w:eastAsia="zh-CN"/>
        </w:rPr>
        <w:t>2026</w:t>
      </w:r>
      <w:r>
        <w:rPr>
          <w:rFonts w:hint="eastAsia" w:hAnsi="Calibri" w:cs="宋体"/>
          <w:lang w:val="en-US" w:eastAsia="zh-CN"/>
        </w:rPr>
        <w:t>年预算数</w:t>
      </w:r>
    </w:p>
    <w:p w14:paraId="01FABFBC">
      <w:pPr>
        <w:pStyle w:val="21"/>
        <w:numPr>
          <w:ilvl w:val="0"/>
          <w:numId w:val="0"/>
        </w:numPr>
        <w:spacing w:line="360" w:lineRule="auto"/>
        <w:ind w:left="638" w:leftChars="290" w:right="0" w:rightChars="0" w:firstLine="0" w:firstLineChars="0"/>
        <w:rPr>
          <w:rFonts w:hint="eastAsia" w:ascii="宋体" w:hAnsi="宋体"/>
          <w:sz w:val="32"/>
          <w:lang w:val="en-US" w:eastAsia="zh-CN"/>
        </w:rPr>
      </w:pPr>
      <w:r>
        <w:rPr>
          <w:rFonts w:hint="eastAsia" w:hAnsi="Calibri" w:cs="宋体"/>
          <w:lang w:val="en-US" w:eastAsia="zh-CN"/>
        </w:rPr>
        <w:t>为</w:t>
      </w:r>
      <w:r>
        <w:rPr>
          <w:rFonts w:hint="eastAsia" w:ascii="宋体" w:hAnsi="宋体"/>
          <w:sz w:val="32"/>
          <w:lang w:val="en-US" w:eastAsia="zh-CN"/>
        </w:rPr>
        <w:t>80.26万元，主要用于：实施养老保险制度后，部门按规</w:t>
      </w:r>
    </w:p>
    <w:p w14:paraId="5FE322B0">
      <w:pPr>
        <w:pStyle w:val="21"/>
        <w:numPr>
          <w:ilvl w:val="0"/>
          <w:numId w:val="0"/>
        </w:numPr>
        <w:spacing w:line="360" w:lineRule="auto"/>
        <w:ind w:left="638" w:leftChars="290" w:right="0" w:rightChars="0" w:firstLine="0" w:firstLineChars="0"/>
        <w:rPr>
          <w:rFonts w:hint="eastAsia" w:ascii="宋体" w:hAnsi="宋体"/>
          <w:sz w:val="32"/>
          <w:lang w:val="en-US" w:eastAsia="zh-CN"/>
        </w:rPr>
      </w:pPr>
      <w:r>
        <w:rPr>
          <w:rFonts w:hint="eastAsia" w:ascii="宋体" w:hAnsi="宋体"/>
          <w:sz w:val="32"/>
          <w:lang w:val="en-US" w:eastAsia="zh-CN"/>
        </w:rPr>
        <w:t>定由单位缴纳的基本养老保险费支出。</w:t>
      </w:r>
    </w:p>
    <w:p w14:paraId="3A250F65">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360" w:lineRule="auto"/>
        <w:ind w:left="638" w:leftChars="29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8.社会保障和就业（类）行政事业单位离退休（款）机关事业单位职业年金缴费支出（项）:2026年预算数为40.13万元，主要用于：实施养老保险制度后，部门按规定由单位缴纳的职业年金支出。</w:t>
      </w:r>
    </w:p>
    <w:p w14:paraId="136F09D9">
      <w:pPr>
        <w:pStyle w:val="21"/>
        <w:numPr>
          <w:ilvl w:val="0"/>
          <w:numId w:val="0"/>
        </w:numPr>
        <w:spacing w:line="360" w:lineRule="auto"/>
        <w:ind w:leftChars="500" w:right="0" w:rightChars="0" w:firstLine="320" w:firstLineChars="100"/>
        <w:rPr>
          <w:rFonts w:hint="eastAsia"/>
          <w:lang w:eastAsia="zh-CN"/>
        </w:rPr>
      </w:pPr>
      <w:r>
        <w:rPr>
          <w:rFonts w:hint="eastAsia"/>
          <w:lang w:val="en-US" w:eastAsia="zh-CN"/>
        </w:rPr>
        <w:t>9.</w:t>
      </w:r>
      <w:r>
        <w:rPr>
          <w:rFonts w:hint="eastAsia"/>
        </w:rPr>
        <w:t>社会保障和就业（类）行政事业单位离退休（款）</w:t>
      </w:r>
      <w:r>
        <w:rPr>
          <w:rFonts w:hint="eastAsia"/>
          <w:lang w:eastAsia="zh-CN"/>
        </w:rPr>
        <w:t>：</w:t>
      </w:r>
    </w:p>
    <w:p w14:paraId="09DAF7D9">
      <w:pPr>
        <w:pStyle w:val="21"/>
        <w:numPr>
          <w:ilvl w:val="0"/>
          <w:numId w:val="0"/>
        </w:numPr>
        <w:spacing w:line="360" w:lineRule="auto"/>
        <w:ind w:right="0" w:rightChars="0" w:firstLine="640" w:firstLineChars="200"/>
        <w:rPr>
          <w:rFonts w:hint="default"/>
          <w:lang w:val="en-US" w:eastAsia="zh-CN"/>
        </w:rPr>
      </w:pPr>
      <w:r>
        <w:rPr>
          <w:rFonts w:hint="eastAsia"/>
        </w:rPr>
        <w:t>其他行政事业单位离退休支出（项）:</w:t>
      </w:r>
      <w:r>
        <w:rPr>
          <w:rFonts w:hint="eastAsia"/>
          <w:lang w:eastAsia="zh-CN"/>
        </w:rPr>
        <w:t>2026</w:t>
      </w:r>
      <w:r>
        <w:rPr>
          <w:rFonts w:hint="eastAsia"/>
        </w:rPr>
        <w:t>年预算数为</w:t>
      </w:r>
      <w:r>
        <w:rPr>
          <w:rFonts w:hint="eastAsia"/>
          <w:lang w:val="en-US" w:eastAsia="zh-CN"/>
        </w:rPr>
        <w:t>32.75</w:t>
      </w:r>
    </w:p>
    <w:p w14:paraId="3BEDC7A2">
      <w:pPr>
        <w:pStyle w:val="21"/>
        <w:numPr>
          <w:ilvl w:val="0"/>
          <w:numId w:val="0"/>
        </w:numPr>
        <w:spacing w:line="360" w:lineRule="auto"/>
        <w:ind w:right="0" w:rightChars="0" w:firstLine="640" w:firstLineChars="200"/>
        <w:rPr>
          <w:rFonts w:hint="eastAsia"/>
        </w:rPr>
      </w:pPr>
      <w:r>
        <w:rPr>
          <w:rFonts w:hint="eastAsia"/>
        </w:rPr>
        <w:t>万元，主要用于：退休人员经费支出。</w:t>
      </w:r>
    </w:p>
    <w:p w14:paraId="233880C6">
      <w:pPr>
        <w:pStyle w:val="21"/>
        <w:numPr>
          <w:ilvl w:val="0"/>
          <w:numId w:val="0"/>
        </w:numPr>
        <w:spacing w:line="360" w:lineRule="auto"/>
        <w:ind w:leftChars="500" w:right="0" w:rightChars="0" w:firstLine="320" w:firstLineChars="100"/>
        <w:rPr>
          <w:rFonts w:hint="eastAsia"/>
          <w:lang w:eastAsia="zh-CN"/>
        </w:rPr>
      </w:pPr>
      <w:r>
        <w:rPr>
          <w:rFonts w:hint="eastAsia"/>
          <w:lang w:val="en-US" w:eastAsia="zh-CN"/>
        </w:rPr>
        <w:t>10.</w:t>
      </w:r>
      <w:r>
        <w:rPr>
          <w:rFonts w:hint="eastAsia"/>
        </w:rPr>
        <w:t>社会保障和就业（类）其他社会保障和就业支出（款）</w:t>
      </w:r>
      <w:r>
        <w:rPr>
          <w:rFonts w:hint="eastAsia"/>
          <w:lang w:eastAsia="zh-CN"/>
        </w:rPr>
        <w:t>：</w:t>
      </w:r>
    </w:p>
    <w:p w14:paraId="376737B4">
      <w:pPr>
        <w:pStyle w:val="21"/>
        <w:numPr>
          <w:ilvl w:val="0"/>
          <w:numId w:val="0"/>
        </w:numPr>
        <w:spacing w:line="360" w:lineRule="auto"/>
        <w:ind w:left="638" w:leftChars="290" w:right="0" w:rightChars="0" w:firstLine="0" w:firstLineChars="0"/>
        <w:rPr>
          <w:rFonts w:hint="eastAsia"/>
        </w:rPr>
      </w:pPr>
      <w:r>
        <w:rPr>
          <w:rFonts w:hint="eastAsia"/>
        </w:rPr>
        <w:t>其他社会保障和就业支出（项）:</w:t>
      </w:r>
      <w:r>
        <w:rPr>
          <w:rFonts w:hint="eastAsia"/>
          <w:lang w:eastAsia="zh-CN"/>
        </w:rPr>
        <w:t>2026</w:t>
      </w:r>
      <w:r>
        <w:rPr>
          <w:rFonts w:hint="eastAsia"/>
        </w:rPr>
        <w:t>年预算数为</w:t>
      </w:r>
      <w:r>
        <w:rPr>
          <w:rFonts w:hint="eastAsia"/>
          <w:lang w:val="en-US" w:eastAsia="zh-CN"/>
        </w:rPr>
        <w:t>5.51</w:t>
      </w:r>
      <w:r>
        <w:rPr>
          <w:rFonts w:hint="eastAsia"/>
        </w:rPr>
        <w:t>万元，主</w:t>
      </w:r>
    </w:p>
    <w:p w14:paraId="53CBC017">
      <w:pPr>
        <w:pStyle w:val="21"/>
        <w:numPr>
          <w:ilvl w:val="0"/>
          <w:numId w:val="0"/>
        </w:numPr>
        <w:spacing w:line="360" w:lineRule="auto"/>
        <w:ind w:left="638" w:leftChars="290" w:right="0" w:rightChars="0" w:firstLine="0" w:firstLineChars="0"/>
        <w:rPr>
          <w:rFonts w:hint="eastAsia"/>
          <w:lang w:val="en-US" w:eastAsia="zh-CN"/>
        </w:rPr>
      </w:pPr>
      <w:r>
        <w:rPr>
          <w:rFonts w:hint="eastAsia"/>
        </w:rPr>
        <w:t>要用于：其他社会保障和就业</w:t>
      </w:r>
      <w:r>
        <w:rPr>
          <w:rFonts w:hint="eastAsia"/>
          <w:lang w:eastAsia="zh-CN"/>
        </w:rPr>
        <w:t>方面的</w:t>
      </w:r>
      <w:r>
        <w:rPr>
          <w:rFonts w:hint="eastAsia"/>
        </w:rPr>
        <w:t>支出。</w:t>
      </w:r>
    </w:p>
    <w:p w14:paraId="6A8725EA">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360" w:lineRule="auto"/>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11.卫生健康（类）行政事业单位医疗（款）行政单位医疗（项）:2026年预算数为5.69万元，主要用于：机关及参公管理事业单位基本医疗保险缴费支出。</w:t>
      </w:r>
    </w:p>
    <w:p w14:paraId="6C075666">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360" w:lineRule="auto"/>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12.卫生健康（类）行政事业单位医疗（款）事业单位医疗（项）:2026年预算数为19.18万元，主要用于：部门下属事业单位基本医疗保险缴费支出。</w:t>
      </w:r>
    </w:p>
    <w:p w14:paraId="489154DD">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360" w:lineRule="auto"/>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13.卫生健康（类）行政事业单位医疗（款）公务员医疗补助（项）:2026年预算数为8.50万元，主要用于：机关及参公管理事业单位公务员医疗补助保险缴费支出。</w:t>
      </w:r>
    </w:p>
    <w:p w14:paraId="1899B75B">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360" w:lineRule="auto"/>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14.住房保障（类）住房改革支出（款）住房公积金（项）:2026年预算数为65.31万元，主要用于：部门按人力资源和社会保障部、财政部规定的基本工资和津贴补贴以及规定比例为职工缴纳的住房公积金支出。</w:t>
      </w:r>
    </w:p>
    <w:p w14:paraId="1013EEE9">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43" w:name="_Toc29000"/>
      <w:r>
        <w:rPr>
          <w:rFonts w:hint="eastAsia" w:ascii="宋体" w:hAnsi="宋体" w:eastAsia="黑体"/>
          <w:color w:val="333333"/>
        </w:rPr>
        <w:t>四、一般公共预算基本支出情况说明</w:t>
      </w:r>
      <w:bookmarkEnd w:id="43"/>
    </w:p>
    <w:p w14:paraId="38A7AC0D">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五通桥区委宣传部部门2026年一般公共预算基本支出924.89万元，其中：</w:t>
      </w:r>
    </w:p>
    <w:p w14:paraId="4C8EFB1D">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人员经费808.00万元，主要包括：基本工资、津贴补贴、奖金、伙食补助费、绩效工资、机关事业单位基本养老保险缴费、职业年金缴费、职工基本医疗保险缴费、其他社会保障缴费、住房公积金、其他工资福利支出、离休费、抚恤金、生活补助、其他对个人和家庭的补助支出。</w:t>
      </w:r>
    </w:p>
    <w:p w14:paraId="09F28BBE">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公用经费116.89万元，主要包括：主要包括：办公费、印刷费、水费、电费、邮电费、差旅费、维修（护）费、会议费、培训费、公务接待费、劳务费、工会经费、福利费、公务用车运行维护费、其他交通费、其他商品和服务支出。</w:t>
      </w:r>
    </w:p>
    <w:p w14:paraId="294C8F6E">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44" w:name="_Toc16327"/>
      <w:r>
        <w:rPr>
          <w:rFonts w:hint="eastAsia" w:ascii="宋体" w:hAnsi="宋体" w:eastAsia="黑体"/>
          <w:color w:val="333333"/>
        </w:rPr>
        <w:t>五、“三公”经费财政拨款预算安排情况说明</w:t>
      </w:r>
      <w:bookmarkEnd w:id="44"/>
    </w:p>
    <w:p w14:paraId="4221049E">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五通桥区委宣传部部门2026年“三公”经费财政拨款预算数2.54万元，其中：公务接待费2.24万元，公务用车购置0万元，公车运行维护费0.30万元。</w:t>
      </w:r>
    </w:p>
    <w:p w14:paraId="63EBF5B9">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2026年公务接待费计划用于日常运转及特定工作等的接待事项等。</w:t>
      </w:r>
    </w:p>
    <w:p w14:paraId="3A5AB150">
      <w:pPr>
        <w:pStyle w:val="6"/>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45" w:name="_Toc2643"/>
      <w:r>
        <w:rPr>
          <w:rFonts w:ascii="宋体" w:hAnsi="宋体"/>
        </w:rPr>
        <w:t>（一）</w:t>
      </w:r>
      <w:r>
        <w:rPr>
          <w:rFonts w:hint="eastAsia" w:ascii="宋体" w:hAnsi="宋体"/>
          <w:lang w:val="en-US" w:eastAsia="zh-CN"/>
        </w:rPr>
        <w:t>公务接待费变化情况</w:t>
      </w:r>
      <w:bookmarkEnd w:id="45"/>
    </w:p>
    <w:p w14:paraId="50326A72">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default" w:ascii="宋体" w:hAnsi="宋体"/>
          <w:sz w:val="32"/>
          <w:lang w:val="en-US" w:eastAsia="zh-CN"/>
        </w:rPr>
        <w:t>公务接待费较</w:t>
      </w:r>
      <w:r>
        <w:rPr>
          <w:rFonts w:hint="eastAsia" w:ascii="宋体" w:hAnsi="宋体"/>
          <w:sz w:val="32"/>
          <w:lang w:val="en-US" w:eastAsia="zh-CN"/>
        </w:rPr>
        <w:t>2025</w:t>
      </w:r>
      <w:r>
        <w:rPr>
          <w:rFonts w:hint="default" w:ascii="宋体" w:hAnsi="宋体"/>
          <w:sz w:val="32"/>
          <w:lang w:val="en-US" w:eastAsia="zh-CN"/>
        </w:rPr>
        <w:t>年预算</w:t>
      </w:r>
      <w:r>
        <w:rPr>
          <w:rFonts w:hint="eastAsia" w:ascii="宋体" w:hAnsi="宋体"/>
          <w:sz w:val="32"/>
          <w:lang w:val="en-US" w:eastAsia="zh-CN"/>
        </w:rPr>
        <w:t>3.8</w:t>
      </w:r>
      <w:r>
        <w:rPr>
          <w:rFonts w:hint="default" w:ascii="宋体" w:hAnsi="宋体"/>
          <w:sz w:val="32"/>
          <w:lang w:val="en-US" w:eastAsia="zh-CN"/>
        </w:rPr>
        <w:t>万元减少</w:t>
      </w:r>
      <w:r>
        <w:rPr>
          <w:rFonts w:hint="eastAsia" w:ascii="宋体" w:hAnsi="宋体"/>
          <w:sz w:val="32"/>
          <w:lang w:val="en-US" w:eastAsia="zh-CN"/>
        </w:rPr>
        <w:t>1.56</w:t>
      </w:r>
      <w:r>
        <w:rPr>
          <w:rFonts w:hint="default" w:ascii="宋体" w:hAnsi="宋体"/>
          <w:sz w:val="32"/>
          <w:lang w:val="en-US" w:eastAsia="zh-CN"/>
        </w:rPr>
        <w:t>万元。主要原因是厉行节约，压缩接待规模和接待费用。</w:t>
      </w:r>
    </w:p>
    <w:p w14:paraId="6446EBF8">
      <w:pPr>
        <w:pStyle w:val="6"/>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46" w:name="_Toc23753"/>
      <w:r>
        <w:rPr>
          <w:rFonts w:ascii="宋体" w:hAnsi="宋体"/>
        </w:rPr>
        <w:t>（</w:t>
      </w:r>
      <w:r>
        <w:rPr>
          <w:rFonts w:hint="eastAsia" w:ascii="宋体" w:hAnsi="宋体"/>
          <w:lang w:val="en-US" w:eastAsia="zh-CN"/>
        </w:rPr>
        <w:t>二</w:t>
      </w:r>
      <w:r>
        <w:rPr>
          <w:rFonts w:ascii="宋体" w:hAnsi="宋体"/>
        </w:rPr>
        <w:t>）</w:t>
      </w:r>
      <w:r>
        <w:rPr>
          <w:rFonts w:hint="eastAsia" w:ascii="宋体" w:hAnsi="宋体"/>
          <w:lang w:val="en-US" w:eastAsia="zh-CN"/>
        </w:rPr>
        <w:t>公务用车购置及运行维护费变化情况</w:t>
      </w:r>
      <w:bookmarkEnd w:id="46"/>
    </w:p>
    <w:p w14:paraId="7B51B8A9">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default" w:ascii="宋体" w:hAnsi="宋体"/>
          <w:sz w:val="32"/>
          <w:lang w:val="en-US" w:eastAsia="zh-CN"/>
        </w:rPr>
        <w:t>公务用车购置及运行维护费较</w:t>
      </w:r>
      <w:r>
        <w:rPr>
          <w:rFonts w:hint="eastAsia" w:ascii="宋体" w:hAnsi="宋体"/>
          <w:sz w:val="32"/>
          <w:lang w:val="en-US" w:eastAsia="zh-CN"/>
        </w:rPr>
        <w:t>2025</w:t>
      </w:r>
      <w:r>
        <w:rPr>
          <w:rFonts w:hint="default" w:ascii="宋体" w:hAnsi="宋体"/>
          <w:sz w:val="32"/>
          <w:lang w:val="en-US" w:eastAsia="zh-CN"/>
        </w:rPr>
        <w:t>预算</w:t>
      </w:r>
      <w:r>
        <w:rPr>
          <w:rFonts w:hint="eastAsia" w:ascii="宋体" w:hAnsi="宋体"/>
          <w:sz w:val="32"/>
          <w:lang w:val="en-US" w:eastAsia="zh-CN"/>
        </w:rPr>
        <w:t>0.5</w:t>
      </w:r>
      <w:r>
        <w:rPr>
          <w:rFonts w:hint="default" w:ascii="宋体" w:hAnsi="宋体"/>
          <w:sz w:val="32"/>
          <w:lang w:val="en-US" w:eastAsia="zh-CN"/>
        </w:rPr>
        <w:t>万元预算</w:t>
      </w:r>
      <w:r>
        <w:rPr>
          <w:rFonts w:hint="eastAsia" w:ascii="宋体" w:hAnsi="宋体"/>
          <w:sz w:val="32"/>
          <w:lang w:val="en-US" w:eastAsia="zh-CN"/>
        </w:rPr>
        <w:t>减少0.2万元</w:t>
      </w:r>
      <w:r>
        <w:rPr>
          <w:rFonts w:hint="default" w:ascii="宋体" w:hAnsi="宋体"/>
          <w:sz w:val="32"/>
          <w:lang w:val="en-US" w:eastAsia="zh-CN"/>
        </w:rPr>
        <w:t>。主要原因是厉行节约，规范公务出行，尽量乘坐公共交通工具。</w:t>
      </w:r>
    </w:p>
    <w:p w14:paraId="2284B12D">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default" w:ascii="宋体" w:hAnsi="宋体"/>
          <w:sz w:val="32"/>
          <w:lang w:val="en-US" w:eastAsia="zh-CN"/>
        </w:rPr>
        <w:t>单位实有公务用车</w:t>
      </w:r>
      <w:r>
        <w:rPr>
          <w:rFonts w:hint="eastAsia" w:ascii="宋体" w:hAnsi="宋体"/>
          <w:sz w:val="32"/>
          <w:lang w:val="en-US" w:eastAsia="zh-CN"/>
        </w:rPr>
        <w:t>1</w:t>
      </w:r>
      <w:r>
        <w:rPr>
          <w:rFonts w:hint="default" w:ascii="宋体" w:hAnsi="宋体"/>
          <w:sz w:val="32"/>
          <w:lang w:val="en-US" w:eastAsia="zh-CN"/>
        </w:rPr>
        <w:t>辆，其中：轿车</w:t>
      </w:r>
      <w:r>
        <w:rPr>
          <w:rFonts w:hint="eastAsia" w:ascii="宋体" w:hAnsi="宋体"/>
          <w:sz w:val="32"/>
          <w:lang w:val="en-US" w:eastAsia="zh-CN"/>
        </w:rPr>
        <w:t>1</w:t>
      </w:r>
      <w:r>
        <w:rPr>
          <w:rFonts w:hint="default" w:ascii="宋体" w:hAnsi="宋体"/>
          <w:sz w:val="32"/>
          <w:lang w:val="en-US" w:eastAsia="zh-CN"/>
        </w:rPr>
        <w:t>辆，多功能乘用车</w:t>
      </w:r>
      <w:r>
        <w:rPr>
          <w:rFonts w:hint="eastAsia" w:ascii="宋体" w:hAnsi="宋体"/>
          <w:sz w:val="32"/>
          <w:lang w:val="en-US" w:eastAsia="zh-CN"/>
        </w:rPr>
        <w:t>0</w:t>
      </w:r>
      <w:r>
        <w:rPr>
          <w:rFonts w:hint="default" w:ascii="宋体" w:hAnsi="宋体"/>
          <w:sz w:val="32"/>
          <w:lang w:val="en-US" w:eastAsia="zh-CN"/>
        </w:rPr>
        <w:t>辆。</w:t>
      </w:r>
    </w:p>
    <w:p w14:paraId="0B769FEC">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2026</w:t>
      </w:r>
      <w:r>
        <w:rPr>
          <w:rFonts w:hint="default" w:ascii="宋体" w:hAnsi="宋体"/>
          <w:sz w:val="32"/>
          <w:lang w:val="en-US" w:eastAsia="zh-CN"/>
        </w:rPr>
        <w:t>年安排公务用车购置费</w:t>
      </w:r>
      <w:r>
        <w:rPr>
          <w:rFonts w:hint="eastAsia" w:ascii="宋体" w:hAnsi="宋体"/>
          <w:sz w:val="32"/>
          <w:lang w:val="en-US" w:eastAsia="zh-CN"/>
        </w:rPr>
        <w:t>0</w:t>
      </w:r>
      <w:r>
        <w:rPr>
          <w:rFonts w:hint="default" w:ascii="宋体" w:hAnsi="宋体"/>
          <w:sz w:val="32"/>
          <w:lang w:val="en-US" w:eastAsia="zh-CN"/>
        </w:rPr>
        <w:t>万元，拟购置公务用车</w:t>
      </w:r>
      <w:r>
        <w:rPr>
          <w:rFonts w:hint="eastAsia" w:ascii="宋体" w:hAnsi="宋体"/>
          <w:sz w:val="32"/>
          <w:lang w:val="en-US" w:eastAsia="zh-CN"/>
        </w:rPr>
        <w:t>0</w:t>
      </w:r>
      <w:r>
        <w:rPr>
          <w:rFonts w:hint="default" w:ascii="宋体" w:hAnsi="宋体"/>
          <w:sz w:val="32"/>
          <w:lang w:val="en-US" w:eastAsia="zh-CN"/>
        </w:rPr>
        <w:t>辆，其中：轿车</w:t>
      </w:r>
      <w:r>
        <w:rPr>
          <w:rFonts w:hint="eastAsia" w:ascii="宋体" w:hAnsi="宋体"/>
          <w:sz w:val="32"/>
          <w:lang w:val="en-US" w:eastAsia="zh-CN"/>
        </w:rPr>
        <w:t>0</w:t>
      </w:r>
      <w:r>
        <w:rPr>
          <w:rFonts w:hint="default" w:ascii="宋体" w:hAnsi="宋体"/>
          <w:sz w:val="32"/>
          <w:lang w:val="en-US" w:eastAsia="zh-CN"/>
        </w:rPr>
        <w:t>辆，旅行车（含商务车）</w:t>
      </w:r>
      <w:r>
        <w:rPr>
          <w:rFonts w:hint="eastAsia" w:ascii="宋体" w:hAnsi="宋体"/>
          <w:sz w:val="32"/>
          <w:lang w:val="en-US" w:eastAsia="zh-CN"/>
        </w:rPr>
        <w:t>0</w:t>
      </w:r>
      <w:r>
        <w:rPr>
          <w:rFonts w:hint="default" w:ascii="宋体" w:hAnsi="宋体"/>
          <w:sz w:val="32"/>
          <w:lang w:val="en-US" w:eastAsia="zh-CN"/>
        </w:rPr>
        <w:t>辆，越野车</w:t>
      </w:r>
      <w:r>
        <w:rPr>
          <w:rFonts w:hint="eastAsia" w:ascii="宋体" w:hAnsi="宋体"/>
          <w:sz w:val="32"/>
          <w:lang w:val="en-US" w:eastAsia="zh-CN"/>
        </w:rPr>
        <w:t>0</w:t>
      </w:r>
      <w:r>
        <w:rPr>
          <w:rFonts w:hint="default" w:ascii="宋体" w:hAnsi="宋体"/>
          <w:sz w:val="32"/>
          <w:lang w:val="en-US" w:eastAsia="zh-CN"/>
        </w:rPr>
        <w:t>辆，大型客、货车</w:t>
      </w:r>
      <w:r>
        <w:rPr>
          <w:rFonts w:hint="eastAsia" w:ascii="宋体" w:hAnsi="宋体"/>
          <w:sz w:val="32"/>
          <w:lang w:val="en-US" w:eastAsia="zh-CN"/>
        </w:rPr>
        <w:t>0</w:t>
      </w:r>
      <w:r>
        <w:rPr>
          <w:rFonts w:hint="default" w:ascii="宋体" w:hAnsi="宋体"/>
          <w:sz w:val="32"/>
          <w:lang w:val="en-US" w:eastAsia="zh-CN"/>
        </w:rPr>
        <w:t>辆。</w:t>
      </w:r>
    </w:p>
    <w:p w14:paraId="5B20A346">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2026</w:t>
      </w:r>
      <w:r>
        <w:rPr>
          <w:rFonts w:hint="default" w:ascii="宋体" w:hAnsi="宋体"/>
          <w:sz w:val="32"/>
          <w:lang w:val="en-US" w:eastAsia="zh-CN"/>
        </w:rPr>
        <w:t>年安排公务用车运行维护费</w:t>
      </w:r>
      <w:r>
        <w:rPr>
          <w:rFonts w:hint="eastAsia" w:ascii="宋体" w:hAnsi="宋体"/>
          <w:sz w:val="32"/>
          <w:lang w:val="en-US" w:eastAsia="zh-CN"/>
        </w:rPr>
        <w:t>0.3</w:t>
      </w:r>
      <w:r>
        <w:rPr>
          <w:rFonts w:hint="default" w:ascii="宋体" w:hAnsi="宋体"/>
          <w:sz w:val="32"/>
          <w:lang w:val="en-US" w:eastAsia="zh-CN"/>
        </w:rPr>
        <w:t>万元，</w:t>
      </w:r>
      <w:r>
        <w:rPr>
          <w:rFonts w:hint="eastAsia" w:ascii="宋体" w:hAnsi="宋体"/>
          <w:sz w:val="32"/>
          <w:lang w:val="en-US" w:eastAsia="zh-CN"/>
        </w:rPr>
        <w:t>用于1</w:t>
      </w:r>
      <w:r>
        <w:rPr>
          <w:rFonts w:hint="default" w:ascii="宋体" w:hAnsi="宋体"/>
          <w:sz w:val="32"/>
          <w:lang w:val="en-US" w:eastAsia="zh-CN"/>
        </w:rPr>
        <w:t>辆公务用车</w:t>
      </w:r>
      <w:r>
        <w:rPr>
          <w:rFonts w:hint="eastAsia" w:ascii="宋体" w:hAnsi="宋体"/>
          <w:sz w:val="32"/>
          <w:lang w:val="en-US" w:eastAsia="zh-CN"/>
        </w:rPr>
        <w:t>开展日常运转及特定工作等</w:t>
      </w:r>
      <w:r>
        <w:rPr>
          <w:rFonts w:hint="default" w:ascii="宋体" w:hAnsi="宋体"/>
          <w:sz w:val="32"/>
          <w:lang w:val="en-US" w:eastAsia="zh-CN"/>
        </w:rPr>
        <w:t>所需的公务用车汽油费、维修费、过路过桥费、保险费、停车费等支出。</w:t>
      </w:r>
    </w:p>
    <w:p w14:paraId="6E1D6C38">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47" w:name="_Toc4745"/>
      <w:r>
        <w:rPr>
          <w:rFonts w:hint="eastAsia" w:ascii="宋体" w:hAnsi="宋体" w:eastAsia="黑体"/>
          <w:color w:val="333333"/>
        </w:rPr>
        <w:t>六、政府性基金预算支出情况说明</w:t>
      </w:r>
      <w:bookmarkEnd w:id="47"/>
    </w:p>
    <w:p w14:paraId="3AEBE693">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五通桥区委宣传部</w:t>
      </w:r>
      <w:r>
        <w:rPr>
          <w:rFonts w:hint="default" w:ascii="宋体" w:hAnsi="宋体"/>
          <w:sz w:val="32"/>
          <w:lang w:val="en-US" w:eastAsia="zh-CN"/>
        </w:rPr>
        <w:t>部门</w:t>
      </w:r>
      <w:r>
        <w:rPr>
          <w:rFonts w:hint="eastAsia" w:ascii="宋体" w:hAnsi="宋体"/>
          <w:sz w:val="32"/>
          <w:lang w:val="en-US" w:eastAsia="zh-CN"/>
        </w:rPr>
        <w:t>2026</w:t>
      </w:r>
      <w:r>
        <w:rPr>
          <w:rFonts w:hint="default" w:ascii="宋体" w:hAnsi="宋体"/>
          <w:sz w:val="32"/>
          <w:lang w:val="en-US" w:eastAsia="zh-CN"/>
        </w:rPr>
        <w:t>年政府性基金预算拨款安排支出</w:t>
      </w:r>
      <w:r>
        <w:rPr>
          <w:rFonts w:hint="eastAsia" w:ascii="宋体" w:hAnsi="宋体"/>
          <w:sz w:val="32"/>
          <w:lang w:val="en-US" w:eastAsia="zh-CN"/>
        </w:rPr>
        <w:t>0万元，较上年预算数持平。</w:t>
      </w:r>
    </w:p>
    <w:p w14:paraId="0ECE97BD">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48" w:name="_Toc24466"/>
      <w:r>
        <w:rPr>
          <w:rFonts w:hint="eastAsia" w:ascii="宋体" w:hAnsi="宋体" w:eastAsia="黑体"/>
          <w:color w:val="333333"/>
          <w:lang w:val="en-US" w:eastAsia="zh-CN"/>
        </w:rPr>
        <w:t>七、</w:t>
      </w:r>
      <w:r>
        <w:rPr>
          <w:rFonts w:hint="eastAsia" w:ascii="宋体" w:hAnsi="宋体" w:eastAsia="黑体"/>
          <w:color w:val="333333"/>
        </w:rPr>
        <w:t>国有资本经营预算情况说明</w:t>
      </w:r>
      <w:bookmarkEnd w:id="48"/>
    </w:p>
    <w:p w14:paraId="64AC862D">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五通桥区委宣传部部门2026年国有资本经营预算拨款安排支出0万元,较上年预算数持平。</w:t>
      </w:r>
    </w:p>
    <w:p w14:paraId="19CD43E1">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lang w:val="en-US" w:eastAsia="zh-CN"/>
        </w:rPr>
      </w:pPr>
      <w:bookmarkStart w:id="49" w:name="_Toc3207"/>
      <w:r>
        <w:rPr>
          <w:rFonts w:hint="eastAsia" w:ascii="宋体" w:hAnsi="宋体" w:eastAsia="黑体"/>
          <w:color w:val="333333"/>
          <w:lang w:val="en-US" w:eastAsia="zh-CN"/>
        </w:rPr>
        <w:t>八、其他重要事项的情况说明</w:t>
      </w:r>
      <w:bookmarkEnd w:id="49"/>
    </w:p>
    <w:p w14:paraId="07378179">
      <w:pPr>
        <w:pStyle w:val="6"/>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hint="default" w:ascii="宋体" w:hAnsi="宋体"/>
          <w:lang w:val="en-US" w:eastAsia="zh-CN"/>
        </w:rPr>
      </w:pPr>
      <w:bookmarkStart w:id="50" w:name="_Toc27819"/>
      <w:r>
        <w:rPr>
          <w:rFonts w:ascii="宋体" w:hAnsi="宋体"/>
        </w:rPr>
        <w:t>（一）机关运行经费情况</w:t>
      </w:r>
      <w:bookmarkEnd w:id="50"/>
    </w:p>
    <w:p w14:paraId="7A5216E5">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2026年，五通桥区委宣传部部门下属五通桥区委宣传部机关1家行政单位,0家参公管理事业单位以及五通桥区融媒体中心、乐山市五通桥区社会科学界联合会2家事业单位的机关运行经费财政拨款预算为116.89万元，比2025年预算109.92万元增加6.97万元，增长6.34%。主要原因是办公费、差旅费、其他商品和服务支出等预算增加所致。</w:t>
      </w:r>
    </w:p>
    <w:p w14:paraId="20C71AFF">
      <w:pPr>
        <w:pStyle w:val="6"/>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51" w:name="_Toc28069"/>
      <w:r>
        <w:rPr>
          <w:rFonts w:ascii="宋体" w:hAnsi="宋体"/>
        </w:rPr>
        <w:t>（二）政府采购情况</w:t>
      </w:r>
      <w:bookmarkEnd w:id="51"/>
    </w:p>
    <w:p w14:paraId="086CA9F7">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2026年，五通桥区委宣传部部门政府采购项目0万元。其中，政府采购货物预算0万元；政府采购工程预算0万元；政府采购服务预算0万元。</w:t>
      </w:r>
    </w:p>
    <w:p w14:paraId="4D3C33CE">
      <w:pPr>
        <w:pStyle w:val="6"/>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52" w:name="_Toc17201"/>
      <w:r>
        <w:rPr>
          <w:rFonts w:ascii="宋体" w:hAnsi="宋体"/>
        </w:rPr>
        <w:t>（三）国有资产占有使用情况</w:t>
      </w:r>
      <w:bookmarkEnd w:id="52"/>
    </w:p>
    <w:p w14:paraId="10B1AB0F">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截至2026年底，五通桥区委宣传部部门所属各预算单位共有车辆1辆。单位价值100万元以上大型设备0套。</w:t>
      </w:r>
    </w:p>
    <w:p w14:paraId="62A650E1">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2026年部门预算未安排购置车辆及单位价值100万元以上大型设备。</w:t>
      </w:r>
    </w:p>
    <w:p w14:paraId="19FD92F0">
      <w:pPr>
        <w:pStyle w:val="6"/>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53" w:name="_Toc17169"/>
      <w:r>
        <w:rPr>
          <w:rFonts w:hint="eastAsia" w:ascii="宋体" w:hAnsi="宋体"/>
          <w:lang w:eastAsia="zh-CN"/>
        </w:rPr>
        <w:t>（</w:t>
      </w:r>
      <w:r>
        <w:rPr>
          <w:rFonts w:hint="eastAsia" w:ascii="宋体" w:hAnsi="宋体"/>
          <w:lang w:val="en-US" w:eastAsia="zh-CN"/>
        </w:rPr>
        <w:t>四</w:t>
      </w:r>
      <w:r>
        <w:rPr>
          <w:rFonts w:hint="eastAsia" w:ascii="宋体" w:hAnsi="宋体"/>
          <w:lang w:eastAsia="zh-CN"/>
        </w:rPr>
        <w:t>）</w:t>
      </w:r>
      <w:r>
        <w:rPr>
          <w:rFonts w:ascii="宋体" w:hAnsi="宋体"/>
        </w:rPr>
        <w:t>预算绩效情况</w:t>
      </w:r>
      <w:bookmarkEnd w:id="53"/>
    </w:p>
    <w:p w14:paraId="41314313">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ascii="宋体" w:hAnsi="宋体"/>
          <w:spacing w:val="6"/>
        </w:rPr>
      </w:pPr>
      <w:r>
        <w:rPr>
          <w:rFonts w:hint="eastAsia" w:ascii="宋体" w:hAnsi="宋体"/>
          <w:sz w:val="32"/>
          <w:lang w:val="en-US" w:eastAsia="zh-CN"/>
        </w:rPr>
        <w:t>2026年五通桥区委宣传部开展绩效目标管理的项目48个，涉及预算1619.09万元。其中：人员类项目20个，涉及预算807.99万元；运转类项目8个，涉及预算116.9万元；特定目标类项目20个，涉及预算694.2万元。</w:t>
      </w:r>
    </w:p>
    <w:p w14:paraId="5D6D802E">
      <w:pPr>
        <w:pStyle w:val="4"/>
        <w:spacing w:before="0"/>
        <w:ind w:right="0"/>
        <w:jc w:val="both"/>
        <w:rPr>
          <w:rFonts w:ascii="宋体" w:hAnsi="宋体"/>
          <w:spacing w:val="6"/>
        </w:rPr>
        <w:sectPr>
          <w:headerReference r:id="rId9" w:type="default"/>
          <w:footerReference r:id="rId10" w:type="default"/>
          <w:pgSz w:w="11910" w:h="16840"/>
          <w:pgMar w:top="1587" w:right="964" w:bottom="1701" w:left="1134" w:header="737" w:footer="737" w:gutter="0"/>
          <w:pgNumType w:fmt="decimal"/>
          <w:cols w:space="0" w:num="1"/>
          <w:rtlGutter w:val="0"/>
          <w:docGrid w:linePitch="0" w:charSpace="0"/>
        </w:sectPr>
      </w:pPr>
    </w:p>
    <w:p w14:paraId="27E4539E">
      <w:pPr>
        <w:rPr>
          <w:rFonts w:ascii="宋体" w:hAnsi="宋体"/>
        </w:rPr>
      </w:pPr>
    </w:p>
    <w:p w14:paraId="075CF7FC">
      <w:pPr>
        <w:pStyle w:val="4"/>
        <w:rPr>
          <w:rFonts w:ascii="宋体" w:hAnsi="宋体"/>
          <w:sz w:val="20"/>
        </w:rPr>
      </w:pPr>
    </w:p>
    <w:p w14:paraId="5B1D7EE9">
      <w:pPr>
        <w:pStyle w:val="4"/>
        <w:rPr>
          <w:rFonts w:ascii="宋体" w:hAnsi="宋体"/>
          <w:sz w:val="20"/>
        </w:rPr>
      </w:pPr>
    </w:p>
    <w:p w14:paraId="274F1BC1">
      <w:pPr>
        <w:pStyle w:val="4"/>
        <w:rPr>
          <w:rFonts w:ascii="宋体" w:hAnsi="宋体"/>
          <w:sz w:val="20"/>
        </w:rPr>
      </w:pPr>
    </w:p>
    <w:p w14:paraId="1BEF89AE">
      <w:pPr>
        <w:pStyle w:val="4"/>
        <w:rPr>
          <w:rFonts w:ascii="宋体" w:hAnsi="宋体"/>
          <w:sz w:val="20"/>
        </w:rPr>
      </w:pPr>
    </w:p>
    <w:p w14:paraId="5867BE7D">
      <w:pPr>
        <w:pStyle w:val="4"/>
        <w:rPr>
          <w:rFonts w:ascii="宋体" w:hAnsi="宋体"/>
          <w:sz w:val="20"/>
        </w:rPr>
      </w:pPr>
    </w:p>
    <w:p w14:paraId="22790A7C">
      <w:pPr>
        <w:pStyle w:val="4"/>
        <w:rPr>
          <w:rFonts w:ascii="宋体" w:hAnsi="宋体"/>
          <w:sz w:val="20"/>
        </w:rPr>
      </w:pPr>
    </w:p>
    <w:p w14:paraId="4661F014">
      <w:pPr>
        <w:pStyle w:val="4"/>
        <w:rPr>
          <w:rFonts w:ascii="宋体" w:hAnsi="宋体"/>
          <w:sz w:val="20"/>
        </w:rPr>
      </w:pPr>
    </w:p>
    <w:p w14:paraId="3F2AA8FC">
      <w:pPr>
        <w:pStyle w:val="4"/>
        <w:rPr>
          <w:rFonts w:ascii="宋体" w:hAnsi="宋体"/>
          <w:sz w:val="20"/>
        </w:rPr>
      </w:pPr>
    </w:p>
    <w:p w14:paraId="7578F25E">
      <w:pPr>
        <w:pStyle w:val="4"/>
        <w:rPr>
          <w:rFonts w:ascii="宋体" w:hAnsi="宋体"/>
          <w:sz w:val="20"/>
        </w:rPr>
      </w:pPr>
    </w:p>
    <w:p w14:paraId="2D7F85C5">
      <w:pPr>
        <w:pStyle w:val="4"/>
        <w:rPr>
          <w:rFonts w:ascii="宋体" w:hAnsi="宋体"/>
          <w:sz w:val="20"/>
        </w:rPr>
      </w:pPr>
    </w:p>
    <w:p w14:paraId="149202B5">
      <w:pPr>
        <w:pStyle w:val="4"/>
        <w:rPr>
          <w:rFonts w:ascii="宋体" w:hAnsi="宋体"/>
          <w:sz w:val="20"/>
        </w:rPr>
      </w:pPr>
    </w:p>
    <w:p w14:paraId="201ABC48">
      <w:pPr>
        <w:pStyle w:val="4"/>
        <w:rPr>
          <w:rFonts w:ascii="宋体" w:hAnsi="宋体"/>
          <w:sz w:val="20"/>
        </w:rPr>
      </w:pPr>
    </w:p>
    <w:p w14:paraId="079A5601">
      <w:pPr>
        <w:pStyle w:val="4"/>
        <w:rPr>
          <w:rFonts w:ascii="宋体" w:hAnsi="宋体"/>
          <w:sz w:val="20"/>
        </w:rPr>
      </w:pPr>
    </w:p>
    <w:p w14:paraId="2A3B86E3">
      <w:pPr>
        <w:pStyle w:val="4"/>
        <w:rPr>
          <w:rFonts w:ascii="宋体" w:hAnsi="宋体"/>
          <w:sz w:val="20"/>
        </w:rPr>
      </w:pPr>
    </w:p>
    <w:p w14:paraId="3EBDFF5D">
      <w:pPr>
        <w:pStyle w:val="4"/>
        <w:rPr>
          <w:rFonts w:ascii="宋体" w:hAnsi="宋体"/>
          <w:sz w:val="20"/>
        </w:rPr>
      </w:pPr>
    </w:p>
    <w:p w14:paraId="43181232">
      <w:pPr>
        <w:pStyle w:val="4"/>
        <w:rPr>
          <w:rFonts w:ascii="宋体" w:hAnsi="宋体"/>
          <w:sz w:val="20"/>
        </w:rPr>
      </w:pPr>
    </w:p>
    <w:p w14:paraId="1F2CA4F9">
      <w:pPr>
        <w:pStyle w:val="4"/>
        <w:rPr>
          <w:rFonts w:ascii="宋体" w:hAnsi="宋体"/>
          <w:sz w:val="20"/>
        </w:rPr>
      </w:pPr>
    </w:p>
    <w:p w14:paraId="43CAA707">
      <w:pPr>
        <w:pStyle w:val="4"/>
        <w:rPr>
          <w:rFonts w:ascii="宋体" w:hAnsi="宋体"/>
          <w:sz w:val="20"/>
        </w:rPr>
      </w:pPr>
    </w:p>
    <w:p w14:paraId="01446E47">
      <w:pPr>
        <w:pStyle w:val="4"/>
        <w:rPr>
          <w:rFonts w:ascii="宋体" w:hAnsi="宋体"/>
          <w:sz w:val="20"/>
        </w:rPr>
      </w:pPr>
    </w:p>
    <w:p w14:paraId="149316A3">
      <w:pPr>
        <w:pStyle w:val="4"/>
        <w:rPr>
          <w:rFonts w:ascii="宋体" w:hAnsi="宋体"/>
          <w:sz w:val="20"/>
        </w:rPr>
      </w:pPr>
    </w:p>
    <w:p w14:paraId="05398D6C">
      <w:pPr>
        <w:pStyle w:val="4"/>
        <w:rPr>
          <w:rFonts w:ascii="宋体" w:hAnsi="宋体"/>
          <w:sz w:val="20"/>
        </w:rPr>
      </w:pPr>
    </w:p>
    <w:p w14:paraId="4D01CD68">
      <w:pPr>
        <w:pStyle w:val="4"/>
        <w:jc w:val="center"/>
        <w:outlineLvl w:val="0"/>
        <w:rPr>
          <w:rFonts w:hint="eastAsia" w:ascii="宋体" w:hAnsi="宋体" w:eastAsia="方正小标宋简体" w:cs="方正小标宋简体"/>
          <w:sz w:val="52"/>
          <w:szCs w:val="52"/>
          <w:lang w:val="en-US" w:eastAsia="zh-CN"/>
        </w:rPr>
      </w:pPr>
      <w:bookmarkStart w:id="54" w:name="_Toc25626"/>
      <w:r>
        <w:rPr>
          <w:rFonts w:hint="eastAsia" w:ascii="宋体" w:hAnsi="宋体" w:eastAsia="方正小标宋简体" w:cs="方正小标宋简体"/>
          <w:sz w:val="52"/>
          <w:szCs w:val="52"/>
          <w:lang w:val="en-US" w:eastAsia="zh-CN"/>
        </w:rPr>
        <w:t>第四部分  名词解释</w:t>
      </w:r>
      <w:bookmarkEnd w:id="54"/>
    </w:p>
    <w:p w14:paraId="7CC9514F">
      <w:pPr>
        <w:spacing w:after="0"/>
        <w:rPr>
          <w:rFonts w:ascii="宋体" w:hAnsi="宋体"/>
          <w:sz w:val="20"/>
        </w:rPr>
        <w:sectPr>
          <w:headerReference r:id="rId11" w:type="default"/>
          <w:footerReference r:id="rId12" w:type="default"/>
          <w:pgSz w:w="11910" w:h="16840"/>
          <w:pgMar w:top="1587" w:right="964" w:bottom="1701" w:left="1134" w:header="737" w:footer="737" w:gutter="0"/>
          <w:pgNumType w:fmt="decimal"/>
          <w:cols w:space="0" w:num="1"/>
          <w:rtlGutter w:val="0"/>
          <w:docGrid w:linePitch="0" w:charSpace="0"/>
        </w:sectPr>
      </w:pPr>
    </w:p>
    <w:p w14:paraId="1596C900">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bookmarkStart w:id="55" w:name="_GoBack"/>
      <w:bookmarkEnd w:id="55"/>
      <w:r>
        <w:rPr>
          <w:rFonts w:hint="eastAsia" w:ascii="宋体" w:hAnsi="宋体"/>
          <w:sz w:val="32"/>
          <w:lang w:val="en-US" w:eastAsia="zh-CN"/>
        </w:rPr>
        <w:t>1.财政拨款收支情况：是指一般公共预算、政府性基金预算、国有资本经营预算拨款收支情况。</w:t>
      </w:r>
    </w:p>
    <w:p w14:paraId="68B2732E">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2.一般公共预算拨款收入：指区级财政当年拨付的资金。</w:t>
      </w:r>
    </w:p>
    <w:p w14:paraId="7F2F9667">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3.事业收入：指事业单位开展专业业务活动及辅助活动所取得的收入。</w:t>
      </w:r>
    </w:p>
    <w:p w14:paraId="382A0348">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4.事业单位经营收入：指事业单位在专业业务活动及其辅助活动之外开展非独立核算经营活动取得的收入。</w:t>
      </w:r>
    </w:p>
    <w:p w14:paraId="4DD71782">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5.其他收入：指除上述“一般公共预算拨款收入”、“事业收入”、“事业单位经营收入”等以外的收入。主要是利息收入、国有资产出租收入等。</w:t>
      </w:r>
    </w:p>
    <w:p w14:paraId="2E177F6F">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6.用事业基金弥补收支差额：指事业单位在当年的收入不足以安排当年支出的情况下，使用以前年度积累的事业基金（事业单位当年收支相抵后按国家规定提取、用于弥补以后年度收支差额的基金）弥补本年度收支缺口的资金。</w:t>
      </w:r>
    </w:p>
    <w:p w14:paraId="6B94EAB1">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7.上年结转：指以前年度尚未完成，结转到本年仍按原规定用途继续使用的资金。</w:t>
      </w:r>
    </w:p>
    <w:p w14:paraId="23D32315">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8.社会保障和就业（类）行政事业单位离退休（款）事业单位离退休（项）：指离退休人员的支出。</w:t>
      </w:r>
    </w:p>
    <w:p w14:paraId="36A28B9A">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9.社会保障和就业（类）行政事业单位离退休（款）未归口管理的行政单位离退休（项）：指离退休人员的支出。</w:t>
      </w:r>
    </w:p>
    <w:p w14:paraId="38AE55A3">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10.社会保障和就业（类）行政事业单位离退休（款）机关事业单位基本养老保险缴费支出（项）：指部门实施养老保险制度由单位缴纳的养老保险费的支出。</w:t>
      </w:r>
    </w:p>
    <w:p w14:paraId="69134D6F">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11.社会保障和就业（类）行政事业单位离退休（款）机关事业单位职业年金缴费支出（项）：指部门实施养老保险制度由单位缴纳的职业年金的支出。</w:t>
      </w:r>
    </w:p>
    <w:p w14:paraId="3600347A">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12.社会保障和就业（类）其他社会保障和就业（款）其他社会保障和就业支出（项）：指除上述项目外，其他用于行政事业单位离退休方面的支出。</w:t>
      </w:r>
    </w:p>
    <w:p w14:paraId="210500EC">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13.卫生健康（类）行政事业单位医疗（款）行政单位医疗（项）：指行政单位及参公管理事业单位用于缴纳单位基本医疗保险支出。</w:t>
      </w:r>
    </w:p>
    <w:p w14:paraId="71187F0A">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14.卫生健康（类）行政事业单位医疗（款）事业单位医疗（项）：指事业单位用于缴纳单位基本医疗保险支出。</w:t>
      </w:r>
    </w:p>
    <w:p w14:paraId="2E8741A8">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15.卫生健康（类）行政事业单位医疗（款）公务员医疗补助（项）：指行政单位及参公管理事业单位用于集中缴纳公务员医疗补助支出。</w:t>
      </w:r>
    </w:p>
    <w:p w14:paraId="001B1E2D">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16.住房保障（类）住房改革支出（款）住房公积金（项）：指由单位及其在职职工按规定缴存的住房公积金支出。</w:t>
      </w:r>
    </w:p>
    <w:p w14:paraId="2D6A596C">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17.基本支出：指为保证机构正常运转，完成日常工作任务而发生的人员支出和公用支出。</w:t>
      </w:r>
    </w:p>
    <w:p w14:paraId="46D285BA">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18.项目支出：指在基本支出之外为完成特定行政任务和事业发展目标所发生的支出。</w:t>
      </w:r>
    </w:p>
    <w:p w14:paraId="6FF4806C">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19.纳入预决算管理的“三公”经费，是指部门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3915342C">
      <w:pPr>
        <w:pStyle w:val="12"/>
        <w:keepNext w:val="0"/>
        <w:keepLines w:val="0"/>
        <w:pageBreakBefore w:val="0"/>
        <w:widowControl/>
        <w:suppressLineNumbers w:val="0"/>
        <w:shd w:val="clear" w:fill="FFFFFF"/>
        <w:kinsoku/>
        <w:wordWrap/>
        <w:overflowPunct/>
        <w:topLinePunct w:val="0"/>
        <w:autoSpaceDE w:val="0"/>
        <w:autoSpaceDN w:val="0"/>
        <w:bidi w:val="0"/>
        <w:adjustRightInd/>
        <w:snapToGrid/>
        <w:spacing w:before="20" w:beforeAutospacing="0" w:after="10" w:afterAutospacing="0" w:line="360" w:lineRule="auto"/>
        <w:ind w:firstLine="1280" w:firstLineChars="400"/>
        <w:jc w:val="both"/>
        <w:textAlignment w:val="auto"/>
        <w:rPr>
          <w:rFonts w:hint="eastAsia" w:ascii="宋体" w:hAnsi="宋体" w:eastAsia="仿宋_GB2312" w:cs="仿宋_GB2312"/>
          <w:kern w:val="0"/>
          <w:sz w:val="32"/>
          <w:szCs w:val="22"/>
          <w:lang w:val="en-US" w:eastAsia="zh-CN" w:bidi="zh-CN"/>
        </w:rPr>
      </w:pPr>
      <w:r>
        <w:rPr>
          <w:rFonts w:hint="eastAsia" w:ascii="宋体" w:hAnsi="宋体" w:eastAsia="仿宋_GB2312" w:cs="仿宋_GB2312"/>
          <w:kern w:val="0"/>
          <w:sz w:val="32"/>
          <w:szCs w:val="22"/>
          <w:lang w:val="en-US" w:eastAsia="zh-CN" w:bidi="zh-CN"/>
        </w:rPr>
        <w:t xml:space="preserve">20.一般公共服务（类）宣传事务（款）行政运行（项）： </w:t>
      </w:r>
    </w:p>
    <w:p w14:paraId="18FD9677">
      <w:pPr>
        <w:pStyle w:val="12"/>
        <w:keepNext w:val="0"/>
        <w:keepLines w:val="0"/>
        <w:pageBreakBefore w:val="0"/>
        <w:widowControl/>
        <w:suppressLineNumbers w:val="0"/>
        <w:shd w:val="clear" w:fill="FFFFFF"/>
        <w:kinsoku/>
        <w:wordWrap/>
        <w:overflowPunct/>
        <w:topLinePunct w:val="0"/>
        <w:autoSpaceDE w:val="0"/>
        <w:autoSpaceDN w:val="0"/>
        <w:bidi w:val="0"/>
        <w:adjustRightInd/>
        <w:snapToGrid/>
        <w:spacing w:before="20" w:beforeAutospacing="0" w:after="10" w:afterAutospacing="0" w:line="360" w:lineRule="auto"/>
        <w:ind w:firstLine="640" w:firstLineChars="200"/>
        <w:jc w:val="both"/>
        <w:textAlignment w:val="auto"/>
        <w:rPr>
          <w:rFonts w:hint="eastAsia" w:ascii="宋体" w:hAnsi="宋体" w:eastAsia="仿宋_GB2312" w:cs="仿宋_GB2312"/>
          <w:kern w:val="0"/>
          <w:sz w:val="32"/>
          <w:szCs w:val="22"/>
          <w:lang w:val="en-US" w:eastAsia="zh-CN" w:bidi="zh-CN"/>
        </w:rPr>
      </w:pPr>
      <w:r>
        <w:rPr>
          <w:rFonts w:hint="eastAsia" w:ascii="宋体" w:hAnsi="宋体" w:eastAsia="仿宋_GB2312" w:cs="仿宋_GB2312"/>
          <w:kern w:val="0"/>
          <w:sz w:val="32"/>
          <w:szCs w:val="22"/>
          <w:lang w:val="en-US" w:eastAsia="zh-CN" w:bidi="zh-CN"/>
        </w:rPr>
        <w:t>指行政单位（包括实行公务员管理的事业单位）的基本支出。</w:t>
      </w:r>
    </w:p>
    <w:p w14:paraId="3248F1B5">
      <w:pPr>
        <w:pStyle w:val="12"/>
        <w:keepNext w:val="0"/>
        <w:keepLines w:val="0"/>
        <w:pageBreakBefore w:val="0"/>
        <w:widowControl/>
        <w:numPr>
          <w:ilvl w:val="0"/>
          <w:numId w:val="0"/>
        </w:numPr>
        <w:suppressLineNumbers w:val="0"/>
        <w:shd w:val="clear" w:fill="FFFFFF"/>
        <w:kinsoku/>
        <w:wordWrap/>
        <w:overflowPunct/>
        <w:topLinePunct w:val="0"/>
        <w:autoSpaceDE w:val="0"/>
        <w:autoSpaceDN w:val="0"/>
        <w:bidi w:val="0"/>
        <w:adjustRightInd/>
        <w:snapToGrid/>
        <w:spacing w:before="20" w:beforeAutospacing="0" w:after="10" w:afterAutospacing="0" w:line="360" w:lineRule="auto"/>
        <w:ind w:right="0" w:rightChars="0" w:firstLine="1280" w:firstLineChars="400"/>
        <w:jc w:val="both"/>
        <w:textAlignment w:val="auto"/>
        <w:rPr>
          <w:rFonts w:hint="eastAsia" w:ascii="宋体" w:hAnsi="宋体" w:eastAsia="仿宋_GB2312" w:cs="仿宋_GB2312"/>
          <w:kern w:val="0"/>
          <w:sz w:val="32"/>
          <w:szCs w:val="22"/>
          <w:lang w:val="en-US" w:eastAsia="zh-CN" w:bidi="zh-CN"/>
        </w:rPr>
      </w:pPr>
      <w:r>
        <w:rPr>
          <w:rFonts w:hint="eastAsia" w:ascii="宋体" w:hAnsi="宋体" w:eastAsia="仿宋_GB2312" w:cs="仿宋_GB2312"/>
          <w:kern w:val="0"/>
          <w:sz w:val="32"/>
          <w:szCs w:val="22"/>
          <w:lang w:val="en-US" w:eastAsia="zh-CN" w:bidi="zh-CN"/>
        </w:rPr>
        <w:t>21.一般公共服务（类）宣传事务（款）一般行政管理</w:t>
      </w:r>
    </w:p>
    <w:p w14:paraId="1F8DF3E6">
      <w:pPr>
        <w:pStyle w:val="12"/>
        <w:keepNext w:val="0"/>
        <w:keepLines w:val="0"/>
        <w:pageBreakBefore w:val="0"/>
        <w:widowControl/>
        <w:numPr>
          <w:ilvl w:val="0"/>
          <w:numId w:val="0"/>
        </w:numPr>
        <w:suppressLineNumbers w:val="0"/>
        <w:shd w:val="clear" w:fill="FFFFFF"/>
        <w:kinsoku/>
        <w:wordWrap/>
        <w:overflowPunct/>
        <w:topLinePunct w:val="0"/>
        <w:autoSpaceDE w:val="0"/>
        <w:autoSpaceDN w:val="0"/>
        <w:bidi w:val="0"/>
        <w:adjustRightInd/>
        <w:snapToGrid/>
        <w:spacing w:before="20" w:beforeAutospacing="0" w:after="10" w:afterAutospacing="0" w:line="360" w:lineRule="auto"/>
        <w:ind w:right="0" w:rightChars="0" w:firstLine="640" w:firstLineChars="200"/>
        <w:jc w:val="both"/>
        <w:textAlignment w:val="auto"/>
        <w:rPr>
          <w:rFonts w:hint="eastAsia" w:ascii="宋体" w:hAnsi="宋体" w:eastAsia="仿宋_GB2312" w:cs="仿宋_GB2312"/>
          <w:kern w:val="0"/>
          <w:sz w:val="32"/>
          <w:szCs w:val="22"/>
          <w:lang w:val="en-US" w:eastAsia="zh-CN" w:bidi="zh-CN"/>
        </w:rPr>
      </w:pPr>
      <w:r>
        <w:rPr>
          <w:rFonts w:hint="eastAsia" w:ascii="宋体" w:hAnsi="宋体" w:eastAsia="仿宋_GB2312" w:cs="仿宋_GB2312"/>
          <w:kern w:val="0"/>
          <w:sz w:val="32"/>
          <w:szCs w:val="22"/>
          <w:lang w:val="en-US" w:eastAsia="zh-CN" w:bidi="zh-CN"/>
        </w:rPr>
        <w:t>事务（项）：指行政单位（包括实行公务员管理的事业单位）</w:t>
      </w:r>
    </w:p>
    <w:p w14:paraId="211682C1">
      <w:pPr>
        <w:pStyle w:val="12"/>
        <w:keepNext w:val="0"/>
        <w:keepLines w:val="0"/>
        <w:pageBreakBefore w:val="0"/>
        <w:widowControl/>
        <w:numPr>
          <w:ilvl w:val="0"/>
          <w:numId w:val="0"/>
        </w:numPr>
        <w:suppressLineNumbers w:val="0"/>
        <w:shd w:val="clear" w:fill="FFFFFF"/>
        <w:kinsoku/>
        <w:wordWrap/>
        <w:overflowPunct/>
        <w:topLinePunct w:val="0"/>
        <w:autoSpaceDE w:val="0"/>
        <w:autoSpaceDN w:val="0"/>
        <w:bidi w:val="0"/>
        <w:adjustRightInd/>
        <w:snapToGrid/>
        <w:spacing w:before="20" w:beforeAutospacing="0" w:after="10" w:afterAutospacing="0" w:line="360" w:lineRule="auto"/>
        <w:ind w:right="0" w:rightChars="0" w:firstLine="640" w:firstLineChars="200"/>
        <w:jc w:val="both"/>
        <w:textAlignment w:val="auto"/>
        <w:rPr>
          <w:rFonts w:hint="eastAsia" w:ascii="宋体" w:hAnsi="宋体" w:eastAsia="仿宋_GB2312" w:cs="仿宋_GB2312"/>
          <w:kern w:val="0"/>
          <w:sz w:val="32"/>
          <w:szCs w:val="22"/>
          <w:lang w:val="en-US" w:eastAsia="zh-CN" w:bidi="zh-CN"/>
        </w:rPr>
      </w:pPr>
      <w:r>
        <w:rPr>
          <w:rFonts w:hint="eastAsia" w:ascii="宋体" w:hAnsi="宋体" w:eastAsia="仿宋_GB2312" w:cs="仿宋_GB2312"/>
          <w:kern w:val="0"/>
          <w:sz w:val="32"/>
          <w:szCs w:val="22"/>
          <w:lang w:val="en-US" w:eastAsia="zh-CN" w:bidi="zh-CN"/>
        </w:rPr>
        <w:t>未单独设置项级科目的其他项目支出。</w:t>
      </w:r>
    </w:p>
    <w:p w14:paraId="29B39F56">
      <w:pPr>
        <w:pStyle w:val="12"/>
        <w:keepNext w:val="0"/>
        <w:keepLines w:val="0"/>
        <w:pageBreakBefore w:val="0"/>
        <w:widowControl/>
        <w:numPr>
          <w:ilvl w:val="0"/>
          <w:numId w:val="0"/>
        </w:numPr>
        <w:suppressLineNumbers w:val="0"/>
        <w:shd w:val="clear" w:fill="FFFFFF"/>
        <w:kinsoku/>
        <w:wordWrap/>
        <w:overflowPunct/>
        <w:topLinePunct w:val="0"/>
        <w:autoSpaceDE w:val="0"/>
        <w:autoSpaceDN w:val="0"/>
        <w:bidi w:val="0"/>
        <w:adjustRightInd/>
        <w:snapToGrid/>
        <w:spacing w:before="20" w:beforeAutospacing="0" w:after="10" w:afterAutospacing="0" w:line="360" w:lineRule="auto"/>
        <w:ind w:right="0" w:rightChars="0" w:firstLine="1280" w:firstLineChars="400"/>
        <w:jc w:val="both"/>
        <w:textAlignment w:val="auto"/>
        <w:rPr>
          <w:rFonts w:hint="eastAsia" w:ascii="宋体" w:hAnsi="宋体" w:eastAsia="仿宋_GB2312" w:cs="仿宋_GB2312"/>
          <w:kern w:val="0"/>
          <w:sz w:val="32"/>
          <w:szCs w:val="22"/>
          <w:lang w:val="en-US" w:eastAsia="zh-CN" w:bidi="zh-CN"/>
        </w:rPr>
      </w:pPr>
      <w:r>
        <w:rPr>
          <w:rFonts w:hint="eastAsia" w:ascii="宋体" w:hAnsi="宋体" w:eastAsia="仿宋_GB2312" w:cs="仿宋_GB2312"/>
          <w:kern w:val="0"/>
          <w:sz w:val="32"/>
          <w:szCs w:val="22"/>
          <w:lang w:val="en-US" w:eastAsia="zh-CN" w:bidi="zh-CN"/>
        </w:rPr>
        <w:t>22.一般公共服务（类）宣传事务（款）其他宣传事务</w:t>
      </w:r>
    </w:p>
    <w:p w14:paraId="5C3E239C">
      <w:pPr>
        <w:pStyle w:val="12"/>
        <w:keepNext w:val="0"/>
        <w:keepLines w:val="0"/>
        <w:pageBreakBefore w:val="0"/>
        <w:widowControl/>
        <w:numPr>
          <w:ilvl w:val="0"/>
          <w:numId w:val="0"/>
        </w:numPr>
        <w:suppressLineNumbers w:val="0"/>
        <w:shd w:val="clear" w:fill="FFFFFF"/>
        <w:kinsoku/>
        <w:wordWrap/>
        <w:overflowPunct/>
        <w:topLinePunct w:val="0"/>
        <w:autoSpaceDE w:val="0"/>
        <w:autoSpaceDN w:val="0"/>
        <w:bidi w:val="0"/>
        <w:adjustRightInd/>
        <w:snapToGrid/>
        <w:spacing w:before="20" w:beforeAutospacing="0" w:after="10" w:afterAutospacing="0" w:line="360" w:lineRule="auto"/>
        <w:ind w:right="0" w:rightChars="0" w:firstLine="640" w:firstLineChars="200"/>
        <w:jc w:val="both"/>
        <w:textAlignment w:val="auto"/>
        <w:rPr>
          <w:rFonts w:hint="eastAsia" w:ascii="宋体" w:hAnsi="宋体" w:eastAsia="仿宋_GB2312" w:cs="仿宋_GB2312"/>
          <w:kern w:val="0"/>
          <w:sz w:val="32"/>
          <w:szCs w:val="22"/>
          <w:lang w:val="en-US" w:eastAsia="zh-CN" w:bidi="zh-CN"/>
        </w:rPr>
      </w:pPr>
      <w:r>
        <w:rPr>
          <w:rFonts w:hint="eastAsia" w:ascii="宋体" w:hAnsi="宋体" w:eastAsia="仿宋_GB2312" w:cs="仿宋_GB2312"/>
          <w:kern w:val="0"/>
          <w:sz w:val="32"/>
          <w:szCs w:val="22"/>
          <w:lang w:val="en-US" w:eastAsia="zh-CN" w:bidi="zh-CN"/>
        </w:rPr>
        <w:t>支出（项）：指行政事业单位其他宣传事务方面的支出。</w:t>
      </w:r>
    </w:p>
    <w:p w14:paraId="5C16492C">
      <w:pPr>
        <w:pStyle w:val="21"/>
        <w:numPr>
          <w:ilvl w:val="0"/>
          <w:numId w:val="0"/>
        </w:numPr>
        <w:spacing w:line="360" w:lineRule="auto"/>
        <w:ind w:left="319" w:leftChars="145" w:right="0" w:rightChars="0" w:firstLine="960" w:firstLineChars="300"/>
        <w:rPr>
          <w:rFonts w:hint="eastAsia"/>
        </w:rPr>
      </w:pPr>
      <w:r>
        <w:rPr>
          <w:rFonts w:hint="eastAsia"/>
          <w:lang w:val="en-US" w:eastAsia="zh-CN"/>
        </w:rPr>
        <w:t>23.文化旅游体育与传媒支出</w:t>
      </w:r>
      <w:r>
        <w:rPr>
          <w:rFonts w:hint="eastAsia"/>
        </w:rPr>
        <w:t>（类）</w:t>
      </w:r>
      <w:r>
        <w:rPr>
          <w:rFonts w:hint="eastAsia"/>
          <w:lang w:val="en-US" w:eastAsia="zh-CN"/>
        </w:rPr>
        <w:t>新闻出版电影</w:t>
      </w:r>
      <w:r>
        <w:rPr>
          <w:rFonts w:hint="eastAsia"/>
        </w:rPr>
        <w:t>（款）</w:t>
      </w:r>
    </w:p>
    <w:p w14:paraId="1A93971B">
      <w:pPr>
        <w:pStyle w:val="21"/>
        <w:numPr>
          <w:ilvl w:val="0"/>
          <w:numId w:val="0"/>
        </w:numPr>
        <w:spacing w:line="360" w:lineRule="auto"/>
        <w:ind w:right="0" w:rightChars="0" w:firstLine="640" w:firstLineChars="200"/>
        <w:rPr>
          <w:rFonts w:hint="eastAsia"/>
          <w:lang w:val="en-US" w:eastAsia="zh-CN"/>
        </w:rPr>
      </w:pPr>
      <w:r>
        <w:rPr>
          <w:rFonts w:hint="eastAsia"/>
          <w:lang w:val="en-US" w:eastAsia="zh-CN"/>
        </w:rPr>
        <w:t>电影</w:t>
      </w:r>
      <w:r>
        <w:rPr>
          <w:rFonts w:hint="eastAsia"/>
        </w:rPr>
        <w:t>（项）</w:t>
      </w:r>
      <w:r>
        <w:rPr>
          <w:rFonts w:hint="eastAsia"/>
          <w:lang w:eastAsia="zh-CN"/>
        </w:rPr>
        <w:t>：指</w:t>
      </w:r>
      <w:r>
        <w:rPr>
          <w:rFonts w:hint="eastAsia"/>
        </w:rPr>
        <w:t>用于</w:t>
      </w:r>
      <w:r>
        <w:rPr>
          <w:rFonts w:hint="eastAsia"/>
          <w:lang w:val="en-US" w:eastAsia="zh-CN"/>
        </w:rPr>
        <w:t>电影制片、发行、放映方面的支出。</w:t>
      </w:r>
    </w:p>
    <w:p w14:paraId="6DF27B95">
      <w:pPr>
        <w:pStyle w:val="21"/>
        <w:numPr>
          <w:ilvl w:val="0"/>
          <w:numId w:val="0"/>
        </w:numPr>
        <w:spacing w:line="360" w:lineRule="auto"/>
        <w:ind w:left="319" w:leftChars="145" w:right="0" w:rightChars="0" w:firstLine="960" w:firstLineChars="300"/>
        <w:rPr>
          <w:rFonts w:hint="eastAsia"/>
          <w:lang w:val="en-US" w:eastAsia="zh-CN"/>
        </w:rPr>
      </w:pPr>
      <w:r>
        <w:rPr>
          <w:rFonts w:hint="eastAsia"/>
          <w:lang w:val="en-US" w:eastAsia="zh-CN"/>
        </w:rPr>
        <w:t>24文化旅游体育与传媒支出</w:t>
      </w:r>
      <w:r>
        <w:rPr>
          <w:rFonts w:hint="eastAsia"/>
        </w:rPr>
        <w:t>（类）</w:t>
      </w:r>
      <w:r>
        <w:rPr>
          <w:rFonts w:hint="eastAsia"/>
          <w:lang w:val="en-US" w:eastAsia="zh-CN"/>
        </w:rPr>
        <w:t>广播电视</w:t>
      </w:r>
      <w:r>
        <w:rPr>
          <w:rFonts w:hint="eastAsia"/>
        </w:rPr>
        <w:t>（款）</w:t>
      </w:r>
      <w:r>
        <w:rPr>
          <w:rFonts w:hint="eastAsia"/>
          <w:lang w:val="en-US" w:eastAsia="zh-CN"/>
        </w:rPr>
        <w:t>其他</w:t>
      </w:r>
    </w:p>
    <w:p w14:paraId="1DC5478E">
      <w:pPr>
        <w:pStyle w:val="21"/>
        <w:numPr>
          <w:ilvl w:val="0"/>
          <w:numId w:val="0"/>
        </w:numPr>
        <w:spacing w:line="360" w:lineRule="auto"/>
        <w:ind w:right="0" w:rightChars="0" w:firstLine="640" w:firstLineChars="200"/>
        <w:rPr>
          <w:rFonts w:hint="default" w:ascii="宋体" w:hAnsi="宋体"/>
          <w:sz w:val="32"/>
          <w:lang w:val="en-US" w:eastAsia="zh-CN"/>
        </w:rPr>
      </w:pPr>
      <w:r>
        <w:rPr>
          <w:rFonts w:hint="eastAsia"/>
          <w:lang w:val="en-US" w:eastAsia="zh-CN"/>
        </w:rPr>
        <w:t>广播电视支出</w:t>
      </w:r>
      <w:r>
        <w:rPr>
          <w:rFonts w:hint="eastAsia"/>
        </w:rPr>
        <w:t>（项）</w:t>
      </w:r>
      <w:r>
        <w:rPr>
          <w:rFonts w:hint="eastAsia"/>
          <w:lang w:eastAsia="zh-CN"/>
        </w:rPr>
        <w:t>：指</w:t>
      </w:r>
      <w:r>
        <w:rPr>
          <w:rFonts w:hint="eastAsia"/>
        </w:rPr>
        <w:t>用于</w:t>
      </w:r>
      <w:r>
        <w:rPr>
          <w:rFonts w:hint="eastAsia"/>
          <w:lang w:val="en-US" w:eastAsia="zh-CN"/>
        </w:rPr>
        <w:t>其他广播电视方面的支出。</w:t>
      </w:r>
    </w:p>
    <w:sectPr>
      <w:headerReference r:id="rId13" w:type="default"/>
      <w:footerReference r:id="rId14" w:type="default"/>
      <w:pgSz w:w="11910" w:h="16840"/>
      <w:pgMar w:top="1587" w:right="964" w:bottom="1701" w:left="1134" w:header="737" w:footer="737" w:gutter="0"/>
      <w:pgNumType w:fmt="decimal"/>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F9B9500-568F-4484-9676-051813DECE34}"/>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embedRegular r:id="rId2" w:fontKey="{0B6E6CC7-5B99-4F4F-BBF1-9A98BB4EC156}"/>
  </w:font>
  <w:font w:name="Calibri">
    <w:panose1 w:val="020F0502020204030204"/>
    <w:charset w:val="00"/>
    <w:family w:val="auto"/>
    <w:pitch w:val="default"/>
    <w:sig w:usb0="E10002FF" w:usb1="4000ACFF" w:usb2="00000009" w:usb3="00000000" w:csb0="2000019F" w:csb1="00000000"/>
    <w:embedRegular r:id="rId3" w:fontKey="{18AD458C-F9A6-4E07-98DC-F79588D475B8}"/>
  </w:font>
  <w:font w:name="楷体">
    <w:panose1 w:val="02010609060101010101"/>
    <w:charset w:val="86"/>
    <w:family w:val="modern"/>
    <w:pitch w:val="default"/>
    <w:sig w:usb0="800002BF" w:usb1="38CF7CFA" w:usb2="00000016" w:usb3="00000000" w:csb0="00040001" w:csb1="00000000"/>
    <w:embedRegular r:id="rId4" w:fontKey="{170D203C-03C4-45D5-9E6A-4CC715784003}"/>
  </w:font>
  <w:font w:name="仿宋_GB2312">
    <w:panose1 w:val="02010609030101010101"/>
    <w:charset w:val="86"/>
    <w:family w:val="modern"/>
    <w:pitch w:val="default"/>
    <w:sig w:usb0="00000001" w:usb1="080E0000" w:usb2="00000000" w:usb3="00000000" w:csb0="00040000" w:csb1="00000000"/>
    <w:embedRegular r:id="rId5" w:fontKey="{3DCC3F4F-1DB4-48DB-A0E4-0CD52B0DA56A}"/>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embedRegular r:id="rId6" w:fontKey="{03F717CC-0193-48E0-A750-88640A27F69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FC117F">
    <w:pPr>
      <w:pStyle w:val="4"/>
      <w:spacing w:line="240" w:lineRule="auto"/>
      <w:rPr>
        <w:sz w:val="2"/>
      </w:rPr>
    </w:pPr>
    <w:r>
      <w:rPr>
        <w:sz w:val="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8EBA73">
                          <w:pPr>
                            <w:pStyle w:val="8"/>
                          </w:pPr>
                          <w:r>
                            <w:t xml:space="preserve">— </w:t>
                          </w:r>
                          <w:r>
                            <w:fldChar w:fldCharType="begin"/>
                          </w:r>
                          <w:r>
                            <w:instrText xml:space="preserve"> PAGE  \* MERGEFORMAT </w:instrText>
                          </w:r>
                          <w:r>
                            <w:fldChar w:fldCharType="separate"/>
                          </w:r>
                          <w:r>
                            <w:t>- 1 -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3A8EBA73">
                    <w:pPr>
                      <w:pStyle w:val="8"/>
                    </w:pPr>
                    <w:r>
                      <w:t xml:space="preserve">— </w:t>
                    </w:r>
                    <w:r>
                      <w:fldChar w:fldCharType="begin"/>
                    </w:r>
                    <w:r>
                      <w:instrText xml:space="preserve"> PAGE  \* MERGEFORMAT </w:instrText>
                    </w:r>
                    <w:r>
                      <w:fldChar w:fldCharType="separate"/>
                    </w:r>
                    <w:r>
                      <w:t>- 1 -</w:t>
                    </w:r>
                    <w:r>
                      <w:fldChar w:fldCharType="end"/>
                    </w:r>
                    <w: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F62DAB">
    <w:pPr>
      <w:pStyle w:val="4"/>
      <w:spacing w:line="240" w:lineRule="auto"/>
      <w:rPr>
        <w:sz w:val="2"/>
      </w:rPr>
    </w:pPr>
    <w:r>
      <w:rPr>
        <w:sz w:val="2"/>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813BFA">
                          <w:pPr>
                            <w:pStyle w:val="8"/>
                          </w:pPr>
                          <w:r>
                            <w:t xml:space="preserve">— </w:t>
                          </w:r>
                          <w:r>
                            <w:fldChar w:fldCharType="begin"/>
                          </w:r>
                          <w:r>
                            <w:instrText xml:space="preserve"> PAGE  \* MERGEFORMAT </w:instrText>
                          </w:r>
                          <w:r>
                            <w:fldChar w:fldCharType="separate"/>
                          </w:r>
                          <w:r>
                            <w:t>- 1 -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5A813BFA">
                    <w:pPr>
                      <w:pStyle w:val="8"/>
                    </w:pPr>
                    <w:r>
                      <w:t xml:space="preserve">— </w:t>
                    </w:r>
                    <w:r>
                      <w:fldChar w:fldCharType="begin"/>
                    </w:r>
                    <w:r>
                      <w:instrText xml:space="preserve"> PAGE  \* MERGEFORMAT </w:instrText>
                    </w:r>
                    <w:r>
                      <w:fldChar w:fldCharType="separate"/>
                    </w:r>
                    <w:r>
                      <w:t>- 1 -</w:t>
                    </w:r>
                    <w:r>
                      <w:fldChar w:fldCharType="end"/>
                    </w:r>
                    <w: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9671B5">
    <w:pPr>
      <w:pStyle w:val="4"/>
      <w:spacing w:line="14" w:lineRule="auto"/>
      <w:rPr>
        <w:sz w:val="20"/>
      </w:rPr>
    </w:pPr>
    <w:r>
      <w:rPr>
        <w:sz w:val="32"/>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7BD39A">
                          <w:pPr>
                            <w:pStyle w:val="8"/>
                          </w:pPr>
                          <w:r>
                            <w:t xml:space="preserve">— </w:t>
                          </w:r>
                          <w:r>
                            <w:fldChar w:fldCharType="begin"/>
                          </w:r>
                          <w:r>
                            <w:instrText xml:space="preserve"> PAGE  \* MERGEFORMAT </w:instrText>
                          </w:r>
                          <w:r>
                            <w:fldChar w:fldCharType="separate"/>
                          </w:r>
                          <w:r>
                            <w:t>- 7 -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77BD39A">
                    <w:pPr>
                      <w:pStyle w:val="8"/>
                    </w:pPr>
                    <w:r>
                      <w:t xml:space="preserve">— </w:t>
                    </w:r>
                    <w:r>
                      <w:fldChar w:fldCharType="begin"/>
                    </w:r>
                    <w:r>
                      <w:instrText xml:space="preserve"> PAGE  \* MERGEFORMAT </w:instrText>
                    </w:r>
                    <w:r>
                      <w:fldChar w:fldCharType="separate"/>
                    </w:r>
                    <w:r>
                      <w:t>- 7 -</w:t>
                    </w:r>
                    <w:r>
                      <w:fldChar w:fldCharType="end"/>
                    </w:r>
                    <w:r>
                      <w:t xml:space="preserve"> —</w:t>
                    </w:r>
                  </w:p>
                </w:txbxContent>
              </v:textbox>
            </v:shape>
          </w:pict>
        </mc:Fallback>
      </mc:AlternateContent>
    </w:r>
    <w:r>
      <w:drawing>
        <wp:anchor distT="0" distB="0" distL="0" distR="0" simplePos="0" relativeHeight="251659264" behindDoc="1" locked="0" layoutInCell="1" allowOverlap="1">
          <wp:simplePos x="0" y="0"/>
          <wp:positionH relativeFrom="page">
            <wp:posOffset>3512820</wp:posOffset>
          </wp:positionH>
          <wp:positionV relativeFrom="page">
            <wp:posOffset>10094595</wp:posOffset>
          </wp:positionV>
          <wp:extent cx="534670" cy="229870"/>
          <wp:effectExtent l="0" t="0" r="0" b="0"/>
          <wp:wrapNone/>
          <wp:docPr id="31"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14.png"/>
                  <pic:cNvPicPr>
                    <a:picLocks noChangeAspect="1"/>
                  </pic:cNvPicPr>
                </pic:nvPicPr>
                <pic:blipFill>
                  <a:blip r:embed="rId1" cstate="print"/>
                  <a:stretch>
                    <a:fillRect/>
                  </a:stretch>
                </pic:blipFill>
                <pic:spPr>
                  <a:xfrm>
                    <a:off x="0" y="0"/>
                    <a:ext cx="534924" cy="230124"/>
                  </a:xfrm>
                  <a:prstGeom prst="rect">
                    <a:avLst/>
                  </a:prstGeom>
                </pic:spPr>
              </pic:pic>
            </a:graphicData>
          </a:graphic>
        </wp:anchor>
      </w:drawing>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04433B">
    <w:pPr>
      <w:pStyle w:val="4"/>
      <w:spacing w:line="14" w:lineRule="auto"/>
      <w:rPr>
        <w:sz w:val="2"/>
      </w:rPr>
    </w:pPr>
    <w:r>
      <w:rPr>
        <w:sz w:val="2"/>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A24C3F9">
                          <w:pPr>
                            <w:pStyle w:val="8"/>
                          </w:pPr>
                          <w:r>
                            <w:t xml:space="preserve">— </w:t>
                          </w:r>
                          <w:r>
                            <w:fldChar w:fldCharType="begin"/>
                          </w:r>
                          <w:r>
                            <w:instrText xml:space="preserve"> PAGE  \* MERGEFORMAT </w:instrText>
                          </w:r>
                          <w:r>
                            <w:fldChar w:fldCharType="separate"/>
                          </w:r>
                          <w:r>
                            <w:t>- 12 -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4A24C3F9">
                    <w:pPr>
                      <w:pStyle w:val="8"/>
                    </w:pPr>
                    <w:r>
                      <w:t xml:space="preserve">— </w:t>
                    </w:r>
                    <w:r>
                      <w:fldChar w:fldCharType="begin"/>
                    </w:r>
                    <w:r>
                      <w:instrText xml:space="preserve"> PAGE  \* MERGEFORMAT </w:instrText>
                    </w:r>
                    <w:r>
                      <w:fldChar w:fldCharType="separate"/>
                    </w:r>
                    <w:r>
                      <w:t>- 12 -</w:t>
                    </w:r>
                    <w:r>
                      <w:fldChar w:fldCharType="end"/>
                    </w:r>
                    <w:r>
                      <w:t xml:space="preserve"> —</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DF7AD9">
    <w:pPr>
      <w:pStyle w:val="4"/>
      <w:spacing w:line="14" w:lineRule="auto"/>
      <w:rPr>
        <w:sz w:val="20"/>
      </w:rPr>
    </w:pPr>
    <w:r>
      <w:rPr>
        <w:sz w:val="32"/>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BE66172">
                          <w:pPr>
                            <w:pStyle w:val="8"/>
                          </w:pPr>
                          <w:r>
                            <w:t xml:space="preserve">— </w:t>
                          </w:r>
                          <w:r>
                            <w:fldChar w:fldCharType="begin"/>
                          </w:r>
                          <w:r>
                            <w:instrText xml:space="preserve"> PAGE  \* MERGEFORMAT </w:instrText>
                          </w:r>
                          <w:r>
                            <w:fldChar w:fldCharType="separate"/>
                          </w:r>
                          <w:r>
                            <w:t>- 13 -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1BE66172">
                    <w:pPr>
                      <w:pStyle w:val="8"/>
                    </w:pPr>
                    <w:r>
                      <w:t xml:space="preserve">— </w:t>
                    </w:r>
                    <w:r>
                      <w:fldChar w:fldCharType="begin"/>
                    </w:r>
                    <w:r>
                      <w:instrText xml:space="preserve"> PAGE  \* MERGEFORMAT </w:instrText>
                    </w:r>
                    <w:r>
                      <w:fldChar w:fldCharType="separate"/>
                    </w:r>
                    <w:r>
                      <w:t>- 13 -</w:t>
                    </w:r>
                    <w:r>
                      <w:fldChar w:fldCharType="end"/>
                    </w:r>
                    <w:r>
                      <w:t xml:space="preserve"> —</w:t>
                    </w:r>
                  </w:p>
                </w:txbxContent>
              </v:textbox>
            </v:shape>
          </w:pict>
        </mc:Fallback>
      </mc:AlternateContent>
    </w:r>
    <w:r>
      <w:drawing>
        <wp:anchor distT="0" distB="0" distL="0" distR="0" simplePos="0" relativeHeight="251660288" behindDoc="1" locked="0" layoutInCell="1" allowOverlap="1">
          <wp:simplePos x="0" y="0"/>
          <wp:positionH relativeFrom="page">
            <wp:posOffset>3512820</wp:posOffset>
          </wp:positionH>
          <wp:positionV relativeFrom="page">
            <wp:posOffset>10094595</wp:posOffset>
          </wp:positionV>
          <wp:extent cx="534670" cy="229870"/>
          <wp:effectExtent l="0" t="0" r="0" b="0"/>
          <wp:wrapNone/>
          <wp:docPr id="45"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image14.png"/>
                  <pic:cNvPicPr>
                    <a:picLocks noChangeAspect="1"/>
                  </pic:cNvPicPr>
                </pic:nvPicPr>
                <pic:blipFill>
                  <a:blip r:embed="rId1" cstate="print"/>
                  <a:stretch>
                    <a:fillRect/>
                  </a:stretch>
                </pic:blipFill>
                <pic:spPr>
                  <a:xfrm>
                    <a:off x="0" y="0"/>
                    <a:ext cx="534924" cy="230124"/>
                  </a:xfrm>
                  <a:prstGeom prst="rect">
                    <a:avLst/>
                  </a:prstGeom>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CD124A">
    <w:pPr>
      <w:pStyle w:val="9"/>
      <w:tabs>
        <w:tab w:val="clear" w:pos="4153"/>
      </w:tabs>
      <w:spacing w:after="0" w:afterLines="201" w:afterAutospacing="0"/>
      <w:ind w:firstLine="404"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6F92C9">
    <w:pPr>
      <w:pStyle w:val="4"/>
      <w:spacing w:line="14" w:lineRule="auto"/>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62808C">
    <w:pPr>
      <w:pStyle w:val="4"/>
      <w:spacing w:line="240" w:lineRule="auto"/>
      <w:rPr>
        <w:sz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5542DC">
    <w:pPr>
      <w:pStyle w:val="4"/>
      <w:spacing w:line="14" w:lineRule="auto"/>
      <w:rPr>
        <w:sz w:val="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FB0357">
    <w:pPr>
      <w:pStyle w:val="4"/>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57E4DA"/>
    <w:multiLevelType w:val="singleLevel"/>
    <w:tmpl w:val="3C57E4DA"/>
    <w:lvl w:ilvl="0" w:tentative="0">
      <w:start w:val="1"/>
      <w:numFmt w:val="chineseCounting"/>
      <w:suff w:val="space"/>
      <w:lvlText w:val="第%1部分"/>
      <w:lvlJc w:val="left"/>
      <w:rPr>
        <w:rFonts w:hint="eastAsia"/>
      </w:rPr>
    </w:lvl>
  </w:abstractNum>
  <w:abstractNum w:abstractNumId="1">
    <w:nsid w:val="4C1ABC7B"/>
    <w:multiLevelType w:val="singleLevel"/>
    <w:tmpl w:val="4C1ABC7B"/>
    <w:lvl w:ilvl="0" w:tentative="0">
      <w:start w:val="4"/>
      <w:numFmt w:val="decimal"/>
      <w:suff w:val="space"/>
      <w:lvlText w:val="%1."/>
      <w:lvlJc w:val="left"/>
    </w:lvl>
  </w:abstractNum>
  <w:abstractNum w:abstractNumId="2">
    <w:nsid w:val="501035D5"/>
    <w:multiLevelType w:val="singleLevel"/>
    <w:tmpl w:val="501035D5"/>
    <w:lvl w:ilvl="0" w:tentative="0">
      <w:start w:val="2"/>
      <w:numFmt w:val="chineseCounting"/>
      <w:suff w:val="space"/>
      <w:lvlText w:val="第%1部分"/>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VkY2FlMGQyNDEzM2Q3ODNlYmRhZTM0YmMzNGFlY2MifQ=="/>
    <w:docVar w:name="KSO_WPS_MARK_KEY" w:val="48d2c7c5-5ca7-4a62-94c0-78ba1c7e0ebc"/>
  </w:docVars>
  <w:rsids>
    <w:rsidRoot w:val="00000000"/>
    <w:rsid w:val="02ED1707"/>
    <w:rsid w:val="02F925FF"/>
    <w:rsid w:val="048B7990"/>
    <w:rsid w:val="0673156A"/>
    <w:rsid w:val="06930D7E"/>
    <w:rsid w:val="071C40A3"/>
    <w:rsid w:val="08F93370"/>
    <w:rsid w:val="0C524105"/>
    <w:rsid w:val="133E7529"/>
    <w:rsid w:val="13CB5FFB"/>
    <w:rsid w:val="189C6510"/>
    <w:rsid w:val="18CC3209"/>
    <w:rsid w:val="18D94D16"/>
    <w:rsid w:val="1C4565B4"/>
    <w:rsid w:val="1DB41B47"/>
    <w:rsid w:val="1E9115A9"/>
    <w:rsid w:val="20D9567F"/>
    <w:rsid w:val="21211D8E"/>
    <w:rsid w:val="21842AA0"/>
    <w:rsid w:val="240622C9"/>
    <w:rsid w:val="247F2477"/>
    <w:rsid w:val="267B5CE4"/>
    <w:rsid w:val="28D64DCE"/>
    <w:rsid w:val="2BD66371"/>
    <w:rsid w:val="2D2C1ED1"/>
    <w:rsid w:val="2DCA2DDC"/>
    <w:rsid w:val="312517C2"/>
    <w:rsid w:val="3170631D"/>
    <w:rsid w:val="350A45BF"/>
    <w:rsid w:val="3A2A338B"/>
    <w:rsid w:val="3A824377"/>
    <w:rsid w:val="3B077988"/>
    <w:rsid w:val="3DEE4DEB"/>
    <w:rsid w:val="3E3A106C"/>
    <w:rsid w:val="40F17F83"/>
    <w:rsid w:val="419D1BF4"/>
    <w:rsid w:val="454E6BB2"/>
    <w:rsid w:val="477A15DB"/>
    <w:rsid w:val="4BA95F1B"/>
    <w:rsid w:val="4D3C563B"/>
    <w:rsid w:val="4F51335B"/>
    <w:rsid w:val="4F893895"/>
    <w:rsid w:val="53376457"/>
    <w:rsid w:val="54BB49E6"/>
    <w:rsid w:val="54C30EEA"/>
    <w:rsid w:val="5543046B"/>
    <w:rsid w:val="58640564"/>
    <w:rsid w:val="588B5C5C"/>
    <w:rsid w:val="58EE6347"/>
    <w:rsid w:val="595E3E2E"/>
    <w:rsid w:val="59E24AD2"/>
    <w:rsid w:val="5AE90F4A"/>
    <w:rsid w:val="5B65451D"/>
    <w:rsid w:val="5BFA7730"/>
    <w:rsid w:val="64F446CE"/>
    <w:rsid w:val="697B0A9F"/>
    <w:rsid w:val="6B4725E4"/>
    <w:rsid w:val="7209340F"/>
    <w:rsid w:val="76A30804"/>
    <w:rsid w:val="78182F2B"/>
    <w:rsid w:val="7C6130B2"/>
    <w:rsid w:val="7E1C41A7"/>
    <w:rsid w:val="7FD43B6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5">
    <w:name w:val="heading 1"/>
    <w:basedOn w:val="1"/>
    <w:next w:val="1"/>
    <w:qFormat/>
    <w:uiPriority w:val="1"/>
    <w:pPr>
      <w:spacing w:before="79"/>
      <w:ind w:left="2747"/>
      <w:outlineLvl w:val="1"/>
    </w:pPr>
    <w:rPr>
      <w:rFonts w:ascii="Times New Roman" w:hAnsi="Times New Roman" w:eastAsia="Times New Roman" w:cs="Times New Roman"/>
      <w:sz w:val="52"/>
      <w:szCs w:val="52"/>
      <w:lang w:val="zh-CN" w:eastAsia="zh-CN" w:bidi="zh-CN"/>
    </w:rPr>
  </w:style>
  <w:style w:type="paragraph" w:styleId="6">
    <w:name w:val="heading 2"/>
    <w:basedOn w:val="1"/>
    <w:next w:val="1"/>
    <w:qFormat/>
    <w:uiPriority w:val="1"/>
    <w:pPr>
      <w:ind w:left="923"/>
      <w:outlineLvl w:val="2"/>
    </w:pPr>
    <w:rPr>
      <w:rFonts w:ascii="楷体" w:hAnsi="楷体" w:eastAsia="楷体" w:cs="楷体"/>
      <w:b/>
      <w:bCs/>
      <w:sz w:val="32"/>
      <w:szCs w:val="32"/>
      <w:lang w:val="zh-CN" w:eastAsia="zh-CN" w:bidi="zh-CN"/>
    </w:rPr>
  </w:style>
  <w:style w:type="character" w:default="1" w:styleId="14">
    <w:name w:val="Default Paragraph Font"/>
    <w:semiHidden/>
    <w:unhideWhenUsed/>
    <w:qFormat/>
    <w:uiPriority w:val="1"/>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99"/>
    <w:pPr>
      <w:ind w:firstLine="420" w:firstLineChars="200"/>
    </w:pPr>
  </w:style>
  <w:style w:type="paragraph" w:styleId="3">
    <w:name w:val="Body Text Indent"/>
    <w:basedOn w:val="1"/>
    <w:qFormat/>
    <w:uiPriority w:val="99"/>
    <w:pPr>
      <w:spacing w:after="120"/>
      <w:ind w:left="420" w:leftChars="200"/>
    </w:pPr>
  </w:style>
  <w:style w:type="paragraph" w:styleId="4">
    <w:name w:val="Body Text"/>
    <w:basedOn w:val="1"/>
    <w:qFormat/>
    <w:uiPriority w:val="1"/>
    <w:rPr>
      <w:rFonts w:ascii="仿宋_GB2312" w:hAnsi="仿宋_GB2312" w:eastAsia="仿宋_GB2312" w:cs="仿宋_GB2312"/>
      <w:sz w:val="32"/>
      <w:szCs w:val="32"/>
      <w:lang w:val="zh-CN" w:eastAsia="zh-CN" w:bidi="zh-CN"/>
    </w:rPr>
  </w:style>
  <w:style w:type="paragraph" w:styleId="7">
    <w:name w:val="toc 3"/>
    <w:basedOn w:val="1"/>
    <w:next w:val="1"/>
    <w:qFormat/>
    <w:uiPriority w:val="0"/>
    <w:pPr>
      <w:ind w:left="840" w:leftChars="40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Normal (Web)"/>
    <w:basedOn w:val="1"/>
    <w:qFormat/>
    <w:uiPriority w:val="0"/>
    <w:pPr>
      <w:spacing w:before="0" w:beforeAutospacing="1" w:after="0" w:afterAutospacing="1"/>
      <w:ind w:left="0" w:right="0"/>
      <w:jc w:val="left"/>
    </w:pPr>
    <w:rPr>
      <w:kern w:val="0"/>
      <w:sz w:val="24"/>
      <w:lang w:val="en-US" w:eastAsia="zh-CN" w:bidi="ar"/>
    </w:rPr>
  </w:style>
  <w:style w:type="table" w:customStyle="1" w:styleId="15">
    <w:name w:val="Table Normal"/>
    <w:autoRedefine/>
    <w:semiHidden/>
    <w:unhideWhenUsed/>
    <w:qFormat/>
    <w:uiPriority w:val="2"/>
    <w:tblPr>
      <w:tblCellMar>
        <w:top w:w="0" w:type="dxa"/>
        <w:left w:w="0" w:type="dxa"/>
        <w:bottom w:w="0" w:type="dxa"/>
        <w:right w:w="0" w:type="dxa"/>
      </w:tblCellMar>
    </w:tblPr>
  </w:style>
  <w:style w:type="paragraph" w:styleId="16">
    <w:name w:val="List Paragraph"/>
    <w:basedOn w:val="1"/>
    <w:qFormat/>
    <w:uiPriority w:val="1"/>
    <w:pPr>
      <w:ind w:left="280" w:firstLine="640"/>
      <w:jc w:val="both"/>
    </w:pPr>
    <w:rPr>
      <w:rFonts w:ascii="仿宋_GB2312" w:hAnsi="仿宋_GB2312" w:eastAsia="仿宋_GB2312" w:cs="仿宋_GB2312"/>
      <w:lang w:val="zh-CN" w:eastAsia="zh-CN" w:bidi="zh-CN"/>
    </w:rPr>
  </w:style>
  <w:style w:type="paragraph" w:customStyle="1" w:styleId="17">
    <w:name w:val="Table Paragraph"/>
    <w:basedOn w:val="1"/>
    <w:qFormat/>
    <w:uiPriority w:val="1"/>
    <w:rPr>
      <w:rFonts w:ascii="宋体" w:hAnsi="宋体" w:eastAsia="宋体" w:cs="宋体"/>
      <w:lang w:val="zh-CN" w:eastAsia="zh-CN" w:bidi="zh-CN"/>
    </w:rPr>
  </w:style>
  <w:style w:type="paragraph" w:customStyle="1" w:styleId="18">
    <w:name w:val="WPSOffice手动目录 1"/>
    <w:autoRedefine/>
    <w:qFormat/>
    <w:uiPriority w:val="0"/>
    <w:pPr>
      <w:ind w:leftChars="0"/>
    </w:pPr>
    <w:rPr>
      <w:rFonts w:asciiTheme="minorHAnsi" w:hAnsiTheme="minorHAnsi" w:eastAsiaTheme="minorHAnsi" w:cstheme="minorBidi"/>
      <w:sz w:val="20"/>
      <w:szCs w:val="20"/>
    </w:rPr>
  </w:style>
  <w:style w:type="paragraph" w:customStyle="1" w:styleId="19">
    <w:name w:val="WPSOffice手动目录 2"/>
    <w:qFormat/>
    <w:uiPriority w:val="0"/>
    <w:pPr>
      <w:ind w:leftChars="200"/>
    </w:pPr>
    <w:rPr>
      <w:rFonts w:asciiTheme="minorHAnsi" w:hAnsiTheme="minorHAnsi" w:eastAsiaTheme="minorHAnsi" w:cstheme="minorBidi"/>
      <w:sz w:val="20"/>
      <w:szCs w:val="20"/>
    </w:rPr>
  </w:style>
  <w:style w:type="paragraph" w:customStyle="1" w:styleId="20">
    <w:name w:val="WPSOffice手动目录 3"/>
    <w:qFormat/>
    <w:uiPriority w:val="0"/>
    <w:pPr>
      <w:ind w:leftChars="400"/>
    </w:pPr>
    <w:rPr>
      <w:rFonts w:asciiTheme="minorHAnsi" w:hAnsiTheme="minorHAnsi" w:eastAsiaTheme="minorHAnsi" w:cstheme="minorBidi"/>
      <w:sz w:val="20"/>
      <w:szCs w:val="20"/>
    </w:rPr>
  </w:style>
  <w:style w:type="paragraph" w:customStyle="1" w:styleId="21">
    <w:name w:val="〖C01〗正文"/>
    <w:basedOn w:val="1"/>
    <w:autoRedefine/>
    <w:qFormat/>
    <w:uiPriority w:val="0"/>
    <w:pPr>
      <w:topLinePunct/>
      <w:spacing w:line="600" w:lineRule="exact"/>
      <w:ind w:firstLine="640" w:firstLineChars="200"/>
    </w:pPr>
    <w:rPr>
      <w:rFonts w:ascii="仿宋_GB2312" w:hAnsi="Calibri" w:eastAsia="仿宋_GB2312"/>
      <w:sz w:val="32"/>
      <w:szCs w:val="32"/>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23</Pages>
  <Words>6919</Words>
  <Characters>7612</Characters>
  <TotalTime>83</TotalTime>
  <ScaleCrop>false</ScaleCrop>
  <LinksUpToDate>false</LinksUpToDate>
  <CharactersWithSpaces>7782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2022-05-05T02:14:00Z</dcterms:created>
  <dc:creator>user</dc:creator>
  <cp:lastModifiedBy>罗立军</cp:lastModifiedBy>
  <dcterms:modified xsi:type="dcterms:W3CDTF">2026-03-02T02:10:12Z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2022-03-18T00:00:00Z</vt:filetime>
  </property>
  <property fmtid="{D5CDD505-2E9C-101B-9397-08002B2CF9AE}" pid="3" name="Creator">
    <vt:lpwstr>Microsoft® Word 2010</vt:lpwstr>
  </property>
  <property fmtid="{D5CDD505-2E9C-101B-9397-08002B2CF9AE}" pid="4" name="LastSaved">
    <vt:filetime>2022-05-05T00:00:00Z</vt:filetime>
  </property>
  <property fmtid="{D5CDD505-2E9C-101B-9397-08002B2CF9AE}" pid="5" name="KSOProductBuildVer">
    <vt:lpwstr>2052-12.1.0.23542</vt:lpwstr>
  </property>
  <property fmtid="{D5CDD505-2E9C-101B-9397-08002B2CF9AE}" pid="6" name="ICV">
    <vt:lpwstr>19A6489293D14499A2E447A850DEABA6</vt:lpwstr>
  </property>
  <property fmtid="{D5CDD505-2E9C-101B-9397-08002B2CF9AE}" pid="7" name="KSOTemplateDocerSaveRecord">
    <vt:lpwstr>eyJoZGlkIjoiNjI1MjcwNDc1N2U4NjVmMGU2YjU1YzViMGRiOGMzNTIiLCJ1c2VySWQiOiIxNjk2MDM1MTUzIn0=</vt:lpwstr>
  </property>
</Properties>
</file>