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94F7C0">
      <w:pPr>
        <w:pStyle w:val="4"/>
        <w:jc w:val="center"/>
        <w:rPr>
          <w:rFonts w:hint="eastAsia" w:ascii="宋体" w:hAnsi="宋体" w:eastAsia="宋体" w:cs="宋体"/>
          <w:b/>
          <w:bCs/>
          <w:sz w:val="52"/>
          <w:szCs w:val="52"/>
          <w:shd w:val="clear" w:color="auto" w:fill="auto"/>
          <w:lang w:val="en-US" w:eastAsia="zh-CN"/>
        </w:rPr>
      </w:pPr>
    </w:p>
    <w:p w14:paraId="7E088389">
      <w:pPr>
        <w:pStyle w:val="4"/>
        <w:jc w:val="center"/>
        <w:rPr>
          <w:rFonts w:hint="eastAsia" w:ascii="宋体" w:hAnsi="宋体" w:eastAsia="宋体" w:cs="宋体"/>
          <w:b/>
          <w:bCs/>
          <w:sz w:val="52"/>
          <w:szCs w:val="52"/>
          <w:shd w:val="clear" w:color="auto" w:fill="auto"/>
          <w:lang w:val="en-US" w:eastAsia="zh-CN"/>
        </w:rPr>
      </w:pPr>
    </w:p>
    <w:p w14:paraId="7AEFBE85">
      <w:pPr>
        <w:pStyle w:val="4"/>
        <w:jc w:val="center"/>
        <w:rPr>
          <w:rFonts w:hint="eastAsia" w:ascii="宋体" w:hAnsi="宋体" w:eastAsia="宋体" w:cs="宋体"/>
          <w:b/>
          <w:bCs/>
          <w:sz w:val="52"/>
          <w:szCs w:val="52"/>
          <w:shd w:val="clear" w:color="auto" w:fill="auto"/>
          <w:lang w:val="en-US" w:eastAsia="zh-CN"/>
        </w:rPr>
      </w:pPr>
    </w:p>
    <w:p w14:paraId="48FB82F6">
      <w:pPr>
        <w:pStyle w:val="4"/>
        <w:jc w:val="center"/>
        <w:rPr>
          <w:rFonts w:hint="eastAsia" w:ascii="宋体" w:hAnsi="宋体" w:eastAsia="宋体" w:cs="宋体"/>
          <w:b/>
          <w:bCs/>
          <w:sz w:val="52"/>
          <w:szCs w:val="52"/>
          <w:shd w:val="clear" w:color="auto" w:fill="auto"/>
          <w:lang w:val="en-US" w:eastAsia="zh-CN"/>
        </w:rPr>
      </w:pPr>
    </w:p>
    <w:p w14:paraId="407E73ED">
      <w:pPr>
        <w:pStyle w:val="4"/>
        <w:jc w:val="center"/>
        <w:rPr>
          <w:rFonts w:hint="eastAsia" w:ascii="宋体" w:hAnsi="宋体" w:eastAsia="宋体" w:cs="宋体"/>
          <w:b/>
          <w:bCs/>
          <w:sz w:val="52"/>
          <w:szCs w:val="52"/>
          <w:shd w:val="clear" w:color="auto" w:fill="auto"/>
          <w:lang w:val="en-US" w:eastAsia="zh-CN"/>
        </w:rPr>
      </w:pPr>
    </w:p>
    <w:p w14:paraId="09D420B5">
      <w:pPr>
        <w:pStyle w:val="4"/>
        <w:jc w:val="center"/>
        <w:rPr>
          <w:rFonts w:hint="eastAsia" w:ascii="宋体" w:hAnsi="宋体" w:eastAsia="宋体" w:cs="宋体"/>
          <w:b/>
          <w:bCs/>
          <w:sz w:val="52"/>
          <w:szCs w:val="52"/>
          <w:shd w:val="clear" w:color="auto" w:fill="auto"/>
          <w:lang w:val="en-US" w:eastAsia="zh-CN"/>
        </w:rPr>
      </w:pPr>
    </w:p>
    <w:p w14:paraId="46E8A981">
      <w:pPr>
        <w:pStyle w:val="4"/>
        <w:jc w:val="center"/>
        <w:rPr>
          <w:rFonts w:hint="eastAsia" w:ascii="宋体" w:hAnsi="宋体" w:eastAsia="宋体" w:cs="宋体"/>
          <w:b/>
          <w:bCs/>
          <w:sz w:val="52"/>
          <w:szCs w:val="52"/>
          <w:shd w:val="clear" w:color="auto" w:fill="auto"/>
          <w:lang w:val="en-US" w:eastAsia="zh-CN"/>
        </w:rPr>
      </w:pPr>
    </w:p>
    <w:p w14:paraId="47518703">
      <w:pPr>
        <w:pStyle w:val="4"/>
        <w:jc w:val="center"/>
        <w:rPr>
          <w:rFonts w:hint="eastAsia" w:ascii="宋体" w:hAnsi="宋体" w:eastAsia="宋体" w:cs="宋体"/>
          <w:b/>
          <w:bCs/>
          <w:sz w:val="52"/>
          <w:szCs w:val="52"/>
          <w:shd w:val="clear" w:color="auto" w:fill="auto"/>
          <w:lang w:val="en-US" w:eastAsia="zh-CN"/>
        </w:rPr>
      </w:pPr>
    </w:p>
    <w:p w14:paraId="546627C5">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乐山市五通桥区</w:t>
      </w:r>
    </w:p>
    <w:p w14:paraId="16CAFFFA">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社会科学界联合会</w:t>
      </w:r>
    </w:p>
    <w:p w14:paraId="4323A929">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2026单位预算编制说明</w:t>
      </w:r>
    </w:p>
    <w:p w14:paraId="15E32C05">
      <w:pPr>
        <w:spacing w:after="0"/>
        <w:rPr>
          <w:rFonts w:ascii="宋体" w:hAnsi="宋体"/>
        </w:rPr>
      </w:pPr>
    </w:p>
    <w:p w14:paraId="47B40F19">
      <w:pPr>
        <w:rPr>
          <w:rFonts w:ascii="宋体" w:hAnsi="宋体"/>
          <w:sz w:val="4"/>
        </w:rPr>
      </w:pPr>
      <w:r>
        <w:rPr>
          <w:rFonts w:ascii="宋体" w:hAnsi="宋体"/>
          <w:sz w:val="4"/>
        </w:rPr>
        <w:br w:type="page"/>
      </w:r>
    </w:p>
    <w:p w14:paraId="3E1D3C9D">
      <w:pPr>
        <w:rPr>
          <w:rFonts w:ascii="宋体" w:hAnsi="宋体"/>
          <w:sz w:val="4"/>
        </w:rPr>
      </w:pPr>
    </w:p>
    <w:p w14:paraId="47DE4600">
      <w:pPr>
        <w:pStyle w:val="4"/>
        <w:spacing w:before="2"/>
        <w:rPr>
          <w:rFonts w:ascii="宋体" w:hAnsi="宋体"/>
          <w:sz w:val="4"/>
        </w:rPr>
      </w:pPr>
    </w:p>
    <w:p w14:paraId="4708089E">
      <w:pPr>
        <w:pStyle w:val="4"/>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14:paraId="79BFBE48">
          <w:pPr>
            <w:spacing w:before="0" w:beforeLines="0" w:after="0" w:afterLines="0" w:line="240" w:lineRule="auto"/>
            <w:ind w:left="0" w:leftChars="0" w:right="0" w:rightChars="0" w:firstLine="0" w:firstLineChars="0"/>
            <w:jc w:val="center"/>
            <w:rPr>
              <w:rFonts w:ascii="宋体" w:hAnsi="宋体"/>
            </w:rPr>
          </w:pPr>
        </w:p>
        <w:p w14:paraId="44979F05">
          <w:pPr>
            <w:pStyle w:val="9"/>
            <w:tabs>
              <w:tab w:val="right" w:leader="dot" w:pos="9812"/>
            </w:tabs>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_Toc21135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第一部分 部门概况</w:t>
          </w:r>
          <w:r>
            <w:tab/>
          </w:r>
          <w:r>
            <w:fldChar w:fldCharType="begin"/>
          </w:r>
          <w:r>
            <w:instrText xml:space="preserve"> PAGEREF _Toc21135 \h </w:instrText>
          </w:r>
          <w:r>
            <w:fldChar w:fldCharType="separate"/>
          </w:r>
          <w:r>
            <w:t>1</w:t>
          </w:r>
          <w:r>
            <w:fldChar w:fldCharType="end"/>
          </w:r>
          <w:r>
            <w:rPr>
              <w:rFonts w:hint="eastAsia" w:ascii="宋体" w:hAnsi="宋体" w:eastAsia="方正小标宋简体" w:cs="方正小标宋简体"/>
              <w:bCs/>
              <w:szCs w:val="48"/>
              <w:lang w:val="en-US" w:eastAsia="zh-CN"/>
            </w:rPr>
            <w:fldChar w:fldCharType="end"/>
          </w:r>
        </w:p>
        <w:p w14:paraId="33D037C2">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_Toc4053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一、基本职能及主要工作</w:t>
          </w:r>
          <w:r>
            <w:tab/>
          </w:r>
          <w:r>
            <w:fldChar w:fldCharType="begin"/>
          </w:r>
          <w:r>
            <w:instrText xml:space="preserve"> PAGEREF _Toc4053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7FE69EA3">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_Toc1343 </w:instrText>
          </w:r>
          <w:r>
            <w:rPr>
              <w:rFonts w:hint="eastAsia" w:ascii="宋体" w:hAnsi="宋体" w:eastAsia="方正小标宋简体" w:cs="方正小标宋简体"/>
              <w:bCs/>
              <w:szCs w:val="48"/>
              <w:lang w:val="en-US" w:eastAsia="zh-CN"/>
            </w:rPr>
            <w:fldChar w:fldCharType="separate"/>
          </w:r>
          <w:r>
            <w:rPr>
              <w:rFonts w:ascii="宋体" w:hAnsi="宋体"/>
              <w:highlight w:val="none"/>
            </w:rPr>
            <w:t>（一）部门职能简介</w:t>
          </w:r>
          <w:r>
            <w:tab/>
          </w:r>
          <w:r>
            <w:fldChar w:fldCharType="begin"/>
          </w:r>
          <w:r>
            <w:instrText xml:space="preserve"> PAGEREF _Toc1343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4872AAC4">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_Toc22140 </w:instrText>
          </w:r>
          <w:r>
            <w:rPr>
              <w:rFonts w:hint="eastAsia" w:ascii="宋体" w:hAnsi="宋体" w:eastAsia="方正小标宋简体" w:cs="方正小标宋简体"/>
              <w:bCs/>
              <w:szCs w:val="48"/>
              <w:lang w:val="en-US" w:eastAsia="zh-CN"/>
            </w:rPr>
            <w:fldChar w:fldCharType="separate"/>
          </w:r>
          <w:r>
            <w:rPr>
              <w:rFonts w:ascii="宋体" w:hAnsi="宋体"/>
            </w:rPr>
            <w:t>（二）部门</w:t>
          </w:r>
          <w:r>
            <w:rPr>
              <w:rFonts w:hint="eastAsia"/>
              <w:lang w:val="en-US" w:eastAsia="zh-CN"/>
            </w:rPr>
            <w:t>2026</w:t>
          </w:r>
          <w:r>
            <w:rPr>
              <w:rFonts w:ascii="宋体" w:hAnsi="宋体"/>
            </w:rPr>
            <w:t>年重点工</w:t>
          </w:r>
          <w:r>
            <w:rPr>
              <w:rFonts w:hint="eastAsia" w:ascii="宋体" w:hAnsi="宋体"/>
            </w:rPr>
            <w:t>作</w:t>
          </w:r>
          <w:r>
            <w:tab/>
          </w:r>
          <w:r>
            <w:fldChar w:fldCharType="begin"/>
          </w:r>
          <w:r>
            <w:instrText xml:space="preserve"> PAGEREF _Toc22140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59F16E56">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_Toc25288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二、部门预算单位构成</w:t>
          </w:r>
          <w:r>
            <w:tab/>
          </w:r>
          <w:r>
            <w:fldChar w:fldCharType="begin"/>
          </w:r>
          <w:r>
            <w:instrText xml:space="preserve"> PAGEREF _Toc25288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7EF6BB82">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_Toc16529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第二部分 乐山市五通桥区社会科学界联合会</w:t>
          </w:r>
          <w:r>
            <w:rPr>
              <w:rFonts w:hint="eastAsia" w:eastAsia="方正小标宋简体" w:cs="方正小标宋简体"/>
              <w:bCs/>
              <w:szCs w:val="52"/>
              <w:lang w:val="en-US" w:eastAsia="zh-CN"/>
            </w:rPr>
            <w:t>2026</w:t>
          </w:r>
          <w:r>
            <w:rPr>
              <w:rFonts w:hint="eastAsia" w:ascii="宋体" w:hAnsi="宋体" w:eastAsia="方正小标宋简体" w:cs="方正小标宋简体"/>
              <w:bCs/>
              <w:szCs w:val="52"/>
              <w:lang w:val="en-US" w:eastAsia="zh-CN"/>
            </w:rPr>
            <w:t>年单位预算表</w:t>
          </w:r>
          <w:r>
            <w:tab/>
          </w:r>
          <w:r>
            <w:fldChar w:fldCharType="begin"/>
          </w:r>
          <w:r>
            <w:instrText xml:space="preserve"> PAGEREF _Toc16529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14:paraId="378E8A0F">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_Toc22301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一、收支预算总表（收支总表1）</w:t>
          </w:r>
          <w:r>
            <w:tab/>
          </w:r>
          <w:r>
            <w:fldChar w:fldCharType="begin"/>
          </w:r>
          <w:r>
            <w:instrText xml:space="preserve"> PAGEREF _Toc22301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5B7080E8">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_Toc7152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二、收入预算总表（收入总表2）</w:t>
          </w:r>
          <w:r>
            <w:tab/>
          </w:r>
          <w:r>
            <w:fldChar w:fldCharType="begin"/>
          </w:r>
          <w:r>
            <w:instrText xml:space="preserve"> PAGEREF _Toc7152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05583002">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_Toc11138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三、征收预期表（征收预期3）</w:t>
          </w:r>
          <w:r>
            <w:tab/>
          </w:r>
          <w:r>
            <w:fldChar w:fldCharType="begin"/>
          </w:r>
          <w:r>
            <w:instrText xml:space="preserve"> PAGEREF _Toc11138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2A5D3A02">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_Toc15451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四、支出预算总表（支出总表4）</w:t>
          </w:r>
          <w:r>
            <w:tab/>
          </w:r>
          <w:r>
            <w:fldChar w:fldCharType="begin"/>
          </w:r>
          <w:r>
            <w:instrText xml:space="preserve"> PAGEREF _Toc15451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6C04466B">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_Toc32272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五、财政拨款预算总表（财拨总表5）</w:t>
          </w:r>
          <w:r>
            <w:tab/>
          </w:r>
          <w:r>
            <w:fldChar w:fldCharType="begin"/>
          </w:r>
          <w:r>
            <w:instrText xml:space="preserve"> PAGEREF _Toc32272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27FCE981">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_Toc866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六、一般公共预算支出表（一般预算支出6）</w:t>
          </w:r>
          <w:r>
            <w:tab/>
          </w:r>
          <w:r>
            <w:fldChar w:fldCharType="begin"/>
          </w:r>
          <w:r>
            <w:instrText xml:space="preserve"> PAGEREF _Toc866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2E641DD1">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_Toc24205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七、一般公共预算基本支出表（基本支出7）</w:t>
          </w:r>
          <w:r>
            <w:tab/>
          </w:r>
          <w:r>
            <w:fldChar w:fldCharType="begin"/>
          </w:r>
          <w:r>
            <w:instrText xml:space="preserve"> PAGEREF _Toc24205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2C310B4A">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_Toc27737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八、一般公共预算“三公”经费支出预算表（三公8）</w:t>
          </w:r>
          <w:r>
            <w:tab/>
          </w:r>
          <w:r>
            <w:fldChar w:fldCharType="begin"/>
          </w:r>
          <w:r>
            <w:instrText xml:space="preserve"> PAGEREF _Toc27737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05D78BFC">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_Toc762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九、政府性基金预算支出表（基金9）</w:t>
          </w:r>
          <w:r>
            <w:tab/>
          </w:r>
          <w:r>
            <w:fldChar w:fldCharType="begin"/>
          </w:r>
          <w:r>
            <w:instrText xml:space="preserve"> PAGEREF _Toc762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6657D40E">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_Toc25916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十、国有资本经营预算支出表（国资10）</w:t>
          </w:r>
          <w:r>
            <w:tab/>
          </w:r>
          <w:r>
            <w:fldChar w:fldCharType="begin"/>
          </w:r>
          <w:r>
            <w:instrText xml:space="preserve"> PAGEREF _Toc25916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046AC19F">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_Toc22903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十一、支出功能分类预算表（支出功能11）</w:t>
          </w:r>
          <w:r>
            <w:tab/>
          </w:r>
          <w:r>
            <w:fldChar w:fldCharType="begin"/>
          </w:r>
          <w:r>
            <w:instrText xml:space="preserve"> PAGEREF _Toc22903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11265EE8">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_Toc17265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十二、支出经济分类预算表（支出经济分类12）</w:t>
          </w:r>
          <w:r>
            <w:tab/>
          </w:r>
          <w:r>
            <w:fldChar w:fldCharType="begin"/>
          </w:r>
          <w:r>
            <w:instrText xml:space="preserve"> PAGEREF _Toc17265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1E8BE62E">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_Toc10869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十三、上级资金安排情况表（上级资金安排13）</w:t>
          </w:r>
          <w:r>
            <w:tab/>
          </w:r>
          <w:r>
            <w:fldChar w:fldCharType="begin"/>
          </w:r>
          <w:r>
            <w:instrText xml:space="preserve"> PAGEREF _Toc10869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715D9558">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_Toc23488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十四、项目支出表（项目支出14）</w:t>
          </w:r>
          <w:r>
            <w:tab/>
          </w:r>
          <w:r>
            <w:fldChar w:fldCharType="begin"/>
          </w:r>
          <w:r>
            <w:instrText xml:space="preserve"> PAGEREF _Toc23488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4E17587B">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_Toc21839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十六、政府购买服务预算表（购买服务16）</w:t>
          </w:r>
          <w:r>
            <w:tab/>
          </w:r>
          <w:r>
            <w:fldChar w:fldCharType="begin"/>
          </w:r>
          <w:r>
            <w:instrText xml:space="preserve"> PAGEREF _Toc21839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0367597C">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_Toc16129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十七、采购需求表（采购需求表17）</w:t>
          </w:r>
          <w:r>
            <w:tab/>
          </w:r>
          <w:r>
            <w:fldChar w:fldCharType="begin"/>
          </w:r>
          <w:r>
            <w:instrText xml:space="preserve"> PAGEREF _Toc16129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2277B5FC">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_Toc17081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十八、国有资产配置预算表（资产18）</w:t>
          </w:r>
          <w:r>
            <w:tab/>
          </w:r>
          <w:r>
            <w:fldChar w:fldCharType="begin"/>
          </w:r>
          <w:r>
            <w:instrText xml:space="preserve"> PAGEREF _Toc17081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0646F1DA">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_Toc26964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十九、项目支出绩效表（项目绩效19）</w:t>
          </w:r>
          <w:r>
            <w:tab/>
          </w:r>
          <w:r>
            <w:fldChar w:fldCharType="begin"/>
          </w:r>
          <w:r>
            <w:instrText xml:space="preserve"> PAGEREF _Toc26964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68739D34">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_Toc17326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二十、部门绩效表（部门绩效20）</w:t>
          </w:r>
          <w:r>
            <w:tab/>
          </w:r>
          <w:r>
            <w:fldChar w:fldCharType="begin"/>
          </w:r>
          <w:r>
            <w:instrText xml:space="preserve"> PAGEREF _Toc17326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03AE7495">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_Toc24529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二十一、年初政府采购项目预算表（政府采购项目预算表21）</w:t>
          </w:r>
          <w:r>
            <w:tab/>
          </w:r>
          <w:r>
            <w:fldChar w:fldCharType="begin"/>
          </w:r>
          <w:r>
            <w:instrText xml:space="preserve"> PAGEREF _Toc24529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5013C250">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_Toc2241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二十二、</w:t>
          </w:r>
          <w:r>
            <w:rPr>
              <w:rFonts w:hint="eastAsia"/>
              <w:lang w:val="en-US" w:eastAsia="zh-CN"/>
            </w:rPr>
            <w:t>2026</w:t>
          </w:r>
          <w:r>
            <w:rPr>
              <w:rFonts w:hint="eastAsia" w:ascii="宋体" w:hAnsi="宋体"/>
              <w:lang w:val="en-US" w:eastAsia="zh-CN"/>
            </w:rPr>
            <w:t>-202</w:t>
          </w:r>
          <w:r>
            <w:rPr>
              <w:rFonts w:hint="eastAsia"/>
              <w:lang w:val="en-US" w:eastAsia="zh-CN"/>
            </w:rPr>
            <w:t>8</w:t>
          </w:r>
          <w:r>
            <w:rPr>
              <w:rFonts w:hint="eastAsia" w:ascii="宋体" w:hAnsi="宋体"/>
              <w:lang w:val="en-US" w:eastAsia="zh-CN"/>
            </w:rPr>
            <w:t>年支出计划总表（三年计划总表22）</w:t>
          </w:r>
          <w:r>
            <w:tab/>
          </w:r>
          <w:r>
            <w:fldChar w:fldCharType="begin"/>
          </w:r>
          <w:r>
            <w:instrText xml:space="preserve"> PAGEREF _Toc2241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57F74CA8">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_Toc22812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二十三、</w:t>
          </w:r>
          <w:r>
            <w:rPr>
              <w:rFonts w:hint="eastAsia"/>
              <w:lang w:val="en-US" w:eastAsia="zh-CN"/>
            </w:rPr>
            <w:t>2026</w:t>
          </w:r>
          <w:r>
            <w:rPr>
              <w:rFonts w:hint="eastAsia" w:ascii="宋体" w:hAnsi="宋体"/>
              <w:lang w:val="en-US" w:eastAsia="zh-CN"/>
            </w:rPr>
            <w:t>-202</w:t>
          </w:r>
          <w:r>
            <w:rPr>
              <w:rFonts w:hint="eastAsia"/>
              <w:lang w:val="en-US" w:eastAsia="zh-CN"/>
            </w:rPr>
            <w:t>8</w:t>
          </w:r>
          <w:r>
            <w:rPr>
              <w:rFonts w:hint="eastAsia" w:ascii="宋体" w:hAnsi="宋体"/>
              <w:lang w:val="en-US" w:eastAsia="zh-CN"/>
            </w:rPr>
            <w:t>年支出计划明细表（三年计划明细表23）</w:t>
          </w:r>
          <w:r>
            <w:tab/>
          </w:r>
          <w:r>
            <w:fldChar w:fldCharType="begin"/>
          </w:r>
          <w:r>
            <w:instrText xml:space="preserve"> PAGEREF _Toc22812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606DBD44">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_Toc31993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二十四、人员和车辆基本情况表（人员24）</w:t>
          </w:r>
          <w:r>
            <w:tab/>
          </w:r>
          <w:r>
            <w:fldChar w:fldCharType="begin"/>
          </w:r>
          <w:r>
            <w:instrText xml:space="preserve"> PAGEREF _Toc31993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1BE1DADA">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_Toc12102 </w:instrText>
          </w:r>
          <w:r>
            <w:rPr>
              <w:rFonts w:hint="eastAsia" w:ascii="宋体" w:hAnsi="宋体" w:eastAsia="方正小标宋简体" w:cs="方正小标宋简体"/>
              <w:bCs/>
              <w:szCs w:val="48"/>
              <w:lang w:val="en-US" w:eastAsia="zh-CN"/>
            </w:rPr>
            <w:fldChar w:fldCharType="separate"/>
          </w:r>
          <w:r>
            <w:rPr>
              <w:rFonts w:hint="eastAsia" w:ascii="宋体" w:hAnsi="宋体"/>
              <w:bCs/>
              <w:lang w:val="en-US" w:eastAsia="zh-CN"/>
            </w:rPr>
            <w:t>以上所有表格详见部门说明后附件。</w:t>
          </w:r>
          <w:r>
            <w:tab/>
          </w:r>
          <w:r>
            <w:fldChar w:fldCharType="begin"/>
          </w:r>
          <w:r>
            <w:instrText xml:space="preserve"> PAGEREF _Toc12102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25577F0D">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_Toc26793 </w:instrText>
          </w:r>
          <w:r>
            <w:rPr>
              <w:rFonts w:hint="eastAsia" w:ascii="宋体" w:hAnsi="宋体" w:eastAsia="方正小标宋简体" w:cs="方正小标宋简体"/>
              <w:bCs/>
              <w:szCs w:val="48"/>
              <w:lang w:val="en-US" w:eastAsia="zh-CN"/>
            </w:rPr>
            <w:fldChar w:fldCharType="separate"/>
          </w:r>
          <w:r>
            <w:rPr>
              <w:rFonts w:hint="eastAsia" w:ascii="宋体" w:hAnsi="宋体"/>
              <w:szCs w:val="48"/>
              <w:lang w:val="en-US"/>
            </w:rPr>
            <w:t xml:space="preserve">第三部分 </w:t>
          </w:r>
          <w:r>
            <w:rPr>
              <w:rFonts w:hint="eastAsia" w:ascii="宋体" w:hAnsi="宋体" w:eastAsia="方正小标宋简体" w:cs="方正小标宋简体"/>
              <w:szCs w:val="48"/>
              <w:lang w:val="en-US" w:eastAsia="zh-CN"/>
            </w:rPr>
            <w:t>乐山市五通桥区社会科学界联合会</w:t>
          </w:r>
          <w:r>
            <w:rPr>
              <w:rFonts w:hint="eastAsia" w:eastAsia="方正小标宋简体" w:cs="方正小标宋简体"/>
              <w:szCs w:val="48"/>
              <w:lang w:val="en-US" w:eastAsia="zh-CN"/>
            </w:rPr>
            <w:t>2026</w:t>
          </w:r>
          <w:r>
            <w:rPr>
              <w:rFonts w:hint="eastAsia" w:ascii="宋体" w:hAnsi="宋体" w:eastAsia="方正小标宋简体" w:cs="方正小标宋简体"/>
              <w:szCs w:val="48"/>
              <w:lang w:val="en-US" w:eastAsia="zh-CN"/>
            </w:rPr>
            <w:t>年单位预算情况说明</w:t>
          </w:r>
          <w:r>
            <w:tab/>
          </w:r>
          <w:r>
            <w:fldChar w:fldCharType="begin"/>
          </w:r>
          <w:r>
            <w:instrText xml:space="preserve"> PAGEREF _Toc26793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14:paraId="76A11E01">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_Toc3534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一、收支预算情况说明</w:t>
          </w:r>
          <w:r>
            <w:tab/>
          </w:r>
          <w:r>
            <w:fldChar w:fldCharType="begin"/>
          </w:r>
          <w:r>
            <w:instrText xml:space="preserve"> PAGEREF _Toc3534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09843045">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_Toc9184 </w:instrText>
          </w:r>
          <w:r>
            <w:rPr>
              <w:rFonts w:hint="eastAsia" w:ascii="宋体" w:hAnsi="宋体" w:eastAsia="方正小标宋简体" w:cs="方正小标宋简体"/>
              <w:bCs/>
              <w:szCs w:val="48"/>
              <w:lang w:val="en-US" w:eastAsia="zh-CN"/>
            </w:rPr>
            <w:fldChar w:fldCharType="separate"/>
          </w:r>
          <w:r>
            <w:rPr>
              <w:rFonts w:ascii="宋体" w:hAnsi="宋体"/>
            </w:rPr>
            <w:t>（一）收入预算情况</w:t>
          </w:r>
          <w:r>
            <w:tab/>
          </w:r>
          <w:r>
            <w:fldChar w:fldCharType="begin"/>
          </w:r>
          <w:r>
            <w:instrText xml:space="preserve"> PAGEREF _Toc9184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6AF41799">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_Toc9432 </w:instrText>
          </w:r>
          <w:r>
            <w:rPr>
              <w:rFonts w:hint="eastAsia" w:ascii="宋体" w:hAnsi="宋体" w:eastAsia="方正小标宋简体" w:cs="方正小标宋简体"/>
              <w:bCs/>
              <w:szCs w:val="48"/>
              <w:lang w:val="en-US" w:eastAsia="zh-CN"/>
            </w:rPr>
            <w:fldChar w:fldCharType="separate"/>
          </w:r>
          <w:r>
            <w:rPr>
              <w:rFonts w:ascii="宋体" w:hAnsi="宋体"/>
            </w:rPr>
            <w:t>（二）支出预算情况</w:t>
          </w:r>
          <w:r>
            <w:tab/>
          </w:r>
          <w:r>
            <w:fldChar w:fldCharType="begin"/>
          </w:r>
          <w:r>
            <w:instrText xml:space="preserve"> PAGEREF _Toc9432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7E7FCA27">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_Toc7515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二、财政拨款收支预算情况说明</w:t>
          </w:r>
          <w:r>
            <w:tab/>
          </w:r>
          <w:r>
            <w:fldChar w:fldCharType="begin"/>
          </w:r>
          <w:r>
            <w:instrText xml:space="preserve"> PAGEREF _Toc7515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5742C535">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_Toc12994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三、一般公共预算当年拨款情况说明</w:t>
          </w:r>
          <w:r>
            <w:tab/>
          </w:r>
          <w:r>
            <w:fldChar w:fldCharType="begin"/>
          </w:r>
          <w:r>
            <w:instrText xml:space="preserve"> PAGEREF _Toc12994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14:paraId="5AA2B938">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_Toc25130 </w:instrText>
          </w:r>
          <w:r>
            <w:rPr>
              <w:rFonts w:hint="eastAsia" w:ascii="宋体" w:hAnsi="宋体" w:eastAsia="方正小标宋简体" w:cs="方正小标宋简体"/>
              <w:bCs/>
              <w:szCs w:val="48"/>
              <w:lang w:val="en-US" w:eastAsia="zh-CN"/>
            </w:rPr>
            <w:fldChar w:fldCharType="separate"/>
          </w:r>
          <w:r>
            <w:rPr>
              <w:rFonts w:ascii="宋体" w:hAnsi="宋体"/>
            </w:rPr>
            <w:t>（一）一般公共预算当年拨款规模变化情况</w:t>
          </w:r>
          <w:r>
            <w:tab/>
          </w:r>
          <w:r>
            <w:fldChar w:fldCharType="begin"/>
          </w:r>
          <w:r>
            <w:instrText xml:space="preserve"> PAGEREF _Toc25130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14:paraId="6888CD36">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_Toc32709 </w:instrText>
          </w:r>
          <w:r>
            <w:rPr>
              <w:rFonts w:hint="eastAsia" w:ascii="宋体" w:hAnsi="宋体" w:eastAsia="方正小标宋简体" w:cs="方正小标宋简体"/>
              <w:bCs/>
              <w:szCs w:val="48"/>
              <w:lang w:val="en-US" w:eastAsia="zh-CN"/>
            </w:rPr>
            <w:fldChar w:fldCharType="separate"/>
          </w:r>
          <w:r>
            <w:rPr>
              <w:rFonts w:ascii="宋体" w:hAnsi="宋体"/>
            </w:rPr>
            <w:t>（二）一般公共预算当年拨款结构情况</w:t>
          </w:r>
          <w:r>
            <w:tab/>
          </w:r>
          <w:r>
            <w:fldChar w:fldCharType="begin"/>
          </w:r>
          <w:r>
            <w:instrText xml:space="preserve"> PAGEREF _Toc32709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14:paraId="169DF764">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_Toc29546 </w:instrText>
          </w:r>
          <w:r>
            <w:rPr>
              <w:rFonts w:hint="eastAsia" w:ascii="宋体" w:hAnsi="宋体" w:eastAsia="方正小标宋简体" w:cs="方正小标宋简体"/>
              <w:bCs/>
              <w:szCs w:val="48"/>
              <w:lang w:val="en-US" w:eastAsia="zh-CN"/>
            </w:rPr>
            <w:fldChar w:fldCharType="separate"/>
          </w:r>
          <w:r>
            <w:rPr>
              <w:rFonts w:ascii="宋体" w:hAnsi="宋体"/>
            </w:rPr>
            <w:t>（三）一般公共预算当年拨款具体使用情况</w:t>
          </w:r>
          <w:r>
            <w:tab/>
          </w:r>
          <w:r>
            <w:fldChar w:fldCharType="begin"/>
          </w:r>
          <w:r>
            <w:instrText xml:space="preserve"> PAGEREF _Toc29546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14:paraId="3CDCE5A8">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_Toc841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四、一般公共预算基本支出情况说明</w:t>
          </w:r>
          <w:r>
            <w:tab/>
          </w:r>
          <w:r>
            <w:fldChar w:fldCharType="begin"/>
          </w:r>
          <w:r>
            <w:instrText xml:space="preserve"> PAGEREF _Toc841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14:paraId="31BDC8E2">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_Toc25269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五、“三公”经费财政拨款预算安排情况说明</w:t>
          </w:r>
          <w:r>
            <w:tab/>
          </w:r>
          <w:r>
            <w:fldChar w:fldCharType="begin"/>
          </w:r>
          <w:r>
            <w:instrText xml:space="preserve"> PAGEREF _Toc25269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14:paraId="793A8FC1">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_Toc26887 </w:instrText>
          </w:r>
          <w:r>
            <w:rPr>
              <w:rFonts w:hint="eastAsia" w:ascii="宋体" w:hAnsi="宋体" w:eastAsia="方正小标宋简体" w:cs="方正小标宋简体"/>
              <w:bCs/>
              <w:szCs w:val="48"/>
              <w:lang w:val="en-US" w:eastAsia="zh-CN"/>
            </w:rPr>
            <w:fldChar w:fldCharType="separate"/>
          </w:r>
          <w:r>
            <w:rPr>
              <w:rFonts w:ascii="宋体" w:hAnsi="宋体"/>
            </w:rPr>
            <w:t>（一）</w:t>
          </w:r>
          <w:r>
            <w:rPr>
              <w:rFonts w:hint="eastAsia" w:ascii="宋体" w:hAnsi="宋体"/>
              <w:lang w:val="en-US" w:eastAsia="zh-CN"/>
            </w:rPr>
            <w:t>公务接待费变化情况</w:t>
          </w:r>
          <w:r>
            <w:tab/>
          </w:r>
          <w:r>
            <w:fldChar w:fldCharType="begin"/>
          </w:r>
          <w:r>
            <w:instrText xml:space="preserve"> PAGEREF _Toc26887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14:paraId="36A7059F">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_Toc13118 </w:instrText>
          </w:r>
          <w:r>
            <w:rPr>
              <w:rFonts w:hint="eastAsia" w:ascii="宋体" w:hAnsi="宋体" w:eastAsia="方正小标宋简体" w:cs="方正小标宋简体"/>
              <w:bCs/>
              <w:szCs w:val="48"/>
              <w:lang w:val="en-US" w:eastAsia="zh-CN"/>
            </w:rPr>
            <w:fldChar w:fldCharType="separate"/>
          </w:r>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r>
            <w:tab/>
          </w:r>
          <w:r>
            <w:fldChar w:fldCharType="begin"/>
          </w:r>
          <w:r>
            <w:instrText xml:space="preserve"> PAGEREF _Toc13118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14:paraId="03C58F91">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_Toc7232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六、政府性基金预算支出情况说明</w:t>
          </w:r>
          <w:r>
            <w:tab/>
          </w:r>
          <w:r>
            <w:fldChar w:fldCharType="begin"/>
          </w:r>
          <w:r>
            <w:instrText xml:space="preserve"> PAGEREF _Toc7232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14:paraId="0148268C">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_Toc11448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七、</w:t>
          </w:r>
          <w:r>
            <w:rPr>
              <w:rFonts w:hint="eastAsia" w:ascii="宋体" w:hAnsi="宋体" w:eastAsia="黑体"/>
            </w:rPr>
            <w:t>国有资本经营预算情况说明</w:t>
          </w:r>
          <w:r>
            <w:tab/>
          </w:r>
          <w:r>
            <w:fldChar w:fldCharType="begin"/>
          </w:r>
          <w:r>
            <w:instrText xml:space="preserve"> PAGEREF _Toc11448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14:paraId="059551A2">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_Toc29060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八、其他重要事项的情况说明</w:t>
          </w:r>
          <w:r>
            <w:tab/>
          </w:r>
          <w:r>
            <w:fldChar w:fldCharType="begin"/>
          </w:r>
          <w:r>
            <w:instrText xml:space="preserve"> PAGEREF _Toc29060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14:paraId="448298D1">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_Toc30322 </w:instrText>
          </w:r>
          <w:r>
            <w:rPr>
              <w:rFonts w:hint="eastAsia" w:ascii="宋体" w:hAnsi="宋体" w:eastAsia="方正小标宋简体" w:cs="方正小标宋简体"/>
              <w:bCs/>
              <w:szCs w:val="48"/>
              <w:lang w:val="en-US" w:eastAsia="zh-CN"/>
            </w:rPr>
            <w:fldChar w:fldCharType="separate"/>
          </w:r>
          <w:r>
            <w:rPr>
              <w:rFonts w:ascii="宋体" w:hAnsi="宋体"/>
            </w:rPr>
            <w:t>（一）机关运行经费情况</w:t>
          </w:r>
          <w:r>
            <w:tab/>
          </w:r>
          <w:r>
            <w:fldChar w:fldCharType="begin"/>
          </w:r>
          <w:r>
            <w:instrText xml:space="preserve"> PAGEREF _Toc30322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14:paraId="3D7AA78A">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_Toc3045 </w:instrText>
          </w:r>
          <w:r>
            <w:rPr>
              <w:rFonts w:hint="eastAsia" w:ascii="宋体" w:hAnsi="宋体" w:eastAsia="方正小标宋简体" w:cs="方正小标宋简体"/>
              <w:bCs/>
              <w:szCs w:val="48"/>
              <w:lang w:val="en-US" w:eastAsia="zh-CN"/>
            </w:rPr>
            <w:fldChar w:fldCharType="separate"/>
          </w:r>
          <w:r>
            <w:rPr>
              <w:rFonts w:ascii="宋体" w:hAnsi="宋体"/>
            </w:rPr>
            <w:t>（二）政府采购情况</w:t>
          </w:r>
          <w:r>
            <w:tab/>
          </w:r>
          <w:r>
            <w:fldChar w:fldCharType="begin"/>
          </w:r>
          <w:r>
            <w:instrText xml:space="preserve"> PAGEREF _Toc3045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14:paraId="1D6B9324">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_Toc17484 </w:instrText>
          </w:r>
          <w:r>
            <w:rPr>
              <w:rFonts w:hint="eastAsia" w:ascii="宋体" w:hAnsi="宋体" w:eastAsia="方正小标宋简体" w:cs="方正小标宋简体"/>
              <w:bCs/>
              <w:szCs w:val="48"/>
              <w:lang w:val="en-US" w:eastAsia="zh-CN"/>
            </w:rPr>
            <w:fldChar w:fldCharType="separate"/>
          </w:r>
          <w:r>
            <w:rPr>
              <w:rFonts w:ascii="宋体" w:hAnsi="宋体"/>
            </w:rPr>
            <w:t>（三）国有资产占有使用情况</w:t>
          </w:r>
          <w:r>
            <w:tab/>
          </w:r>
          <w:r>
            <w:fldChar w:fldCharType="begin"/>
          </w:r>
          <w:r>
            <w:instrText xml:space="preserve"> PAGEREF _Toc17484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14:paraId="03CA67D1">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_Toc16518 </w:instrText>
          </w:r>
          <w:r>
            <w:rPr>
              <w:rFonts w:hint="eastAsia" w:ascii="宋体" w:hAnsi="宋体" w:eastAsia="方正小标宋简体" w:cs="方正小标宋简体"/>
              <w:bCs/>
              <w:szCs w:val="48"/>
              <w:lang w:val="en-US" w:eastAsia="zh-CN"/>
            </w:rPr>
            <w:fldChar w:fldCharType="separate"/>
          </w:r>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r>
            <w:tab/>
          </w:r>
          <w:r>
            <w:fldChar w:fldCharType="begin"/>
          </w:r>
          <w:r>
            <w:instrText xml:space="preserve"> PAGEREF _Toc16518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14:paraId="7660A533">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_Toc27770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第四部分  名词解释</w:t>
          </w:r>
          <w:r>
            <w:tab/>
          </w:r>
          <w:r>
            <w:fldChar w:fldCharType="begin"/>
          </w:r>
          <w:r>
            <w:instrText xml:space="preserve"> PAGEREF _Toc27770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14:paraId="7A4F648A">
          <w:pPr>
            <w:pStyle w:val="4"/>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14:paraId="056A67FB">
      <w:pPr>
        <w:pStyle w:val="4"/>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14:paraId="27EF01B9">
      <w:pPr>
        <w:pStyle w:val="4"/>
        <w:rPr>
          <w:rFonts w:ascii="宋体" w:hAnsi="宋体"/>
          <w:sz w:val="20"/>
        </w:rPr>
      </w:pPr>
    </w:p>
    <w:p w14:paraId="4613A8F2">
      <w:pPr>
        <w:pStyle w:val="4"/>
        <w:rPr>
          <w:rFonts w:ascii="宋体" w:hAnsi="宋体"/>
          <w:sz w:val="20"/>
        </w:rPr>
      </w:pPr>
    </w:p>
    <w:p w14:paraId="5B0BE1B3">
      <w:pPr>
        <w:pStyle w:val="4"/>
        <w:rPr>
          <w:rFonts w:ascii="宋体" w:hAnsi="宋体"/>
          <w:sz w:val="20"/>
        </w:rPr>
      </w:pPr>
    </w:p>
    <w:p w14:paraId="05000A8D">
      <w:pPr>
        <w:pStyle w:val="4"/>
        <w:rPr>
          <w:rFonts w:ascii="宋体" w:hAnsi="宋体"/>
          <w:sz w:val="20"/>
        </w:rPr>
      </w:pPr>
    </w:p>
    <w:p w14:paraId="1BCA57F5">
      <w:pPr>
        <w:pStyle w:val="4"/>
        <w:rPr>
          <w:rFonts w:ascii="宋体" w:hAnsi="宋体"/>
          <w:sz w:val="20"/>
        </w:rPr>
      </w:pPr>
    </w:p>
    <w:p w14:paraId="62EA7F05">
      <w:pPr>
        <w:pStyle w:val="4"/>
        <w:rPr>
          <w:rFonts w:ascii="宋体" w:hAnsi="宋体"/>
          <w:sz w:val="20"/>
        </w:rPr>
      </w:pPr>
    </w:p>
    <w:p w14:paraId="1635716F">
      <w:pPr>
        <w:pStyle w:val="4"/>
        <w:rPr>
          <w:rFonts w:ascii="宋体" w:hAnsi="宋体"/>
          <w:sz w:val="20"/>
        </w:rPr>
      </w:pPr>
    </w:p>
    <w:p w14:paraId="15179A5C">
      <w:pPr>
        <w:pStyle w:val="4"/>
        <w:rPr>
          <w:rFonts w:ascii="宋体" w:hAnsi="宋体"/>
          <w:sz w:val="20"/>
        </w:rPr>
      </w:pPr>
    </w:p>
    <w:p w14:paraId="5AABD3BB">
      <w:pPr>
        <w:pStyle w:val="4"/>
        <w:rPr>
          <w:rFonts w:ascii="宋体" w:hAnsi="宋体"/>
          <w:sz w:val="20"/>
        </w:rPr>
      </w:pPr>
    </w:p>
    <w:p w14:paraId="4CF283F9">
      <w:pPr>
        <w:pStyle w:val="4"/>
        <w:rPr>
          <w:rFonts w:ascii="宋体" w:hAnsi="宋体"/>
          <w:sz w:val="20"/>
        </w:rPr>
      </w:pPr>
    </w:p>
    <w:p w14:paraId="328AADFC">
      <w:pPr>
        <w:pStyle w:val="4"/>
        <w:rPr>
          <w:rFonts w:ascii="宋体" w:hAnsi="宋体"/>
          <w:sz w:val="20"/>
        </w:rPr>
      </w:pPr>
    </w:p>
    <w:p w14:paraId="2BAC7095">
      <w:pPr>
        <w:pStyle w:val="4"/>
        <w:rPr>
          <w:rFonts w:ascii="宋体" w:hAnsi="宋体"/>
          <w:sz w:val="20"/>
        </w:rPr>
      </w:pPr>
    </w:p>
    <w:p w14:paraId="730F8A07">
      <w:pPr>
        <w:pStyle w:val="4"/>
        <w:rPr>
          <w:rFonts w:ascii="宋体" w:hAnsi="宋体"/>
          <w:sz w:val="20"/>
        </w:rPr>
      </w:pPr>
    </w:p>
    <w:p w14:paraId="74B7217D">
      <w:pPr>
        <w:pStyle w:val="4"/>
        <w:rPr>
          <w:rFonts w:ascii="宋体" w:hAnsi="宋体"/>
          <w:sz w:val="20"/>
        </w:rPr>
      </w:pPr>
    </w:p>
    <w:p w14:paraId="51FC556C">
      <w:pPr>
        <w:pStyle w:val="4"/>
        <w:rPr>
          <w:rFonts w:ascii="宋体" w:hAnsi="宋体"/>
          <w:sz w:val="20"/>
        </w:rPr>
      </w:pPr>
    </w:p>
    <w:p w14:paraId="3561733E">
      <w:pPr>
        <w:pStyle w:val="4"/>
        <w:rPr>
          <w:rFonts w:ascii="宋体" w:hAnsi="宋体"/>
          <w:sz w:val="20"/>
        </w:rPr>
      </w:pPr>
    </w:p>
    <w:p w14:paraId="5E40CAA1">
      <w:pPr>
        <w:pStyle w:val="4"/>
        <w:rPr>
          <w:rFonts w:ascii="宋体" w:hAnsi="宋体"/>
          <w:sz w:val="20"/>
        </w:rPr>
      </w:pPr>
    </w:p>
    <w:p w14:paraId="4B98CD40">
      <w:pPr>
        <w:pStyle w:val="4"/>
        <w:rPr>
          <w:rFonts w:ascii="宋体" w:hAnsi="宋体"/>
          <w:sz w:val="20"/>
        </w:rPr>
      </w:pPr>
    </w:p>
    <w:p w14:paraId="484BF328">
      <w:pPr>
        <w:pStyle w:val="4"/>
        <w:rPr>
          <w:rFonts w:ascii="宋体" w:hAnsi="宋体"/>
          <w:sz w:val="20"/>
        </w:rPr>
      </w:pPr>
    </w:p>
    <w:p w14:paraId="63CB6E92">
      <w:pPr>
        <w:pStyle w:val="4"/>
        <w:rPr>
          <w:rFonts w:ascii="宋体" w:hAnsi="宋体"/>
          <w:sz w:val="20"/>
        </w:rPr>
      </w:pPr>
    </w:p>
    <w:p w14:paraId="5806FC98">
      <w:pPr>
        <w:pStyle w:val="4"/>
        <w:spacing w:before="3"/>
        <w:rPr>
          <w:rFonts w:ascii="宋体" w:hAnsi="宋体"/>
          <w:sz w:val="28"/>
        </w:rPr>
      </w:pPr>
    </w:p>
    <w:p w14:paraId="4B1D49A9">
      <w:pPr>
        <w:pStyle w:val="4"/>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21135"/>
      <w:r>
        <w:rPr>
          <w:rFonts w:hint="eastAsia" w:ascii="宋体" w:hAnsi="宋体" w:eastAsia="方正小标宋简体" w:cs="方正小标宋简体"/>
          <w:b/>
          <w:bCs/>
          <w:sz w:val="52"/>
          <w:szCs w:val="52"/>
          <w:lang w:val="en-US" w:eastAsia="zh-CN"/>
        </w:rPr>
        <w:t>部门概况</w:t>
      </w:r>
      <w:bookmarkEnd w:id="0"/>
    </w:p>
    <w:p w14:paraId="02002051">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13AC14DD">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3504ACB4">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14:paraId="7C141B58">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4053"/>
      <w:r>
        <w:rPr>
          <w:rFonts w:hint="eastAsia" w:ascii="宋体" w:hAnsi="宋体" w:eastAsia="黑体"/>
          <w:color w:val="333333"/>
        </w:rPr>
        <w:t>一、基本职能及主要工作</w:t>
      </w:r>
      <w:bookmarkEnd w:id="1"/>
    </w:p>
    <w:p w14:paraId="539AF8F1">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none"/>
          <w:lang w:eastAsia="zh-CN"/>
        </w:rPr>
      </w:pPr>
      <w:bookmarkStart w:id="2" w:name="_Toc1343"/>
      <w:r>
        <w:rPr>
          <w:rFonts w:ascii="宋体" w:hAnsi="宋体"/>
          <w:highlight w:val="none"/>
        </w:rPr>
        <w:t>（一）部门职能简介</w:t>
      </w:r>
      <w:bookmarkEnd w:id="2"/>
    </w:p>
    <w:p w14:paraId="27B6FE8A">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bookmarkStart w:id="3" w:name="_Toc22140"/>
      <w:r>
        <w:rPr>
          <w:rFonts w:hint="eastAsia" w:ascii="仿宋_GB2312" w:hAnsi="仿宋_GB2312" w:eastAsia="仿宋_GB2312" w:cs="仿宋_GB2312"/>
          <w:sz w:val="32"/>
          <w:szCs w:val="32"/>
          <w:lang w:val="en-US" w:eastAsia="zh-CN"/>
        </w:rPr>
        <w:t>社科联负责组织和协调社会科学界的学术交流活动，促进各学科之间的交叉融合，推动社会科学研究的创新发展。为社会科学工作者提供学术服务，为各学科领域的专家学者提供交流平台，同时也为政府和社会提供决策咨询服务。成果评审：负责对社会科学研究成果进行评审和鉴定，推动学术研究的规范化、科学化和专业化。根据社会科学研究的发展趋势和社会发展需要，向政府提出政策建议，推动社会科学研究成果的转化和应用。负责普及社会科学知识，提高公众对社会科学研究的认知和理解，促进社会科学的普及和应用。开展调查研究，服务区委、区政府，为科学决策提供智力支持。社科普及：开展社科知识宣传普及，服务社会大众，为提高公民素质搭建平台。</w:t>
      </w:r>
    </w:p>
    <w:p w14:paraId="3248703C">
      <w:pPr>
        <w:pStyle w:val="3"/>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rPr>
      </w:pPr>
      <w:r>
        <w:rPr>
          <w:rFonts w:ascii="宋体" w:hAnsi="宋体"/>
        </w:rPr>
        <w:t>（二）部门</w:t>
      </w:r>
      <w:r>
        <w:rPr>
          <w:rFonts w:hint="eastAsia" w:ascii="宋体" w:hAnsi="宋体"/>
          <w:lang w:val="en-US" w:eastAsia="zh-CN"/>
        </w:rPr>
        <w:t>2026</w:t>
      </w:r>
      <w:r>
        <w:rPr>
          <w:rFonts w:ascii="宋体" w:hAnsi="宋体"/>
        </w:rPr>
        <w:t>年重点工</w:t>
      </w:r>
      <w:r>
        <w:rPr>
          <w:rFonts w:hint="eastAsia" w:ascii="宋体" w:hAnsi="宋体"/>
        </w:rPr>
        <w:t>作</w:t>
      </w:r>
      <w:bookmarkEnd w:id="3"/>
    </w:p>
    <w:p w14:paraId="513193B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bCs/>
          <w:sz w:val="32"/>
          <w:szCs w:val="32"/>
          <w:lang w:val="en-US" w:eastAsia="zh-CN"/>
        </w:rPr>
      </w:pPr>
      <w:bookmarkStart w:id="4" w:name="_Toc25288"/>
      <w:r>
        <w:rPr>
          <w:rFonts w:hint="eastAsia" w:ascii="楷体_GB2312" w:hAnsi="楷体_GB2312" w:eastAsia="楷体_GB2312" w:cs="楷体_GB2312"/>
          <w:b w:val="0"/>
          <w:bCs w:val="0"/>
          <w:sz w:val="32"/>
          <w:szCs w:val="32"/>
          <w:lang w:val="en-US" w:eastAsia="zh-CN"/>
        </w:rPr>
        <w:t>1.持续强化理论武装。</w:t>
      </w:r>
      <w:r>
        <w:rPr>
          <w:rFonts w:hint="eastAsia" w:ascii="仿宋_GB2312" w:hAnsi="仿宋_GB2312" w:eastAsia="仿宋_GB2312" w:cs="仿宋_GB2312"/>
          <w:sz w:val="32"/>
          <w:szCs w:val="32"/>
          <w:lang w:val="en-US" w:eastAsia="zh-CN"/>
        </w:rPr>
        <w:t>深入学习贯彻习近平新时代中国特色社会主义思想，</w:t>
      </w:r>
      <w:r>
        <w:rPr>
          <w:rFonts w:hint="eastAsia" w:ascii="仿宋_GB2312" w:hAnsi="仿宋_GB2312" w:eastAsia="仿宋_GB2312" w:cs="仿宋_GB2312"/>
          <w:sz w:val="32"/>
          <w:szCs w:val="32"/>
          <w:lang w:val="en-US" w:eastAsia="zh-CN"/>
        </w:rPr>
        <w:t>引导社会科学工作者带头做党的创新理论的宣讲员、传播者，做宣传思想文化战线的“第一战队”。</w:t>
      </w:r>
    </w:p>
    <w:p w14:paraId="18CAA5F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2.持续推进社科研究。</w:t>
      </w:r>
      <w:r>
        <w:rPr>
          <w:rFonts w:hint="eastAsia" w:ascii="仿宋_GB2312" w:hAnsi="仿宋_GB2312" w:eastAsia="仿宋_GB2312" w:cs="仿宋_GB2312"/>
          <w:sz w:val="32"/>
          <w:szCs w:val="32"/>
          <w:lang w:val="en-US" w:eastAsia="zh-CN"/>
        </w:rPr>
        <w:t>聚焦哲学社会科学研究和普及主要任务，紧扣区委重要部署，持续做好学术研究、理论阐释、反映民意和建言献策等职能工作，推出更多优秀社科成果，为经济社会发展助力。</w:t>
      </w:r>
    </w:p>
    <w:p w14:paraId="512EA65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3.持续推进社科普及。</w:t>
      </w:r>
      <w:r>
        <w:rPr>
          <w:rFonts w:hint="eastAsia" w:ascii="仿宋_GB2312" w:hAnsi="仿宋_GB2312" w:eastAsia="仿宋_GB2312" w:cs="仿宋_GB2312"/>
          <w:sz w:val="32"/>
          <w:szCs w:val="32"/>
          <w:lang w:val="en-US" w:eastAsia="zh-CN"/>
        </w:rPr>
        <w:t>充分发挥根书研学、水乡刺绣、泥上行雕塑、丁佑君红色文化、晶硅光伏绿色低碳、永利川工业旧址等资源优势，打造五通桥科普系列品牌。</w:t>
      </w:r>
    </w:p>
    <w:p w14:paraId="0FEDACCA">
      <w:pPr>
        <w:pStyle w:val="4"/>
        <w:keepNext w:val="0"/>
        <w:keepLines w:val="0"/>
        <w:pageBreakBefore w:val="0"/>
        <w:widowControl w:val="0"/>
        <w:kinsoku/>
        <w:wordWrap/>
        <w:overflowPunct/>
        <w:topLinePunct w:val="0"/>
        <w:autoSpaceDE w:val="0"/>
        <w:autoSpaceDN w:val="0"/>
        <w:bidi w:val="0"/>
        <w:adjustRightInd/>
        <w:snapToGrid/>
        <w:spacing w:before="40" w:after="0" w:afterLines="50" w:line="360" w:lineRule="auto"/>
        <w:ind w:firstLine="640" w:firstLineChars="200"/>
        <w:textAlignment w:val="auto"/>
        <w:outlineLvl w:val="1"/>
        <w:rPr>
          <w:rFonts w:hint="eastAsia" w:ascii="宋体" w:hAnsi="宋体" w:eastAsia="黑体"/>
          <w:color w:val="333333"/>
        </w:rPr>
      </w:pPr>
      <w:r>
        <w:rPr>
          <w:rFonts w:hint="eastAsia" w:ascii="宋体" w:hAnsi="宋体" w:eastAsia="黑体"/>
          <w:color w:val="333333"/>
        </w:rPr>
        <w:t>二、部门预算单位构成</w:t>
      </w:r>
      <w:bookmarkEnd w:id="4"/>
    </w:p>
    <w:p w14:paraId="3AAB9D07">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单位预下属预算单位1个，其中行政单位0个，参照公务员法管理的事业单位0个，其他事业单位1个。主要包括：</w:t>
      </w:r>
    </w:p>
    <w:tbl>
      <w:tblPr>
        <w:tblStyle w:val="12"/>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14:paraId="24D3F4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14:paraId="4E71C06D">
            <w:pPr>
              <w:pStyle w:val="16"/>
              <w:spacing w:before="159"/>
              <w:ind w:left="748"/>
              <w:rPr>
                <w:rFonts w:hint="eastAsia" w:ascii="宋体" w:hAnsi="宋体" w:eastAsia="仿宋_GB2312"/>
                <w:sz w:val="32"/>
              </w:rPr>
            </w:pPr>
            <w:r>
              <w:rPr>
                <w:rFonts w:hint="eastAsia" w:ascii="宋体" w:hAnsi="宋体" w:eastAsia="仿宋_GB2312"/>
                <w:color w:val="333333"/>
                <w:sz w:val="32"/>
              </w:rPr>
              <w:t>序号</w:t>
            </w:r>
          </w:p>
        </w:tc>
        <w:tc>
          <w:tcPr>
            <w:tcW w:w="6282" w:type="dxa"/>
          </w:tcPr>
          <w:p w14:paraId="7C5027BC">
            <w:pPr>
              <w:pStyle w:val="16"/>
              <w:spacing w:before="159"/>
              <w:ind w:left="2498"/>
              <w:rPr>
                <w:rFonts w:hint="eastAsia" w:ascii="宋体" w:hAnsi="宋体" w:eastAsia="仿宋_GB2312"/>
                <w:sz w:val="32"/>
              </w:rPr>
            </w:pPr>
            <w:r>
              <w:rPr>
                <w:rFonts w:hint="eastAsia" w:ascii="宋体" w:hAnsi="宋体" w:eastAsia="仿宋_GB2312"/>
                <w:color w:val="333333"/>
                <w:sz w:val="32"/>
              </w:rPr>
              <w:t>预算单位名称</w:t>
            </w:r>
          </w:p>
        </w:tc>
      </w:tr>
      <w:tr w14:paraId="0A2C13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14:paraId="65BB330B">
            <w:pPr>
              <w:pStyle w:val="16"/>
              <w:spacing w:before="181"/>
              <w:ind w:left="748"/>
              <w:rPr>
                <w:rFonts w:ascii="宋体" w:hAnsi="宋体"/>
                <w:sz w:val="32"/>
              </w:rPr>
            </w:pPr>
            <w:r>
              <w:rPr>
                <w:rFonts w:ascii="宋体" w:hAnsi="宋体"/>
                <w:color w:val="333333"/>
                <w:w w:val="99"/>
                <w:sz w:val="32"/>
              </w:rPr>
              <w:t>1</w:t>
            </w:r>
          </w:p>
        </w:tc>
        <w:tc>
          <w:tcPr>
            <w:tcW w:w="6282" w:type="dxa"/>
          </w:tcPr>
          <w:p w14:paraId="37E2AB3A">
            <w:pPr>
              <w:pStyle w:val="16"/>
              <w:spacing w:before="160"/>
              <w:rPr>
                <w:rFonts w:hint="default" w:ascii="宋体" w:hAnsi="宋体" w:eastAsia="仿宋_GB2312"/>
                <w:sz w:val="32"/>
                <w:lang w:val="en-US" w:eastAsia="zh-CN"/>
              </w:rPr>
            </w:pPr>
            <w:r>
              <w:rPr>
                <w:rFonts w:hint="eastAsia" w:eastAsia="仿宋_GB2312"/>
                <w:sz w:val="32"/>
                <w:lang w:val="en-US" w:eastAsia="zh-CN"/>
              </w:rPr>
              <w:t>104104-乐山市五通桥区社会科学界联合会</w:t>
            </w:r>
          </w:p>
        </w:tc>
      </w:tr>
      <w:tr w14:paraId="543529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5079209B">
            <w:pPr>
              <w:pStyle w:val="16"/>
              <w:spacing w:before="183"/>
              <w:ind w:left="748"/>
              <w:rPr>
                <w:rFonts w:ascii="宋体" w:hAnsi="宋体"/>
                <w:sz w:val="32"/>
              </w:rPr>
            </w:pPr>
            <w:r>
              <w:rPr>
                <w:rFonts w:ascii="宋体" w:hAnsi="宋体"/>
                <w:color w:val="333333"/>
                <w:w w:val="99"/>
                <w:sz w:val="32"/>
              </w:rPr>
              <w:t>2</w:t>
            </w:r>
          </w:p>
        </w:tc>
        <w:tc>
          <w:tcPr>
            <w:tcW w:w="6282" w:type="dxa"/>
          </w:tcPr>
          <w:p w14:paraId="1465AF01">
            <w:pPr>
              <w:pStyle w:val="16"/>
              <w:spacing w:before="162"/>
              <w:ind w:left="746"/>
              <w:rPr>
                <w:rFonts w:hint="eastAsia" w:ascii="宋体" w:hAnsi="宋体" w:eastAsia="仿宋_GB2312"/>
                <w:sz w:val="32"/>
              </w:rPr>
            </w:pPr>
          </w:p>
        </w:tc>
      </w:tr>
      <w:tr w14:paraId="2AD8AF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0B5D8413">
            <w:pPr>
              <w:pStyle w:val="16"/>
              <w:spacing w:before="183"/>
              <w:ind w:left="748"/>
              <w:rPr>
                <w:rFonts w:ascii="宋体" w:hAnsi="宋体"/>
                <w:sz w:val="32"/>
              </w:rPr>
            </w:pPr>
            <w:r>
              <w:rPr>
                <w:rFonts w:ascii="宋体" w:hAnsi="宋体"/>
                <w:color w:val="333333"/>
                <w:w w:val="99"/>
                <w:sz w:val="32"/>
              </w:rPr>
              <w:t>3</w:t>
            </w:r>
          </w:p>
        </w:tc>
        <w:tc>
          <w:tcPr>
            <w:tcW w:w="6282" w:type="dxa"/>
          </w:tcPr>
          <w:p w14:paraId="20150D45">
            <w:pPr>
              <w:pStyle w:val="16"/>
              <w:spacing w:before="162"/>
              <w:ind w:left="746"/>
              <w:rPr>
                <w:rFonts w:hint="eastAsia" w:ascii="宋体" w:hAnsi="宋体" w:eastAsia="仿宋_GB2312"/>
                <w:sz w:val="32"/>
              </w:rPr>
            </w:pPr>
          </w:p>
        </w:tc>
      </w:tr>
      <w:tr w14:paraId="29B743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2007" w:type="dxa"/>
          </w:tcPr>
          <w:p w14:paraId="338E1720">
            <w:pPr>
              <w:pStyle w:val="16"/>
              <w:spacing w:before="183"/>
              <w:ind w:left="748"/>
              <w:rPr>
                <w:rFonts w:ascii="宋体" w:hAnsi="宋体"/>
                <w:sz w:val="32"/>
              </w:rPr>
            </w:pPr>
            <w:r>
              <w:rPr>
                <w:rFonts w:ascii="宋体" w:hAnsi="宋体"/>
                <w:color w:val="333333"/>
                <w:w w:val="99"/>
                <w:sz w:val="32"/>
              </w:rPr>
              <w:t>4</w:t>
            </w:r>
          </w:p>
        </w:tc>
        <w:tc>
          <w:tcPr>
            <w:tcW w:w="6282" w:type="dxa"/>
          </w:tcPr>
          <w:p w14:paraId="073C132F">
            <w:pPr>
              <w:pStyle w:val="16"/>
              <w:spacing w:before="162"/>
              <w:ind w:left="746"/>
              <w:rPr>
                <w:rFonts w:hint="eastAsia" w:ascii="宋体" w:hAnsi="宋体" w:eastAsia="仿宋_GB2312"/>
                <w:sz w:val="32"/>
              </w:rPr>
            </w:pPr>
          </w:p>
        </w:tc>
      </w:tr>
    </w:tbl>
    <w:p w14:paraId="69D375D5">
      <w:pPr>
        <w:rPr>
          <w:rFonts w:ascii="宋体" w:hAnsi="宋体"/>
          <w:sz w:val="20"/>
        </w:rPr>
      </w:pPr>
      <w:r>
        <w:rPr>
          <w:rFonts w:ascii="宋体" w:hAnsi="宋体"/>
          <w:sz w:val="20"/>
        </w:rPr>
        <w:br w:type="page"/>
      </w:r>
    </w:p>
    <w:p w14:paraId="213D9E69">
      <w:pPr>
        <w:pStyle w:val="4"/>
        <w:rPr>
          <w:rFonts w:ascii="宋体" w:hAnsi="宋体"/>
          <w:sz w:val="20"/>
        </w:rPr>
      </w:pPr>
    </w:p>
    <w:p w14:paraId="5E7241CF">
      <w:pPr>
        <w:pStyle w:val="4"/>
        <w:rPr>
          <w:rFonts w:ascii="宋体" w:hAnsi="宋体"/>
          <w:sz w:val="20"/>
        </w:rPr>
      </w:pPr>
    </w:p>
    <w:p w14:paraId="7917EA80">
      <w:pPr>
        <w:pStyle w:val="4"/>
        <w:rPr>
          <w:rFonts w:ascii="宋体" w:hAnsi="宋体"/>
          <w:sz w:val="20"/>
        </w:rPr>
      </w:pPr>
    </w:p>
    <w:p w14:paraId="26175409">
      <w:pPr>
        <w:pStyle w:val="4"/>
        <w:rPr>
          <w:rFonts w:ascii="宋体" w:hAnsi="宋体"/>
          <w:sz w:val="20"/>
        </w:rPr>
      </w:pPr>
    </w:p>
    <w:p w14:paraId="371FF147">
      <w:pPr>
        <w:pStyle w:val="4"/>
        <w:rPr>
          <w:rFonts w:ascii="宋体" w:hAnsi="宋体"/>
          <w:sz w:val="20"/>
        </w:rPr>
      </w:pPr>
    </w:p>
    <w:p w14:paraId="5BA97FE5">
      <w:pPr>
        <w:pStyle w:val="4"/>
        <w:rPr>
          <w:rFonts w:ascii="宋体" w:hAnsi="宋体"/>
          <w:sz w:val="20"/>
        </w:rPr>
      </w:pPr>
    </w:p>
    <w:p w14:paraId="45363218">
      <w:pPr>
        <w:pStyle w:val="4"/>
        <w:rPr>
          <w:rFonts w:ascii="宋体" w:hAnsi="宋体"/>
          <w:sz w:val="20"/>
        </w:rPr>
      </w:pPr>
    </w:p>
    <w:p w14:paraId="36D551B6">
      <w:pPr>
        <w:pStyle w:val="4"/>
        <w:rPr>
          <w:rFonts w:ascii="宋体" w:hAnsi="宋体"/>
          <w:sz w:val="20"/>
        </w:rPr>
      </w:pPr>
    </w:p>
    <w:p w14:paraId="578B3D8D">
      <w:pPr>
        <w:pStyle w:val="4"/>
        <w:rPr>
          <w:rFonts w:ascii="宋体" w:hAnsi="宋体"/>
          <w:sz w:val="20"/>
        </w:rPr>
      </w:pPr>
    </w:p>
    <w:p w14:paraId="79C8CDB1">
      <w:pPr>
        <w:pStyle w:val="4"/>
        <w:rPr>
          <w:rFonts w:ascii="宋体" w:hAnsi="宋体"/>
          <w:sz w:val="20"/>
        </w:rPr>
      </w:pPr>
    </w:p>
    <w:p w14:paraId="09A68D1F">
      <w:pPr>
        <w:pStyle w:val="4"/>
        <w:rPr>
          <w:rFonts w:ascii="宋体" w:hAnsi="宋体"/>
          <w:sz w:val="20"/>
        </w:rPr>
      </w:pPr>
    </w:p>
    <w:p w14:paraId="38487C42">
      <w:pPr>
        <w:pStyle w:val="4"/>
        <w:rPr>
          <w:rFonts w:ascii="宋体" w:hAnsi="宋体"/>
          <w:sz w:val="20"/>
        </w:rPr>
      </w:pPr>
    </w:p>
    <w:p w14:paraId="0891E374">
      <w:pPr>
        <w:pStyle w:val="4"/>
        <w:rPr>
          <w:rFonts w:ascii="宋体" w:hAnsi="宋体"/>
          <w:sz w:val="20"/>
        </w:rPr>
      </w:pPr>
    </w:p>
    <w:p w14:paraId="55DD0C63">
      <w:pPr>
        <w:pStyle w:val="4"/>
        <w:rPr>
          <w:rFonts w:ascii="宋体" w:hAnsi="宋体"/>
          <w:sz w:val="20"/>
        </w:rPr>
      </w:pPr>
    </w:p>
    <w:p w14:paraId="29E4BE46">
      <w:pPr>
        <w:pStyle w:val="4"/>
        <w:rPr>
          <w:rFonts w:ascii="宋体" w:hAnsi="宋体"/>
          <w:sz w:val="20"/>
        </w:rPr>
      </w:pPr>
    </w:p>
    <w:p w14:paraId="6EFFF125">
      <w:pPr>
        <w:pStyle w:val="4"/>
        <w:rPr>
          <w:rFonts w:ascii="宋体" w:hAnsi="宋体"/>
          <w:sz w:val="20"/>
        </w:rPr>
      </w:pPr>
    </w:p>
    <w:p w14:paraId="59975635">
      <w:pPr>
        <w:pStyle w:val="4"/>
        <w:rPr>
          <w:rFonts w:ascii="宋体" w:hAnsi="宋体"/>
          <w:sz w:val="20"/>
        </w:rPr>
      </w:pPr>
    </w:p>
    <w:p w14:paraId="5F9134BF">
      <w:pPr>
        <w:pStyle w:val="4"/>
        <w:rPr>
          <w:rFonts w:ascii="宋体" w:hAnsi="宋体"/>
          <w:sz w:val="20"/>
        </w:rPr>
      </w:pPr>
    </w:p>
    <w:p w14:paraId="7E425072">
      <w:pPr>
        <w:pStyle w:val="4"/>
        <w:rPr>
          <w:rFonts w:ascii="宋体" w:hAnsi="宋体"/>
          <w:sz w:val="20"/>
        </w:rPr>
      </w:pPr>
    </w:p>
    <w:p w14:paraId="0D4B9F37">
      <w:pPr>
        <w:pStyle w:val="4"/>
        <w:rPr>
          <w:rFonts w:ascii="宋体" w:hAnsi="宋体"/>
          <w:sz w:val="20"/>
        </w:rPr>
      </w:pPr>
    </w:p>
    <w:p w14:paraId="6725DD62">
      <w:pPr>
        <w:pStyle w:val="4"/>
        <w:numPr>
          <w:ilvl w:val="0"/>
          <w:numId w:val="2"/>
        </w:numPr>
        <w:jc w:val="center"/>
        <w:outlineLvl w:val="0"/>
        <w:rPr>
          <w:rFonts w:hint="default" w:ascii="宋体" w:hAnsi="宋体" w:eastAsia="方正小标宋简体" w:cs="方正小标宋简体"/>
          <w:b/>
          <w:bCs/>
          <w:sz w:val="52"/>
          <w:szCs w:val="52"/>
          <w:lang w:val="en-US" w:eastAsia="zh-CN"/>
        </w:rPr>
      </w:pPr>
      <w:bookmarkStart w:id="5" w:name="_Toc16529"/>
      <w:r>
        <w:rPr>
          <w:rFonts w:hint="eastAsia" w:ascii="宋体" w:hAnsi="宋体" w:eastAsia="方正小标宋简体" w:cs="方正小标宋简体"/>
          <w:b/>
          <w:bCs/>
          <w:sz w:val="52"/>
          <w:szCs w:val="52"/>
          <w:lang w:val="en-US" w:eastAsia="zh-CN"/>
        </w:rPr>
        <w:t>乐山市五通桥区社会科学界联合会2026年单位预算表</w:t>
      </w:r>
      <w:bookmarkEnd w:id="5"/>
    </w:p>
    <w:p w14:paraId="199064EB">
      <w:pPr>
        <w:rPr>
          <w:rFonts w:hint="eastAsia" w:ascii="宋体" w:hAnsi="宋体"/>
          <w:sz w:val="32"/>
          <w:lang w:val="en-US" w:eastAsia="zh-CN"/>
        </w:rPr>
      </w:pPr>
      <w:r>
        <w:rPr>
          <w:rFonts w:ascii="宋体" w:hAnsi="宋体"/>
          <w:color w:val="333333"/>
        </w:rPr>
        <w:br w:type="page"/>
      </w:r>
    </w:p>
    <w:p w14:paraId="168C66C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6" w:name="_Toc22301"/>
      <w:r>
        <w:rPr>
          <w:rFonts w:hint="eastAsia" w:ascii="宋体" w:hAnsi="宋体"/>
          <w:sz w:val="32"/>
          <w:lang w:val="en-US" w:eastAsia="zh-CN"/>
        </w:rPr>
        <w:t>一、收支预算总表（收支总表1）</w:t>
      </w:r>
      <w:bookmarkEnd w:id="6"/>
    </w:p>
    <w:p w14:paraId="15CD402D">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7" w:name="_Toc7152"/>
      <w:r>
        <w:rPr>
          <w:rFonts w:hint="eastAsia" w:ascii="宋体" w:hAnsi="宋体"/>
          <w:sz w:val="32"/>
          <w:lang w:val="en-US" w:eastAsia="zh-CN"/>
        </w:rPr>
        <w:t>二、收入预算总表（收入总表2）</w:t>
      </w:r>
      <w:bookmarkEnd w:id="7"/>
    </w:p>
    <w:p w14:paraId="3D8FE219">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8" w:name="_Toc11138"/>
      <w:r>
        <w:rPr>
          <w:rFonts w:hint="eastAsia" w:ascii="宋体" w:hAnsi="宋体"/>
          <w:sz w:val="32"/>
          <w:lang w:val="en-US" w:eastAsia="zh-CN"/>
        </w:rPr>
        <w:t>三、征收预期表（征收预期3）</w:t>
      </w:r>
      <w:bookmarkEnd w:id="8"/>
    </w:p>
    <w:p w14:paraId="285AA95F">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9" w:name="_Toc15451"/>
      <w:r>
        <w:rPr>
          <w:rFonts w:hint="eastAsia" w:ascii="宋体" w:hAnsi="宋体"/>
          <w:sz w:val="32"/>
          <w:lang w:val="en-US" w:eastAsia="zh-CN"/>
        </w:rPr>
        <w:t>四、支出预算总表（支出总表4）</w:t>
      </w:r>
      <w:bookmarkEnd w:id="9"/>
    </w:p>
    <w:p w14:paraId="41B6B198">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0" w:name="_Toc32272"/>
      <w:r>
        <w:rPr>
          <w:rFonts w:hint="eastAsia" w:ascii="宋体" w:hAnsi="宋体"/>
          <w:sz w:val="32"/>
          <w:lang w:val="en-US" w:eastAsia="zh-CN"/>
        </w:rPr>
        <w:t>五、财政拨款预算总表（财拨总表5）</w:t>
      </w:r>
      <w:bookmarkEnd w:id="10"/>
    </w:p>
    <w:p w14:paraId="03C319FD">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1" w:name="_Toc866"/>
      <w:r>
        <w:rPr>
          <w:rFonts w:hint="eastAsia" w:ascii="宋体" w:hAnsi="宋体"/>
          <w:sz w:val="32"/>
          <w:lang w:val="en-US" w:eastAsia="zh-CN"/>
        </w:rPr>
        <w:t>六、一般公共预算支出表（一般预算支出6）</w:t>
      </w:r>
      <w:bookmarkEnd w:id="11"/>
    </w:p>
    <w:p w14:paraId="25354848">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2" w:name="_Toc24205"/>
      <w:r>
        <w:rPr>
          <w:rFonts w:hint="eastAsia" w:ascii="宋体" w:hAnsi="宋体"/>
          <w:sz w:val="32"/>
          <w:lang w:val="en-US" w:eastAsia="zh-CN"/>
        </w:rPr>
        <w:t>七、一般公共预算基本支出表（基本支出7）</w:t>
      </w:r>
      <w:bookmarkEnd w:id="12"/>
      <w:r>
        <w:rPr>
          <w:rFonts w:hint="eastAsia" w:ascii="宋体" w:hAnsi="宋体"/>
          <w:sz w:val="32"/>
          <w:lang w:val="en-US" w:eastAsia="zh-CN"/>
        </w:rPr>
        <w:t xml:space="preserve"> </w:t>
      </w:r>
    </w:p>
    <w:p w14:paraId="676EBEBD">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3" w:name="_Toc27737"/>
      <w:r>
        <w:rPr>
          <w:rFonts w:hint="eastAsia" w:ascii="宋体" w:hAnsi="宋体"/>
          <w:sz w:val="32"/>
          <w:lang w:val="en-US" w:eastAsia="zh-CN"/>
        </w:rPr>
        <w:t>八、一般公共预算“三公”经费支出预算表（三公8）</w:t>
      </w:r>
      <w:bookmarkEnd w:id="13"/>
    </w:p>
    <w:p w14:paraId="18C57E33">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762"/>
      <w:r>
        <w:rPr>
          <w:rFonts w:hint="eastAsia" w:ascii="宋体" w:hAnsi="宋体"/>
          <w:sz w:val="32"/>
          <w:lang w:val="en-US" w:eastAsia="zh-CN"/>
        </w:rPr>
        <w:t>九、政府性基金预算支出表（基金9）</w:t>
      </w:r>
      <w:bookmarkEnd w:id="14"/>
      <w:r>
        <w:rPr>
          <w:rFonts w:hint="eastAsia" w:ascii="宋体" w:hAnsi="宋体"/>
          <w:sz w:val="32"/>
          <w:lang w:val="en-US" w:eastAsia="zh-CN"/>
        </w:rPr>
        <w:t xml:space="preserve"> </w:t>
      </w:r>
    </w:p>
    <w:p w14:paraId="5D3928AC">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5" w:name="_Toc25916"/>
      <w:r>
        <w:rPr>
          <w:rFonts w:hint="eastAsia" w:ascii="宋体" w:hAnsi="宋体"/>
          <w:sz w:val="32"/>
          <w:lang w:val="en-US" w:eastAsia="zh-CN"/>
        </w:rPr>
        <w:t>十、国有资本经营预算支出表（国资10）</w:t>
      </w:r>
      <w:bookmarkEnd w:id="15"/>
    </w:p>
    <w:p w14:paraId="43B954F1">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6" w:name="_Toc22903"/>
      <w:r>
        <w:rPr>
          <w:rFonts w:hint="eastAsia" w:ascii="宋体" w:hAnsi="宋体"/>
          <w:sz w:val="32"/>
          <w:lang w:val="en-US" w:eastAsia="zh-CN"/>
        </w:rPr>
        <w:t>十一、支出功能分类预算表（支出功能11）</w:t>
      </w:r>
      <w:bookmarkEnd w:id="16"/>
    </w:p>
    <w:p w14:paraId="2C8FEB9E">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7" w:name="_Toc17265"/>
      <w:r>
        <w:rPr>
          <w:rFonts w:hint="eastAsia" w:ascii="宋体" w:hAnsi="宋体"/>
          <w:sz w:val="32"/>
          <w:lang w:val="en-US" w:eastAsia="zh-CN"/>
        </w:rPr>
        <w:t>十二、支出经济分类预算表（支出经济分类12）</w:t>
      </w:r>
      <w:bookmarkEnd w:id="17"/>
    </w:p>
    <w:p w14:paraId="68677C9F">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8" w:name="_Toc10869"/>
      <w:r>
        <w:rPr>
          <w:rFonts w:hint="eastAsia" w:ascii="宋体" w:hAnsi="宋体"/>
          <w:sz w:val="32"/>
          <w:lang w:val="en-US" w:eastAsia="zh-CN"/>
        </w:rPr>
        <w:t>十三、上级资金安排情况表（上级资金安排13）</w:t>
      </w:r>
      <w:bookmarkEnd w:id="18"/>
      <w:r>
        <w:rPr>
          <w:rFonts w:hint="eastAsia" w:ascii="宋体" w:hAnsi="宋体"/>
          <w:sz w:val="32"/>
          <w:lang w:val="en-US" w:eastAsia="zh-CN"/>
        </w:rPr>
        <w:t xml:space="preserve"> </w:t>
      </w:r>
    </w:p>
    <w:p w14:paraId="1483DF47">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9" w:name="_Toc23488"/>
      <w:r>
        <w:rPr>
          <w:rFonts w:hint="eastAsia" w:ascii="宋体" w:hAnsi="宋体"/>
          <w:sz w:val="32"/>
          <w:lang w:val="en-US" w:eastAsia="zh-CN"/>
        </w:rPr>
        <w:t>十四、项目支出表（项目支出14）</w:t>
      </w:r>
      <w:bookmarkEnd w:id="19"/>
    </w:p>
    <w:p w14:paraId="683A895E">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0" w:name="_Toc21839"/>
      <w:r>
        <w:rPr>
          <w:rFonts w:hint="eastAsia" w:ascii="宋体" w:hAnsi="宋体"/>
          <w:sz w:val="32"/>
          <w:lang w:val="en-US" w:eastAsia="zh-CN"/>
        </w:rPr>
        <w:t>十六、政府购买服务预算表（购买服务16）</w:t>
      </w:r>
      <w:bookmarkEnd w:id="20"/>
    </w:p>
    <w:p w14:paraId="1B95DA18">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1" w:name="_Toc16129"/>
      <w:bookmarkStart w:id="22" w:name="_Toc16458"/>
      <w:r>
        <w:rPr>
          <w:rFonts w:hint="eastAsia" w:ascii="宋体" w:hAnsi="宋体"/>
          <w:sz w:val="32"/>
          <w:lang w:val="en-US" w:eastAsia="zh-CN"/>
        </w:rPr>
        <w:t>十七、采购需求表（采购需求表17）</w:t>
      </w:r>
      <w:bookmarkEnd w:id="21"/>
    </w:p>
    <w:p w14:paraId="5F21FF7A">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3" w:name="_Toc17081"/>
      <w:r>
        <w:rPr>
          <w:rFonts w:hint="eastAsia" w:ascii="宋体" w:hAnsi="宋体"/>
          <w:sz w:val="32"/>
          <w:lang w:val="en-US" w:eastAsia="zh-CN"/>
        </w:rPr>
        <w:t>十八、国有资产配置预算表（资产18）</w:t>
      </w:r>
      <w:bookmarkEnd w:id="23"/>
    </w:p>
    <w:p w14:paraId="549251AE">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4" w:name="_Toc26964"/>
      <w:r>
        <w:rPr>
          <w:rFonts w:hint="eastAsia" w:ascii="宋体" w:hAnsi="宋体"/>
          <w:sz w:val="32"/>
          <w:lang w:val="en-US" w:eastAsia="zh-CN"/>
        </w:rPr>
        <w:t>十九、项目支出绩效表（项目绩效19）</w:t>
      </w:r>
      <w:bookmarkEnd w:id="24"/>
    </w:p>
    <w:p w14:paraId="3C6F8F8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5" w:name="_Toc17326"/>
      <w:r>
        <w:rPr>
          <w:rFonts w:hint="eastAsia" w:ascii="宋体" w:hAnsi="宋体"/>
          <w:sz w:val="32"/>
          <w:lang w:val="en-US" w:eastAsia="zh-CN"/>
        </w:rPr>
        <w:t>二十、部门绩效表（部门绩效20）</w:t>
      </w:r>
      <w:bookmarkEnd w:id="25"/>
    </w:p>
    <w:p w14:paraId="1785EF08">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6" w:name="_Toc24529"/>
      <w:r>
        <w:rPr>
          <w:rFonts w:hint="eastAsia" w:ascii="宋体" w:hAnsi="宋体"/>
          <w:sz w:val="32"/>
          <w:lang w:val="en-US" w:eastAsia="zh-CN"/>
        </w:rPr>
        <w:t>二十一、年初政府采购项目预算表（政府采购项目预算表21）</w:t>
      </w:r>
      <w:bookmarkEnd w:id="26"/>
    </w:p>
    <w:p w14:paraId="108EDDB0">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7" w:name="_Toc2241"/>
      <w:r>
        <w:rPr>
          <w:rFonts w:hint="eastAsia" w:ascii="宋体" w:hAnsi="宋体"/>
          <w:sz w:val="32"/>
          <w:lang w:val="en-US" w:eastAsia="zh-CN"/>
        </w:rPr>
        <w:t>二十二、2026-2028年支出计划总表（三年计划总表22）</w:t>
      </w:r>
      <w:bookmarkEnd w:id="27"/>
    </w:p>
    <w:p w14:paraId="17D53C84">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8" w:name="_Toc22812"/>
      <w:r>
        <w:rPr>
          <w:rFonts w:hint="eastAsia" w:ascii="宋体" w:hAnsi="宋体"/>
          <w:sz w:val="32"/>
          <w:lang w:val="en-US" w:eastAsia="zh-CN"/>
        </w:rPr>
        <w:t>二十三、2026-2028年支出计划明细表（三年计划明细表23）</w:t>
      </w:r>
      <w:bookmarkEnd w:id="28"/>
    </w:p>
    <w:p w14:paraId="31E821A3">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9" w:name="_Toc31993"/>
      <w:r>
        <w:rPr>
          <w:rFonts w:hint="eastAsia" w:ascii="宋体" w:hAnsi="宋体"/>
          <w:sz w:val="32"/>
          <w:lang w:val="en-US" w:eastAsia="zh-CN"/>
        </w:rPr>
        <w:t>二十四、人员和车辆基本情况表（人员24）</w:t>
      </w:r>
      <w:bookmarkEnd w:id="29"/>
    </w:p>
    <w:p w14:paraId="7217C8C6">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30" w:name="_Toc12102"/>
      <w:r>
        <w:rPr>
          <w:rFonts w:hint="eastAsia" w:ascii="宋体" w:hAnsi="宋体"/>
          <w:b/>
          <w:bCs/>
          <w:sz w:val="32"/>
          <w:lang w:val="en-US" w:eastAsia="zh-CN"/>
        </w:rPr>
        <w:t>以上所有表格详见部门说明后附件。</w:t>
      </w:r>
      <w:bookmarkEnd w:id="22"/>
      <w:bookmarkEnd w:id="30"/>
    </w:p>
    <w:p w14:paraId="2F44E638">
      <w:pPr>
        <w:rPr>
          <w:rFonts w:ascii="宋体" w:hAnsi="宋体"/>
          <w:sz w:val="20"/>
        </w:rPr>
      </w:pPr>
      <w:r>
        <w:rPr>
          <w:rFonts w:ascii="宋体" w:hAnsi="宋体"/>
          <w:sz w:val="20"/>
        </w:rPr>
        <w:br w:type="page"/>
      </w:r>
    </w:p>
    <w:p w14:paraId="110E911F">
      <w:pPr>
        <w:pStyle w:val="4"/>
        <w:rPr>
          <w:rFonts w:ascii="宋体" w:hAnsi="宋体"/>
          <w:sz w:val="20"/>
        </w:rPr>
      </w:pPr>
    </w:p>
    <w:p w14:paraId="57FDEC39">
      <w:pPr>
        <w:pStyle w:val="4"/>
        <w:rPr>
          <w:rFonts w:ascii="宋体" w:hAnsi="宋体"/>
          <w:sz w:val="20"/>
        </w:rPr>
      </w:pPr>
    </w:p>
    <w:p w14:paraId="3F0028E2">
      <w:pPr>
        <w:pStyle w:val="4"/>
        <w:rPr>
          <w:rFonts w:ascii="宋体" w:hAnsi="宋体"/>
          <w:sz w:val="20"/>
        </w:rPr>
      </w:pPr>
    </w:p>
    <w:p w14:paraId="54454ACA">
      <w:pPr>
        <w:pStyle w:val="4"/>
        <w:rPr>
          <w:rFonts w:ascii="宋体" w:hAnsi="宋体"/>
          <w:sz w:val="20"/>
        </w:rPr>
      </w:pPr>
    </w:p>
    <w:p w14:paraId="7E00196D">
      <w:pPr>
        <w:pStyle w:val="4"/>
        <w:rPr>
          <w:rFonts w:ascii="宋体" w:hAnsi="宋体"/>
          <w:sz w:val="20"/>
        </w:rPr>
      </w:pPr>
    </w:p>
    <w:p w14:paraId="6CA51733">
      <w:pPr>
        <w:pStyle w:val="4"/>
        <w:rPr>
          <w:rFonts w:ascii="宋体" w:hAnsi="宋体"/>
          <w:sz w:val="20"/>
        </w:rPr>
      </w:pPr>
    </w:p>
    <w:p w14:paraId="0FC85F65">
      <w:pPr>
        <w:pStyle w:val="4"/>
        <w:rPr>
          <w:rFonts w:ascii="宋体" w:hAnsi="宋体"/>
          <w:sz w:val="20"/>
        </w:rPr>
      </w:pPr>
    </w:p>
    <w:p w14:paraId="1009D984">
      <w:pPr>
        <w:pStyle w:val="4"/>
        <w:rPr>
          <w:rFonts w:ascii="宋体" w:hAnsi="宋体"/>
          <w:sz w:val="20"/>
        </w:rPr>
      </w:pPr>
    </w:p>
    <w:p w14:paraId="1A122493">
      <w:pPr>
        <w:pStyle w:val="4"/>
        <w:rPr>
          <w:rFonts w:ascii="宋体" w:hAnsi="宋体"/>
          <w:sz w:val="20"/>
        </w:rPr>
      </w:pPr>
    </w:p>
    <w:p w14:paraId="503E1CB3">
      <w:pPr>
        <w:pStyle w:val="4"/>
        <w:rPr>
          <w:rFonts w:ascii="宋体" w:hAnsi="宋体"/>
          <w:sz w:val="20"/>
        </w:rPr>
      </w:pPr>
    </w:p>
    <w:p w14:paraId="3492DEAE">
      <w:pPr>
        <w:pStyle w:val="4"/>
        <w:rPr>
          <w:rFonts w:ascii="宋体" w:hAnsi="宋体"/>
          <w:sz w:val="20"/>
        </w:rPr>
      </w:pPr>
    </w:p>
    <w:p w14:paraId="72AB8BFB">
      <w:pPr>
        <w:pStyle w:val="4"/>
        <w:rPr>
          <w:rFonts w:ascii="宋体" w:hAnsi="宋体"/>
          <w:sz w:val="20"/>
        </w:rPr>
      </w:pPr>
    </w:p>
    <w:p w14:paraId="0F766C1D">
      <w:pPr>
        <w:pStyle w:val="4"/>
        <w:rPr>
          <w:rFonts w:ascii="宋体" w:hAnsi="宋体"/>
          <w:sz w:val="20"/>
        </w:rPr>
      </w:pPr>
    </w:p>
    <w:p w14:paraId="4364C31F">
      <w:pPr>
        <w:pStyle w:val="4"/>
        <w:rPr>
          <w:rFonts w:ascii="宋体" w:hAnsi="宋体"/>
          <w:sz w:val="20"/>
        </w:rPr>
      </w:pPr>
    </w:p>
    <w:p w14:paraId="2B8C10A4">
      <w:pPr>
        <w:pStyle w:val="4"/>
        <w:rPr>
          <w:rFonts w:ascii="宋体" w:hAnsi="宋体"/>
          <w:sz w:val="20"/>
        </w:rPr>
      </w:pPr>
    </w:p>
    <w:p w14:paraId="0BEF66B8">
      <w:pPr>
        <w:pStyle w:val="4"/>
        <w:rPr>
          <w:rFonts w:ascii="宋体" w:hAnsi="宋体"/>
          <w:sz w:val="20"/>
        </w:rPr>
      </w:pPr>
    </w:p>
    <w:p w14:paraId="17CBEB18">
      <w:pPr>
        <w:pStyle w:val="4"/>
        <w:rPr>
          <w:rFonts w:ascii="宋体" w:hAnsi="宋体"/>
          <w:sz w:val="20"/>
        </w:rPr>
      </w:pPr>
    </w:p>
    <w:p w14:paraId="1CA66DAC">
      <w:pPr>
        <w:pStyle w:val="4"/>
        <w:rPr>
          <w:rFonts w:ascii="宋体" w:hAnsi="宋体"/>
          <w:sz w:val="20"/>
        </w:rPr>
      </w:pPr>
    </w:p>
    <w:p w14:paraId="7F01D55F">
      <w:pPr>
        <w:pStyle w:val="4"/>
        <w:rPr>
          <w:rFonts w:ascii="宋体" w:hAnsi="宋体"/>
          <w:sz w:val="20"/>
        </w:rPr>
      </w:pPr>
    </w:p>
    <w:p w14:paraId="4821B3F3">
      <w:pPr>
        <w:pStyle w:val="4"/>
        <w:rPr>
          <w:rFonts w:ascii="宋体" w:hAnsi="宋体"/>
          <w:sz w:val="20"/>
        </w:rPr>
      </w:pPr>
    </w:p>
    <w:p w14:paraId="40CBCA66">
      <w:pPr>
        <w:pStyle w:val="4"/>
        <w:rPr>
          <w:rFonts w:ascii="宋体" w:hAnsi="宋体"/>
          <w:sz w:val="20"/>
        </w:rPr>
      </w:pPr>
    </w:p>
    <w:p w14:paraId="5801CD85">
      <w:pPr>
        <w:pStyle w:val="4"/>
        <w:rPr>
          <w:rFonts w:ascii="宋体" w:hAnsi="宋体"/>
          <w:sz w:val="20"/>
        </w:rPr>
      </w:pPr>
    </w:p>
    <w:p w14:paraId="76AEEF72">
      <w:pPr>
        <w:pStyle w:val="4"/>
        <w:numPr>
          <w:ilvl w:val="0"/>
          <w:numId w:val="2"/>
        </w:numPr>
        <w:spacing w:before="6"/>
        <w:ind w:left="0" w:leftChars="0" w:firstLine="0" w:firstLineChars="0"/>
        <w:jc w:val="center"/>
        <w:outlineLvl w:val="0"/>
        <w:rPr>
          <w:rFonts w:hint="default" w:ascii="宋体" w:hAnsi="宋体"/>
          <w:sz w:val="48"/>
          <w:szCs w:val="48"/>
          <w:lang w:val="en-US"/>
        </w:rPr>
        <w:sectPr>
          <w:headerReference r:id="rId8" w:type="default"/>
          <w:pgSz w:w="11910" w:h="16840"/>
          <w:pgMar w:top="1587" w:right="964" w:bottom="1701" w:left="1134" w:header="737" w:footer="737" w:gutter="0"/>
          <w:pgNumType w:fmt="decimal"/>
          <w:cols w:space="0" w:num="1"/>
          <w:rtlGutter w:val="0"/>
          <w:docGrid w:linePitch="0" w:charSpace="0"/>
        </w:sectPr>
      </w:pPr>
      <w:bookmarkStart w:id="31" w:name="_Toc26793"/>
      <w:bookmarkStart w:id="53" w:name="_GoBack"/>
      <w:r>
        <w:rPr>
          <w:rFonts w:hint="eastAsia" w:ascii="宋体" w:hAnsi="宋体" w:eastAsia="方正小标宋简体" w:cs="方正小标宋简体"/>
          <w:sz w:val="48"/>
          <w:szCs w:val="48"/>
          <w:lang w:val="en-US" w:eastAsia="zh-CN"/>
        </w:rPr>
        <w:t>乐山</w:t>
      </w:r>
      <w:bookmarkEnd w:id="53"/>
      <w:r>
        <w:rPr>
          <w:rFonts w:hint="eastAsia" w:ascii="宋体" w:hAnsi="宋体" w:eastAsia="方正小标宋简体" w:cs="方正小标宋简体"/>
          <w:sz w:val="48"/>
          <w:szCs w:val="48"/>
          <w:lang w:val="en-US" w:eastAsia="zh-CN"/>
        </w:rPr>
        <w:t>市五通桥区社会科学界联合会2026年</w:t>
      </w:r>
      <w:bookmarkStart w:id="32" w:name="_Toc1047"/>
      <w:r>
        <w:rPr>
          <w:rFonts w:hint="eastAsia" w:ascii="宋体" w:hAnsi="宋体" w:eastAsia="方正小标宋简体" w:cs="方正小标宋简体"/>
          <w:sz w:val="48"/>
          <w:szCs w:val="48"/>
          <w:lang w:val="en-US" w:eastAsia="zh-CN"/>
        </w:rPr>
        <w:t>单位预算情况说明</w:t>
      </w:r>
      <w:bookmarkEnd w:id="31"/>
      <w:bookmarkEnd w:id="32"/>
    </w:p>
    <w:p w14:paraId="22A83ACB">
      <w:pPr>
        <w:pStyle w:val="4"/>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14:paraId="1D8F0903">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3" w:name="_Toc3534"/>
      <w:r>
        <w:rPr>
          <w:rFonts w:hint="eastAsia" w:ascii="宋体" w:hAnsi="宋体" w:eastAsia="黑体"/>
          <w:color w:val="333333"/>
        </w:rPr>
        <w:t>一、收支预算情况说明</w:t>
      </w:r>
      <w:bookmarkEnd w:id="33"/>
    </w:p>
    <w:p w14:paraId="2DC9E20B">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乐山市五通桥区社会科学界联合会所有收入和支出均纳入部门预算管理。收入包括：一般公共预算拨款收入；支出包括：一般公共服务支出、社会保障和就业支出、卫生健康支出、住房保障支出。乐山市五通桥区社会科学界联合会2026年收支预算总数68.59万元,比2025年收支预算总数68.34万元增加0.25万元。主要原因：一般公共服务支出比上年增加0.53万元、社会保障和就业支出比上年增加0.09万元、卫生健康支出比上年增加0.09万元</w:t>
      </w:r>
      <w:r>
        <w:rPr>
          <w:rFonts w:hint="eastAsia" w:ascii="宋体" w:hAnsi="宋体"/>
          <w:b w:val="0"/>
          <w:bCs w:val="0"/>
          <w:sz w:val="32"/>
          <w:lang w:val="en-US" w:eastAsia="zh-CN"/>
        </w:rPr>
        <w:t>、住房保障支出</w:t>
      </w:r>
      <w:r>
        <w:rPr>
          <w:rFonts w:hint="eastAsia" w:ascii="宋体" w:hAnsi="宋体"/>
          <w:sz w:val="32"/>
          <w:lang w:val="en-US" w:eastAsia="zh-CN"/>
        </w:rPr>
        <w:t>比上年减少0.46万元所致。</w:t>
      </w:r>
    </w:p>
    <w:p w14:paraId="7E25FEFA">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4" w:name="_Toc9184"/>
      <w:r>
        <w:rPr>
          <w:rFonts w:ascii="宋体" w:hAnsi="宋体"/>
        </w:rPr>
        <w:t>（一）收入预算情况</w:t>
      </w:r>
      <w:bookmarkEnd w:id="34"/>
    </w:p>
    <w:p w14:paraId="3F448BB4">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乐山市五通桥区社会科学界联合会2026年收入预算68.59万元，其中：上年结转0万元，占0%；一般公共预算拨款收入68.59万元，占100%；政府基金预算拨款收入0万元，占0%；事业收入0万元，占0%；事业单位经营收入0万元，占0%；其他收入0万元，占0%。</w:t>
      </w:r>
    </w:p>
    <w:p w14:paraId="0984CD50">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5" w:name="_Toc9432"/>
      <w:r>
        <w:rPr>
          <w:rFonts w:ascii="宋体" w:hAnsi="宋体"/>
        </w:rPr>
        <w:t>（二）支出预算情况</w:t>
      </w:r>
      <w:bookmarkEnd w:id="35"/>
    </w:p>
    <w:p w14:paraId="4A3D5B1B">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乐山市五通桥区社会科学界联合会2026年支出预算68.59万元，其中：人员支出61.24万元，日常公用支出7.35万元，对个人和家庭的补助支出0万元，专项支出0万元。</w:t>
      </w:r>
    </w:p>
    <w:p w14:paraId="3E1B1590">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6" w:name="_Toc7515"/>
      <w:r>
        <w:rPr>
          <w:rFonts w:hint="eastAsia" w:ascii="宋体" w:hAnsi="宋体" w:eastAsia="黑体"/>
          <w:color w:val="333333"/>
        </w:rPr>
        <w:t>二、财政拨款收支预算情况说明</w:t>
      </w:r>
      <w:bookmarkEnd w:id="36"/>
    </w:p>
    <w:p w14:paraId="4EE35DCB">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社会科学界联合会2026年财政拨款收支预算总数68.59万元,比2025年财政拨款收支预算总数68.34万元增加0.25万元。主要原因：一般公共服务支出比上年增加0.53万元、社会保障和就业支出比上年增加0.09万元、卫生健康支出比上年增加0.09万元</w:t>
      </w:r>
      <w:r>
        <w:rPr>
          <w:rFonts w:hint="eastAsia" w:ascii="宋体" w:hAnsi="宋体"/>
          <w:b w:val="0"/>
          <w:bCs w:val="0"/>
          <w:sz w:val="32"/>
          <w:lang w:val="en-US" w:eastAsia="zh-CN"/>
        </w:rPr>
        <w:t>、住房保障支出</w:t>
      </w:r>
      <w:r>
        <w:rPr>
          <w:rFonts w:hint="eastAsia" w:ascii="宋体" w:hAnsi="宋体"/>
          <w:sz w:val="32"/>
          <w:lang w:val="en-US" w:eastAsia="zh-CN"/>
        </w:rPr>
        <w:t>比上年减少0.46万元所致。</w:t>
      </w:r>
    </w:p>
    <w:p w14:paraId="652BBD24">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其中：基本支出68.59万元，占100%；项目支出0万元，占0%。</w:t>
      </w:r>
    </w:p>
    <w:p w14:paraId="1335D98C">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基本支出，是用于保障乐山市五通桥区社会科学界联合会正常运转的日常支出，包括基本工资、津贴补贴等人员经费以及办公费、印刷费、水电费、办公设备购置等日常公用经费。</w:t>
      </w:r>
    </w:p>
    <w:p w14:paraId="23F6202D">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项目支出，是用于保障乐山市五通桥区社会科学界联合会事业单位等机构为完成特定的行政工作任务或事业发展目标，用于专项业务工作的经费支出。</w:t>
      </w:r>
    </w:p>
    <w:p w14:paraId="5CE7CEE0">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7" w:name="_Toc12994"/>
      <w:r>
        <w:rPr>
          <w:rFonts w:hint="eastAsia" w:ascii="宋体" w:hAnsi="宋体" w:eastAsia="黑体"/>
          <w:color w:val="333333"/>
        </w:rPr>
        <w:t>三、一般公共预算当年拨款情况说明</w:t>
      </w:r>
      <w:bookmarkEnd w:id="37"/>
    </w:p>
    <w:p w14:paraId="03FC1279">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8" w:name="_Toc25130"/>
      <w:r>
        <w:rPr>
          <w:rFonts w:ascii="宋体" w:hAnsi="宋体"/>
        </w:rPr>
        <w:t>（一）一般公共预算当年拨款规模变化情况</w:t>
      </w:r>
      <w:bookmarkEnd w:id="38"/>
    </w:p>
    <w:p w14:paraId="4DB43ED7">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社会科学界联合会2026年一般公共预算当年拨款68.59万元，比2024年财政拨款收支预算总数68.34万元增加0.25万元。主要原因：一般公共服务支出比上年增加0.53万元、社会保障和就业支出比上年增加0.09万元、卫生健康支出比上年增加0.09万元</w:t>
      </w:r>
      <w:r>
        <w:rPr>
          <w:rFonts w:hint="eastAsia" w:ascii="宋体" w:hAnsi="宋体"/>
          <w:b w:val="0"/>
          <w:bCs w:val="0"/>
          <w:sz w:val="32"/>
          <w:lang w:val="en-US" w:eastAsia="zh-CN"/>
        </w:rPr>
        <w:t>、住房保障支出</w:t>
      </w:r>
      <w:r>
        <w:rPr>
          <w:rFonts w:hint="eastAsia" w:ascii="宋体" w:hAnsi="宋体"/>
          <w:sz w:val="32"/>
          <w:lang w:val="en-US" w:eastAsia="zh-CN"/>
        </w:rPr>
        <w:t>比上年减少0.46万元所致。</w:t>
      </w:r>
    </w:p>
    <w:p w14:paraId="142643E9">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9" w:name="_Toc32709"/>
      <w:r>
        <w:rPr>
          <w:rFonts w:ascii="宋体" w:hAnsi="宋体"/>
        </w:rPr>
        <w:t>（二）一般公共预算当年拨款结构情况</w:t>
      </w:r>
      <w:bookmarkEnd w:id="39"/>
    </w:p>
    <w:p w14:paraId="6E392BBA">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社会科学界联合会2026年一般公共预算支出68.59万元，主要包括一般公共服务支出49.9万元，占72.75%；外交支出0万元，占0%；国防支出0万元，占0%；公共安全支出0万元，占0%；教育支出0万元，占0%；科学技术支出0万元，占0%；文化旅游体育与传媒支出0万元，占0%；社会保障和就业支出10.79万元，占15.73%；卫生健康支出2.47万元，占3.6%；节能环保支出0万元，占0%；城乡社区支出0万元，占0%；农林水支出0万元，占0%；交通运输支出0万元，占0%；资源勘探工业信息等支出0万元，占0%；商业服务业等支出0万元，占0%；金融支出0万元，占0%；援助其他地区支出0万元，占0%；自然资源海洋气象等支出0万元，占0%；住房保障支出5.43万元，占7.92%；粮油物资储备支出0万元，占0%；灾害防治及应急管理支出0万元，占0%；预备费0万元，占0%；其他支出0万元，占0%；转移性支出0万元，占0%；债务还本支出0万元，占0%；债务付息支出0万元，占0%；债务发行费支出0万元，占0%。</w:t>
      </w:r>
    </w:p>
    <w:p w14:paraId="0522D616">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yellow"/>
          <w:lang w:eastAsia="zh-CN"/>
        </w:rPr>
      </w:pPr>
      <w:bookmarkStart w:id="40" w:name="_Toc29546"/>
      <w:r>
        <w:rPr>
          <w:rFonts w:ascii="宋体" w:hAnsi="宋体"/>
        </w:rPr>
        <w:t>（三）一般公共预算当年拨款具体使用情况</w:t>
      </w:r>
      <w:bookmarkEnd w:id="40"/>
    </w:p>
    <w:p w14:paraId="3852D4D7">
      <w:pPr>
        <w:pStyle w:val="20"/>
        <w:spacing w:line="360" w:lineRule="auto"/>
        <w:ind w:firstLine="1280" w:firstLineChars="400"/>
        <w:rPr>
          <w:rFonts w:hint="eastAsia"/>
        </w:rPr>
      </w:pPr>
      <w:r>
        <w:rPr>
          <w:rFonts w:hint="eastAsia"/>
          <w:lang w:val="en-US" w:eastAsia="zh-CN"/>
        </w:rPr>
        <w:t>1.</w:t>
      </w:r>
      <w:r>
        <w:rPr>
          <w:rFonts w:hint="eastAsia"/>
        </w:rPr>
        <w:t xml:space="preserve"> 一般公共服务（类）宣传事务（款）事业运行（项）</w:t>
      </w:r>
    </w:p>
    <w:p w14:paraId="1F8CDBBA">
      <w:pPr>
        <w:pStyle w:val="20"/>
        <w:spacing w:line="360" w:lineRule="auto"/>
        <w:rPr>
          <w:rFonts w:hint="eastAsia"/>
        </w:rPr>
      </w:pPr>
      <w:r>
        <w:rPr>
          <w:rFonts w:hint="eastAsia"/>
          <w:lang w:eastAsia="zh-CN"/>
        </w:rPr>
        <w:t>2026</w:t>
      </w:r>
      <w:r>
        <w:rPr>
          <w:rFonts w:hint="eastAsia"/>
        </w:rPr>
        <w:t>年预算数为</w:t>
      </w:r>
      <w:r>
        <w:rPr>
          <w:rFonts w:hint="eastAsia"/>
          <w:lang w:val="en-US" w:eastAsia="zh-CN"/>
        </w:rPr>
        <w:t>49.90</w:t>
      </w:r>
      <w:r>
        <w:rPr>
          <w:rFonts w:hint="eastAsia"/>
        </w:rPr>
        <w:t>万元，主要用于：事业单位正常运转</w:t>
      </w:r>
    </w:p>
    <w:p w14:paraId="0DAD7B9A">
      <w:pPr>
        <w:pStyle w:val="20"/>
        <w:spacing w:line="360" w:lineRule="auto"/>
        <w:rPr>
          <w:rFonts w:hint="eastAsia"/>
        </w:rPr>
      </w:pPr>
      <w:r>
        <w:rPr>
          <w:rFonts w:hint="eastAsia"/>
        </w:rPr>
        <w:t>的基本支出，包括基本工资、津贴补贴等人员经费以及办公</w:t>
      </w:r>
    </w:p>
    <w:p w14:paraId="1027DAC7">
      <w:pPr>
        <w:pStyle w:val="20"/>
        <w:spacing w:line="360" w:lineRule="auto"/>
        <w:rPr>
          <w:rFonts w:hint="eastAsia"/>
        </w:rPr>
      </w:pPr>
      <w:r>
        <w:rPr>
          <w:rFonts w:hint="eastAsia"/>
        </w:rPr>
        <w:t>费、印刷费、水电费等日常公用经费。</w:t>
      </w:r>
    </w:p>
    <w:p w14:paraId="721C104C">
      <w:pPr>
        <w:pStyle w:val="20"/>
        <w:numPr>
          <w:ilvl w:val="0"/>
          <w:numId w:val="0"/>
        </w:numPr>
        <w:spacing w:line="360" w:lineRule="auto"/>
        <w:ind w:right="0" w:rightChars="0" w:firstLine="1280" w:firstLineChars="400"/>
        <w:rPr>
          <w:rFonts w:hint="eastAsia" w:hAnsi="Calibri" w:cs="宋体"/>
          <w:lang w:val="en-US" w:eastAsia="zh-CN"/>
        </w:rPr>
      </w:pPr>
      <w:r>
        <w:rPr>
          <w:rFonts w:hint="eastAsia" w:cs="宋体"/>
          <w:lang w:val="en-US" w:eastAsia="zh-CN"/>
        </w:rPr>
        <w:t>2</w:t>
      </w:r>
      <w:r>
        <w:rPr>
          <w:rFonts w:hint="eastAsia" w:hAnsi="Calibri" w:cs="宋体"/>
          <w:lang w:val="en-US" w:eastAsia="zh-CN"/>
        </w:rPr>
        <w:t>.社会保障和就业（类）行政事业单位离退休（款）</w:t>
      </w:r>
    </w:p>
    <w:p w14:paraId="186D1F7C">
      <w:pPr>
        <w:pStyle w:val="20"/>
        <w:numPr>
          <w:ilvl w:val="0"/>
          <w:numId w:val="0"/>
        </w:numPr>
        <w:spacing w:line="360" w:lineRule="auto"/>
        <w:ind w:left="638" w:leftChars="290" w:right="0" w:rightChars="0" w:firstLine="0" w:firstLineChars="0"/>
        <w:rPr>
          <w:rFonts w:hint="eastAsia" w:hAnsi="Calibri" w:cs="宋体"/>
          <w:lang w:val="en-US" w:eastAsia="zh-CN"/>
        </w:rPr>
      </w:pPr>
      <w:r>
        <w:rPr>
          <w:rFonts w:hint="eastAsia" w:hAnsi="Calibri" w:cs="宋体"/>
          <w:lang w:val="en-US" w:eastAsia="zh-CN"/>
        </w:rPr>
        <w:t>机关事业单位基本养老保险缴费支出（项）:</w:t>
      </w:r>
      <w:r>
        <w:rPr>
          <w:rFonts w:hint="eastAsia" w:cs="宋体"/>
          <w:lang w:val="en-US" w:eastAsia="zh-CN"/>
        </w:rPr>
        <w:t>2026</w:t>
      </w:r>
      <w:r>
        <w:rPr>
          <w:rFonts w:hint="eastAsia" w:hAnsi="Calibri" w:cs="宋体"/>
          <w:lang w:val="en-US" w:eastAsia="zh-CN"/>
        </w:rPr>
        <w:t>年预算数</w:t>
      </w:r>
    </w:p>
    <w:p w14:paraId="2D293CDE">
      <w:pPr>
        <w:pStyle w:val="20"/>
        <w:numPr>
          <w:ilvl w:val="0"/>
          <w:numId w:val="0"/>
        </w:numPr>
        <w:spacing w:line="360" w:lineRule="auto"/>
        <w:ind w:left="638" w:leftChars="290" w:right="0" w:rightChars="0" w:firstLine="0" w:firstLineChars="0"/>
        <w:rPr>
          <w:rFonts w:hint="eastAsia" w:ascii="宋体" w:hAnsi="宋体"/>
          <w:sz w:val="32"/>
          <w:lang w:val="en-US" w:eastAsia="zh-CN"/>
        </w:rPr>
      </w:pPr>
      <w:r>
        <w:rPr>
          <w:rFonts w:hint="eastAsia" w:hAnsi="Calibri" w:cs="宋体"/>
          <w:lang w:val="en-US" w:eastAsia="zh-CN"/>
        </w:rPr>
        <w:t>为</w:t>
      </w:r>
      <w:r>
        <w:rPr>
          <w:rFonts w:hint="eastAsia" w:ascii="宋体" w:hAnsi="宋体"/>
          <w:sz w:val="32"/>
          <w:lang w:val="en-US" w:eastAsia="zh-CN"/>
        </w:rPr>
        <w:t>6.81万元，主要用于：实施养老保险制度后，部门按规</w:t>
      </w:r>
    </w:p>
    <w:p w14:paraId="20F37360">
      <w:pPr>
        <w:pStyle w:val="20"/>
        <w:numPr>
          <w:ilvl w:val="0"/>
          <w:numId w:val="0"/>
        </w:numPr>
        <w:spacing w:line="360" w:lineRule="auto"/>
        <w:ind w:left="638" w:leftChars="290" w:right="0" w:rightChars="0" w:firstLine="0" w:firstLineChars="0"/>
        <w:rPr>
          <w:rFonts w:hint="eastAsia" w:ascii="宋体" w:hAnsi="宋体"/>
          <w:sz w:val="32"/>
          <w:lang w:val="en-US" w:eastAsia="zh-CN"/>
        </w:rPr>
      </w:pPr>
      <w:r>
        <w:rPr>
          <w:rFonts w:hint="eastAsia" w:ascii="宋体" w:hAnsi="宋体"/>
          <w:sz w:val="32"/>
          <w:lang w:val="en-US" w:eastAsia="zh-CN"/>
        </w:rPr>
        <w:t>定由单位缴纳的基本养老保险费支出。</w:t>
      </w:r>
    </w:p>
    <w:p w14:paraId="5B4A7DB1">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38" w:leftChars="29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3.社会保障和就业（类）行政事业单位离退休（款）机关事业单位职业年金缴费支出（项）:2026年预算数为3.40万元，主要用于：实施养老保险制度后，部门按规定由单位缴纳的职业年金支出。</w:t>
      </w:r>
    </w:p>
    <w:p w14:paraId="42F207B4">
      <w:pPr>
        <w:pStyle w:val="20"/>
        <w:numPr>
          <w:ilvl w:val="0"/>
          <w:numId w:val="0"/>
        </w:numPr>
        <w:spacing w:line="360" w:lineRule="auto"/>
        <w:ind w:leftChars="500" w:right="0" w:rightChars="0" w:firstLine="320" w:firstLineChars="100"/>
        <w:rPr>
          <w:rFonts w:hint="eastAsia"/>
          <w:lang w:eastAsia="zh-CN"/>
        </w:rPr>
      </w:pPr>
      <w:r>
        <w:rPr>
          <w:rFonts w:hint="eastAsia"/>
          <w:lang w:val="en-US" w:eastAsia="zh-CN"/>
        </w:rPr>
        <w:t>4.</w:t>
      </w:r>
      <w:r>
        <w:rPr>
          <w:rFonts w:hint="eastAsia"/>
        </w:rPr>
        <w:t>社会保障和就业（类）其他社会保障和就业支出（款）</w:t>
      </w:r>
      <w:r>
        <w:rPr>
          <w:rFonts w:hint="eastAsia"/>
          <w:lang w:eastAsia="zh-CN"/>
        </w:rPr>
        <w:t>：</w:t>
      </w:r>
    </w:p>
    <w:p w14:paraId="644785A6">
      <w:pPr>
        <w:pStyle w:val="20"/>
        <w:numPr>
          <w:ilvl w:val="0"/>
          <w:numId w:val="0"/>
        </w:numPr>
        <w:spacing w:line="360" w:lineRule="auto"/>
        <w:ind w:left="638" w:leftChars="290" w:right="0" w:rightChars="0" w:firstLine="0" w:firstLineChars="0"/>
        <w:rPr>
          <w:rFonts w:hint="eastAsia"/>
        </w:rPr>
      </w:pPr>
      <w:r>
        <w:rPr>
          <w:rFonts w:hint="eastAsia"/>
        </w:rPr>
        <w:t>其他社会保障和就业支出（项）:</w:t>
      </w:r>
      <w:r>
        <w:rPr>
          <w:rFonts w:hint="eastAsia"/>
          <w:lang w:eastAsia="zh-CN"/>
        </w:rPr>
        <w:t>2026</w:t>
      </w:r>
      <w:r>
        <w:rPr>
          <w:rFonts w:hint="eastAsia"/>
        </w:rPr>
        <w:t>年预算数为</w:t>
      </w:r>
      <w:r>
        <w:rPr>
          <w:rFonts w:hint="eastAsia"/>
          <w:lang w:val="en-US" w:eastAsia="zh-CN"/>
        </w:rPr>
        <w:t>0.58</w:t>
      </w:r>
      <w:r>
        <w:rPr>
          <w:rFonts w:hint="eastAsia"/>
        </w:rPr>
        <w:t>万元，主</w:t>
      </w:r>
    </w:p>
    <w:p w14:paraId="6D4793D7">
      <w:pPr>
        <w:pStyle w:val="20"/>
        <w:numPr>
          <w:ilvl w:val="0"/>
          <w:numId w:val="0"/>
        </w:numPr>
        <w:spacing w:line="360" w:lineRule="auto"/>
        <w:ind w:left="638" w:leftChars="290" w:right="0" w:rightChars="0" w:firstLine="0" w:firstLineChars="0"/>
        <w:rPr>
          <w:rFonts w:hint="eastAsia"/>
          <w:lang w:val="en-US" w:eastAsia="zh-CN"/>
        </w:rPr>
      </w:pPr>
      <w:r>
        <w:rPr>
          <w:rFonts w:hint="eastAsia"/>
        </w:rPr>
        <w:t>要用于：其他社会保障和就业</w:t>
      </w:r>
      <w:r>
        <w:rPr>
          <w:rFonts w:hint="eastAsia"/>
          <w:lang w:eastAsia="zh-CN"/>
        </w:rPr>
        <w:t>方面的</w:t>
      </w:r>
      <w:r>
        <w:rPr>
          <w:rFonts w:hint="eastAsia"/>
        </w:rPr>
        <w:t>支出。</w:t>
      </w:r>
    </w:p>
    <w:p w14:paraId="65E75EDD">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5.卫生健康（类）行政事业单位医疗（款）事业单位医疗（项）:2026年预算数为2.07万元，主要用于：部门下属事业单位基本医疗保险缴费支出。</w:t>
      </w:r>
    </w:p>
    <w:p w14:paraId="2BA23688">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6.卫生健康（类）行政事业单位医疗（款）公务员医疗补助（项）:2026年预算数为0.40万元，主要用于：机关及参公管理事业单位公务员医疗补助保险缴费支出。</w:t>
      </w:r>
    </w:p>
    <w:p w14:paraId="426D5B81">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360" w:lineRule="auto"/>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7.住房保障（类）住房改革支出（款）住房公积金（项）:2026年预算数为5.43万元，主要用于：部门按人力资源和社会保障部、财政部规定的基本工资和津贴补贴以及规定比例为职工缴纳的住房公积金支出。</w:t>
      </w:r>
    </w:p>
    <w:p w14:paraId="6DA3815E">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1" w:name="_Toc841"/>
      <w:r>
        <w:rPr>
          <w:rFonts w:hint="eastAsia" w:ascii="宋体" w:hAnsi="宋体" w:eastAsia="黑体"/>
          <w:color w:val="333333"/>
        </w:rPr>
        <w:t>四、一般公共预算基本支出情况说明</w:t>
      </w:r>
      <w:bookmarkEnd w:id="41"/>
    </w:p>
    <w:p w14:paraId="7B9CCBAB">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乐山市五通桥区社会科学界联合会2026年一般公共预算基本支出68.59万元，其中：</w:t>
      </w:r>
    </w:p>
    <w:p w14:paraId="7F361AD0">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61.24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14:paraId="5942545F">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7.35万元，主要包括：主要包括：办公费、印刷费、水费、电费、邮电费、差旅费、维修（护）费、会议费、培训费、公务接待费、劳务费、工会经费、福利费、公务用车运行维护费、其他交通费、其他商品和服务支出。</w:t>
      </w:r>
    </w:p>
    <w:p w14:paraId="73937D4F">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2" w:name="_Toc25269"/>
      <w:r>
        <w:rPr>
          <w:rFonts w:hint="eastAsia" w:ascii="宋体" w:hAnsi="宋体" w:eastAsia="黑体"/>
          <w:color w:val="333333"/>
        </w:rPr>
        <w:t>五、“三公”经费财政拨款预算安排情况说明</w:t>
      </w:r>
      <w:bookmarkEnd w:id="42"/>
    </w:p>
    <w:p w14:paraId="4A6CEF7C">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乐山市五通桥区社会科学界联合会2026年“三公”经费财政拨款预算数0万元，其中：公务接待费0万元，公务用车购置0万元，公车运行维护费0万元。</w:t>
      </w:r>
    </w:p>
    <w:p w14:paraId="594393DB">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2026年未安排公务接待费计划。</w:t>
      </w:r>
    </w:p>
    <w:p w14:paraId="3454F70C">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3" w:name="_Toc26887"/>
      <w:r>
        <w:rPr>
          <w:rFonts w:ascii="宋体" w:hAnsi="宋体"/>
        </w:rPr>
        <w:t>（一）</w:t>
      </w:r>
      <w:r>
        <w:rPr>
          <w:rFonts w:hint="eastAsia" w:ascii="宋体" w:hAnsi="宋体"/>
          <w:lang w:val="en-US" w:eastAsia="zh-CN"/>
        </w:rPr>
        <w:t>公务接待费变化情况</w:t>
      </w:r>
      <w:bookmarkEnd w:id="43"/>
    </w:p>
    <w:p w14:paraId="0061456F">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公务接待费较</w:t>
      </w:r>
      <w:r>
        <w:rPr>
          <w:rFonts w:hint="eastAsia" w:ascii="宋体" w:hAnsi="宋体"/>
          <w:sz w:val="32"/>
          <w:lang w:val="en-US" w:eastAsia="zh-CN"/>
        </w:rPr>
        <w:t>2025</w:t>
      </w:r>
      <w:r>
        <w:rPr>
          <w:rFonts w:hint="default" w:ascii="宋体" w:hAnsi="宋体"/>
          <w:sz w:val="32"/>
          <w:lang w:val="en-US" w:eastAsia="zh-CN"/>
        </w:rPr>
        <w:t>年预算</w:t>
      </w:r>
      <w:r>
        <w:rPr>
          <w:rFonts w:hint="eastAsia" w:ascii="宋体" w:hAnsi="宋体"/>
          <w:sz w:val="32"/>
          <w:lang w:val="en-US" w:eastAsia="zh-CN"/>
        </w:rPr>
        <w:t>0</w:t>
      </w:r>
      <w:r>
        <w:rPr>
          <w:rFonts w:hint="default" w:ascii="宋体" w:hAnsi="宋体"/>
          <w:sz w:val="32"/>
          <w:lang w:val="en-US" w:eastAsia="zh-CN"/>
        </w:rPr>
        <w:t>万元</w:t>
      </w:r>
      <w:r>
        <w:rPr>
          <w:rFonts w:hint="eastAsia" w:ascii="宋体" w:hAnsi="宋体"/>
          <w:sz w:val="32"/>
          <w:lang w:val="en-US" w:eastAsia="zh-CN"/>
        </w:rPr>
        <w:t>持平</w:t>
      </w:r>
      <w:r>
        <w:rPr>
          <w:rFonts w:hint="default" w:ascii="宋体" w:hAnsi="宋体"/>
          <w:sz w:val="32"/>
          <w:lang w:val="en-US" w:eastAsia="zh-CN"/>
        </w:rPr>
        <w:t>。主要原因是厉行节约，压缩接待规模和接待费用。</w:t>
      </w:r>
    </w:p>
    <w:p w14:paraId="087F0CFB">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4" w:name="_Toc13118"/>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44"/>
    </w:p>
    <w:p w14:paraId="6BE18BE8">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2025</w:t>
      </w:r>
      <w:r>
        <w:rPr>
          <w:rFonts w:hint="default" w:ascii="宋体" w:hAnsi="宋体"/>
          <w:sz w:val="32"/>
          <w:lang w:val="en-US" w:eastAsia="zh-CN"/>
        </w:rPr>
        <w:t>预算</w:t>
      </w:r>
      <w:r>
        <w:rPr>
          <w:rFonts w:hint="eastAsia" w:ascii="宋体" w:hAnsi="宋体"/>
          <w:sz w:val="32"/>
          <w:lang w:val="en-US" w:eastAsia="zh-CN"/>
        </w:rPr>
        <w:t>0</w:t>
      </w:r>
      <w:r>
        <w:rPr>
          <w:rFonts w:hint="default" w:ascii="宋体" w:hAnsi="宋体"/>
          <w:sz w:val="32"/>
          <w:lang w:val="en-US" w:eastAsia="zh-CN"/>
        </w:rPr>
        <w:t>万元预算持平。主要原因是厉行节约，规范公务出行，尽量乘坐公共交通工具。</w:t>
      </w:r>
    </w:p>
    <w:p w14:paraId="07B32B23">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单位实有公务用车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辆，多功能乘用车</w:t>
      </w:r>
      <w:r>
        <w:rPr>
          <w:rFonts w:hint="eastAsia" w:ascii="宋体" w:hAnsi="宋体"/>
          <w:sz w:val="32"/>
          <w:lang w:val="en-US" w:eastAsia="zh-CN"/>
        </w:rPr>
        <w:t>0</w:t>
      </w:r>
      <w:r>
        <w:rPr>
          <w:rFonts w:hint="default" w:ascii="宋体" w:hAnsi="宋体"/>
          <w:sz w:val="32"/>
          <w:lang w:val="en-US" w:eastAsia="zh-CN"/>
        </w:rPr>
        <w:t>辆。</w:t>
      </w:r>
    </w:p>
    <w:p w14:paraId="18A2E661">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万元，拟购置公务用车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辆，旅行车（含商务车）</w:t>
      </w:r>
      <w:r>
        <w:rPr>
          <w:rFonts w:hint="eastAsia" w:ascii="宋体" w:hAnsi="宋体"/>
          <w:sz w:val="32"/>
          <w:lang w:val="en-US" w:eastAsia="zh-CN"/>
        </w:rPr>
        <w:t>0</w:t>
      </w:r>
      <w:r>
        <w:rPr>
          <w:rFonts w:hint="default" w:ascii="宋体" w:hAnsi="宋体"/>
          <w:sz w:val="32"/>
          <w:lang w:val="en-US" w:eastAsia="zh-CN"/>
        </w:rPr>
        <w:t>辆，越野车</w:t>
      </w:r>
      <w:r>
        <w:rPr>
          <w:rFonts w:hint="eastAsia" w:ascii="宋体" w:hAnsi="宋体"/>
          <w:sz w:val="32"/>
          <w:lang w:val="en-US" w:eastAsia="zh-CN"/>
        </w:rPr>
        <w:t>0</w:t>
      </w:r>
      <w:r>
        <w:rPr>
          <w:rFonts w:hint="default" w:ascii="宋体" w:hAnsi="宋体"/>
          <w:sz w:val="32"/>
          <w:lang w:val="en-US" w:eastAsia="zh-CN"/>
        </w:rPr>
        <w:t>辆，大型客、货车</w:t>
      </w:r>
      <w:r>
        <w:rPr>
          <w:rFonts w:hint="eastAsia" w:ascii="宋体" w:hAnsi="宋体"/>
          <w:sz w:val="32"/>
          <w:lang w:val="en-US" w:eastAsia="zh-CN"/>
        </w:rPr>
        <w:t>0</w:t>
      </w:r>
      <w:r>
        <w:rPr>
          <w:rFonts w:hint="default" w:ascii="宋体" w:hAnsi="宋体"/>
          <w:sz w:val="32"/>
          <w:lang w:val="en-US" w:eastAsia="zh-CN"/>
        </w:rPr>
        <w:t>辆。</w:t>
      </w:r>
    </w:p>
    <w:p w14:paraId="3B7B711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w:t>
      </w:r>
      <w:r>
        <w:rPr>
          <w:rFonts w:hint="eastAsia" w:ascii="宋体" w:hAnsi="宋体"/>
          <w:sz w:val="32"/>
          <w:lang w:val="en-US" w:eastAsia="zh-CN"/>
        </w:rPr>
        <w:t>未</w:t>
      </w:r>
      <w:r>
        <w:rPr>
          <w:rFonts w:hint="default" w:ascii="宋体" w:hAnsi="宋体"/>
          <w:sz w:val="32"/>
          <w:lang w:val="en-US" w:eastAsia="zh-CN"/>
        </w:rPr>
        <w:t>安排公务用车运行维护费。</w:t>
      </w:r>
    </w:p>
    <w:p w14:paraId="641CA5A5">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5" w:name="_Toc7232"/>
      <w:r>
        <w:rPr>
          <w:rFonts w:hint="eastAsia" w:ascii="宋体" w:hAnsi="宋体" w:eastAsia="黑体"/>
          <w:color w:val="333333"/>
        </w:rPr>
        <w:t>六、政府性基金预算支出情况说明</w:t>
      </w:r>
      <w:bookmarkEnd w:id="45"/>
    </w:p>
    <w:p w14:paraId="0DC54572">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乐山市五通桥区社会科学界联合会2026</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0万元，较上年预算数0持平。</w:t>
      </w:r>
    </w:p>
    <w:p w14:paraId="044B1EC4">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6" w:name="_Toc11448"/>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6"/>
    </w:p>
    <w:p w14:paraId="4601BCD3">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乐山市五通桥区社会科学界联合会2026年国有资本经营预算拨款安排支出0万元,较上年预算数持平。</w:t>
      </w:r>
    </w:p>
    <w:p w14:paraId="261EA0E0">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47" w:name="_Toc29060"/>
      <w:r>
        <w:rPr>
          <w:rFonts w:hint="eastAsia" w:ascii="宋体" w:hAnsi="宋体" w:eastAsia="黑体"/>
          <w:color w:val="333333"/>
          <w:lang w:val="en-US" w:eastAsia="zh-CN"/>
        </w:rPr>
        <w:t>八、其他重要事项的情况说明</w:t>
      </w:r>
      <w:bookmarkEnd w:id="47"/>
    </w:p>
    <w:p w14:paraId="46652524">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48" w:name="_Toc30322"/>
      <w:r>
        <w:rPr>
          <w:rFonts w:ascii="宋体" w:hAnsi="宋体"/>
        </w:rPr>
        <w:t>（一）机关运行经费情况</w:t>
      </w:r>
      <w:bookmarkEnd w:id="48"/>
    </w:p>
    <w:p w14:paraId="0D6B4279">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2026年，乐山市五通桥区社会科学界联合会事业单位的机关运行经费财政拨款预算为7.35万元，比2025年预算7.2万元增加0.15万元，增长2.08%。主要原因是其他商品和服务支出等比上年增加所致。</w:t>
      </w:r>
    </w:p>
    <w:p w14:paraId="6E138FC5">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9" w:name="_Toc3045"/>
      <w:r>
        <w:rPr>
          <w:rFonts w:ascii="宋体" w:hAnsi="宋体"/>
        </w:rPr>
        <w:t>（二）政府采购情况</w:t>
      </w:r>
      <w:bookmarkEnd w:id="49"/>
    </w:p>
    <w:p w14:paraId="4F8752DB">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2026年，乐山市五通桥区社会科学界联合会政府采购项目0万元。其中，政府采购货物预算0万元；政府采购工程预算0万元；政府采购服务预算0万元。</w:t>
      </w:r>
    </w:p>
    <w:p w14:paraId="189A1205">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0" w:name="_Toc17484"/>
      <w:r>
        <w:rPr>
          <w:rFonts w:ascii="宋体" w:hAnsi="宋体"/>
        </w:rPr>
        <w:t>（三）国有资产占有使用情况</w:t>
      </w:r>
      <w:bookmarkEnd w:id="50"/>
    </w:p>
    <w:p w14:paraId="0414B034">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截至2026年底，乐山市五通桥区社会科学界联合会所属各预算单位共有车辆0辆。单位价值100万元以上大型设备0套。</w:t>
      </w:r>
    </w:p>
    <w:p w14:paraId="183385B1">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2026年部门预算未安排购置车辆及单位价值100万元以上大型设备。</w:t>
      </w:r>
    </w:p>
    <w:p w14:paraId="4CA40F7A">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1" w:name="_Toc16518"/>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51"/>
    </w:p>
    <w:p w14:paraId="5E6DBC18">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pPr>
      <w:r>
        <w:rPr>
          <w:rFonts w:hint="eastAsia" w:ascii="宋体" w:hAnsi="宋体"/>
          <w:sz w:val="32"/>
          <w:lang w:val="en-US" w:eastAsia="zh-CN"/>
        </w:rPr>
        <w:t>2026年乐山市五通桥区社会科学界联合会开展绩效目标管理的项目12个，涉及预算68.59万元。其中：人员类项目9个，涉及预算61.24万元；运转类项目3个，涉及预算7.35万元；特定目标类项目 0个，涉及预算0万元。</w:t>
      </w:r>
    </w:p>
    <w:p w14:paraId="40B58223">
      <w:pPr>
        <w:pStyle w:val="4"/>
        <w:spacing w:before="0"/>
        <w:ind w:right="0"/>
        <w:jc w:val="both"/>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14:paraId="777CDACD">
      <w:pPr>
        <w:rPr>
          <w:rFonts w:ascii="宋体" w:hAnsi="宋体"/>
        </w:rPr>
      </w:pPr>
    </w:p>
    <w:p w14:paraId="502039E5">
      <w:pPr>
        <w:pStyle w:val="4"/>
        <w:rPr>
          <w:rFonts w:ascii="宋体" w:hAnsi="宋体"/>
          <w:sz w:val="20"/>
        </w:rPr>
      </w:pPr>
    </w:p>
    <w:p w14:paraId="099FA460">
      <w:pPr>
        <w:pStyle w:val="4"/>
        <w:rPr>
          <w:rFonts w:ascii="宋体" w:hAnsi="宋体"/>
          <w:sz w:val="20"/>
        </w:rPr>
      </w:pPr>
    </w:p>
    <w:p w14:paraId="5869EDD1">
      <w:pPr>
        <w:pStyle w:val="4"/>
        <w:rPr>
          <w:rFonts w:ascii="宋体" w:hAnsi="宋体"/>
          <w:sz w:val="20"/>
        </w:rPr>
      </w:pPr>
    </w:p>
    <w:p w14:paraId="4C476B17">
      <w:pPr>
        <w:pStyle w:val="4"/>
        <w:rPr>
          <w:rFonts w:ascii="宋体" w:hAnsi="宋体"/>
          <w:sz w:val="20"/>
        </w:rPr>
      </w:pPr>
    </w:p>
    <w:p w14:paraId="426C2B81">
      <w:pPr>
        <w:pStyle w:val="4"/>
        <w:rPr>
          <w:rFonts w:ascii="宋体" w:hAnsi="宋体"/>
          <w:sz w:val="20"/>
        </w:rPr>
      </w:pPr>
    </w:p>
    <w:p w14:paraId="55742E68">
      <w:pPr>
        <w:pStyle w:val="4"/>
        <w:rPr>
          <w:rFonts w:ascii="宋体" w:hAnsi="宋体"/>
          <w:sz w:val="20"/>
        </w:rPr>
      </w:pPr>
    </w:p>
    <w:p w14:paraId="04FA9E1C">
      <w:pPr>
        <w:pStyle w:val="4"/>
        <w:rPr>
          <w:rFonts w:ascii="宋体" w:hAnsi="宋体"/>
          <w:sz w:val="20"/>
        </w:rPr>
      </w:pPr>
    </w:p>
    <w:p w14:paraId="41E4C0DD">
      <w:pPr>
        <w:pStyle w:val="4"/>
        <w:rPr>
          <w:rFonts w:ascii="宋体" w:hAnsi="宋体"/>
          <w:sz w:val="20"/>
        </w:rPr>
      </w:pPr>
    </w:p>
    <w:p w14:paraId="11DE9B34">
      <w:pPr>
        <w:pStyle w:val="4"/>
        <w:rPr>
          <w:rFonts w:ascii="宋体" w:hAnsi="宋体"/>
          <w:sz w:val="20"/>
        </w:rPr>
      </w:pPr>
    </w:p>
    <w:p w14:paraId="13FB210C">
      <w:pPr>
        <w:pStyle w:val="4"/>
        <w:rPr>
          <w:rFonts w:ascii="宋体" w:hAnsi="宋体"/>
          <w:sz w:val="20"/>
        </w:rPr>
      </w:pPr>
    </w:p>
    <w:p w14:paraId="13BA57C3">
      <w:pPr>
        <w:pStyle w:val="4"/>
        <w:rPr>
          <w:rFonts w:ascii="宋体" w:hAnsi="宋体"/>
          <w:sz w:val="20"/>
        </w:rPr>
      </w:pPr>
    </w:p>
    <w:p w14:paraId="578A769E">
      <w:pPr>
        <w:pStyle w:val="4"/>
        <w:rPr>
          <w:rFonts w:ascii="宋体" w:hAnsi="宋体"/>
          <w:sz w:val="20"/>
        </w:rPr>
      </w:pPr>
    </w:p>
    <w:p w14:paraId="2389CF9F">
      <w:pPr>
        <w:pStyle w:val="4"/>
        <w:rPr>
          <w:rFonts w:ascii="宋体" w:hAnsi="宋体"/>
          <w:sz w:val="20"/>
        </w:rPr>
      </w:pPr>
    </w:p>
    <w:p w14:paraId="367FC3DD">
      <w:pPr>
        <w:pStyle w:val="4"/>
        <w:rPr>
          <w:rFonts w:ascii="宋体" w:hAnsi="宋体"/>
          <w:sz w:val="20"/>
        </w:rPr>
      </w:pPr>
    </w:p>
    <w:p w14:paraId="2C772BD6">
      <w:pPr>
        <w:pStyle w:val="4"/>
        <w:rPr>
          <w:rFonts w:ascii="宋体" w:hAnsi="宋体"/>
          <w:sz w:val="20"/>
        </w:rPr>
      </w:pPr>
    </w:p>
    <w:p w14:paraId="46931781">
      <w:pPr>
        <w:pStyle w:val="4"/>
        <w:rPr>
          <w:rFonts w:ascii="宋体" w:hAnsi="宋体"/>
          <w:sz w:val="20"/>
        </w:rPr>
      </w:pPr>
    </w:p>
    <w:p w14:paraId="370040F8">
      <w:pPr>
        <w:pStyle w:val="4"/>
        <w:rPr>
          <w:rFonts w:ascii="宋体" w:hAnsi="宋体"/>
          <w:sz w:val="20"/>
        </w:rPr>
      </w:pPr>
    </w:p>
    <w:p w14:paraId="01427953">
      <w:pPr>
        <w:pStyle w:val="4"/>
        <w:rPr>
          <w:rFonts w:ascii="宋体" w:hAnsi="宋体"/>
          <w:sz w:val="20"/>
        </w:rPr>
      </w:pPr>
    </w:p>
    <w:p w14:paraId="77D054DE">
      <w:pPr>
        <w:pStyle w:val="4"/>
        <w:rPr>
          <w:rFonts w:ascii="宋体" w:hAnsi="宋体"/>
          <w:sz w:val="20"/>
        </w:rPr>
      </w:pPr>
    </w:p>
    <w:p w14:paraId="67F36DD1">
      <w:pPr>
        <w:pStyle w:val="4"/>
        <w:rPr>
          <w:rFonts w:ascii="宋体" w:hAnsi="宋体"/>
          <w:sz w:val="20"/>
        </w:rPr>
      </w:pPr>
    </w:p>
    <w:p w14:paraId="453A52A8">
      <w:pPr>
        <w:pStyle w:val="4"/>
        <w:rPr>
          <w:rFonts w:ascii="宋体" w:hAnsi="宋体"/>
          <w:sz w:val="20"/>
        </w:rPr>
      </w:pPr>
    </w:p>
    <w:p w14:paraId="6100E653">
      <w:pPr>
        <w:pStyle w:val="4"/>
        <w:jc w:val="center"/>
        <w:outlineLvl w:val="0"/>
        <w:rPr>
          <w:rFonts w:hint="eastAsia" w:ascii="宋体" w:hAnsi="宋体" w:eastAsia="方正小标宋简体" w:cs="方正小标宋简体"/>
          <w:sz w:val="52"/>
          <w:szCs w:val="52"/>
          <w:lang w:val="en-US" w:eastAsia="zh-CN"/>
        </w:rPr>
      </w:pPr>
      <w:bookmarkStart w:id="52" w:name="_Toc27770"/>
      <w:r>
        <w:rPr>
          <w:rFonts w:hint="eastAsia" w:ascii="宋体" w:hAnsi="宋体" w:eastAsia="方正小标宋简体" w:cs="方正小标宋简体"/>
          <w:sz w:val="52"/>
          <w:szCs w:val="52"/>
          <w:lang w:val="en-US" w:eastAsia="zh-CN"/>
        </w:rPr>
        <w:t>第四部分  名词解释</w:t>
      </w:r>
      <w:bookmarkEnd w:id="52"/>
    </w:p>
    <w:p w14:paraId="53D0E408">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14:paraId="2F83BB10">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14:paraId="21C51CB9">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14:paraId="0F1C4FBA">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14:paraId="7CA57E09">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14:paraId="495B977B">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14:paraId="3943AB8C">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14:paraId="2831C0FF">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14:paraId="1AC05027">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8.社会保障和就业（类）行政事业单位离退休（款）事业单位离退休（项）：指离退休人员的支出。</w:t>
      </w:r>
    </w:p>
    <w:p w14:paraId="0C9C6A67">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9.社会保障和就业（类）行政事业单位离退休（款）未归口管理的行政单位离退休（项）：指离退休人员的支出。</w:t>
      </w:r>
    </w:p>
    <w:p w14:paraId="3A47D7AF">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10.社会保障和就业（类）行政事业单位离退休（款）机关事业单位基本养老保险缴费支出（项）：指部门实施养老保险制度由单位缴纳的养老保险费的支出。</w:t>
      </w:r>
    </w:p>
    <w:p w14:paraId="489429D0">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11.社会保障和就业（类）行政事业单位离退休（款）机关事业单位职业年金缴费支出（项）：指部门实施养老保险制度由单位缴纳的职业年金的支出。</w:t>
      </w:r>
    </w:p>
    <w:p w14:paraId="0DF1C664">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12.社会保障和就业（类）其他社会保障和就业（款）其他社会保障和就业支出（项）：指除上述项目外，其他用于行政事业单位离退休方面的支出。</w:t>
      </w:r>
    </w:p>
    <w:p w14:paraId="65D05978">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13.卫生健康（类）行政事业单位医疗（款）行政单位医疗（项）：指行政单位及参公管理事业单位用于缴纳单位基本医疗保险支出。</w:t>
      </w:r>
    </w:p>
    <w:p w14:paraId="7E1C35AB">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14.卫生健康（类）行政事业单位医疗（款）事业单位医疗（项）：指事业单位用于缴纳单位基本医疗保险支出。</w:t>
      </w:r>
    </w:p>
    <w:p w14:paraId="7F357256">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15.卫生健康（类）行政事业单位医疗（款）公务员医疗补助（项）：指行政单位及参公管理事业单位用于集中缴纳公务员医疗补助支出。</w:t>
      </w:r>
    </w:p>
    <w:p w14:paraId="1E30DF62">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16.住房保障（类）住房改革支出（款）住房公积金（项）：指由单位及其在职职工按规定缴存的住房公积金支出。</w:t>
      </w:r>
    </w:p>
    <w:p w14:paraId="70A5E8F3">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17.基本支出：指为保证机构正常运转，完成日常工作任务而发生的人员支出和公用支出。</w:t>
      </w:r>
    </w:p>
    <w:p w14:paraId="7531F60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18.项目支出：指在基本支出之外为完成特定行政任务和事业发展目标所发生的支出。</w:t>
      </w:r>
    </w:p>
    <w:p w14:paraId="0E91516E">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E066C91">
      <w:pPr>
        <w:pStyle w:val="20"/>
        <w:spacing w:line="360" w:lineRule="auto"/>
        <w:ind w:firstLine="1280" w:firstLineChars="400"/>
        <w:rPr>
          <w:rFonts w:hint="eastAsia" w:eastAsia="仿宋_GB2312"/>
          <w:lang w:eastAsia="zh-CN"/>
        </w:rPr>
      </w:pPr>
      <w:r>
        <w:rPr>
          <w:rFonts w:hint="eastAsia"/>
          <w:lang w:val="en-US" w:eastAsia="zh-CN"/>
        </w:rPr>
        <w:t>20.</w:t>
      </w:r>
      <w:r>
        <w:rPr>
          <w:rFonts w:hint="eastAsia"/>
        </w:rPr>
        <w:t>一般公共服务（类）宣传事务（款）事业运行（项）</w:t>
      </w:r>
      <w:r>
        <w:rPr>
          <w:rFonts w:hint="eastAsia"/>
          <w:lang w:eastAsia="zh-CN"/>
        </w:rPr>
        <w:t>，</w:t>
      </w:r>
    </w:p>
    <w:p w14:paraId="2FACAF2C">
      <w:pPr>
        <w:pStyle w:val="20"/>
        <w:spacing w:line="360" w:lineRule="auto"/>
        <w:rPr>
          <w:rFonts w:hint="eastAsia"/>
        </w:rPr>
      </w:pPr>
      <w:r>
        <w:rPr>
          <w:rFonts w:hint="eastAsia"/>
          <w:lang w:eastAsia="zh-CN"/>
        </w:rPr>
        <w:t>指</w:t>
      </w:r>
      <w:r>
        <w:rPr>
          <w:rFonts w:hint="eastAsia"/>
        </w:rPr>
        <w:t>用于：事业单位正常运转的基本支出，包括基本工资、津</w:t>
      </w:r>
    </w:p>
    <w:p w14:paraId="33DF2779">
      <w:pPr>
        <w:pStyle w:val="20"/>
        <w:spacing w:line="360" w:lineRule="auto"/>
        <w:rPr>
          <w:rFonts w:hint="eastAsia"/>
        </w:rPr>
      </w:pPr>
      <w:r>
        <w:rPr>
          <w:rFonts w:hint="eastAsia"/>
        </w:rPr>
        <w:t>贴补贴等人员经费以及办公费、印刷费、水电费等日常公用</w:t>
      </w:r>
    </w:p>
    <w:p w14:paraId="32AF1E79">
      <w:pPr>
        <w:pStyle w:val="20"/>
        <w:spacing w:line="360" w:lineRule="auto"/>
        <w:rPr>
          <w:rFonts w:hint="eastAsia"/>
        </w:rPr>
      </w:pPr>
      <w:r>
        <w:rPr>
          <w:rFonts w:hint="eastAsia"/>
        </w:rPr>
        <w:t>经费。</w:t>
      </w:r>
    </w:p>
    <w:p w14:paraId="1624328A">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F4AAC4D-D50F-4880-8411-4F4956160C4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embedRegular r:id="rId2" w:fontKey="{5A1BC6B5-9CD0-4C1A-A9E3-E37A9DDB3C78}"/>
  </w:font>
  <w:font w:name="Calibri">
    <w:panose1 w:val="020F0502020204030204"/>
    <w:charset w:val="00"/>
    <w:family w:val="auto"/>
    <w:pitch w:val="default"/>
    <w:sig w:usb0="E10002FF" w:usb1="4000ACFF" w:usb2="00000009" w:usb3="00000000" w:csb0="2000019F" w:csb1="00000000"/>
    <w:embedRegular r:id="rId3" w:fontKey="{E18EC8A4-DE67-465A-88D0-6C2618562459}"/>
  </w:font>
  <w:font w:name="楷体">
    <w:panose1 w:val="02010609060101010101"/>
    <w:charset w:val="86"/>
    <w:family w:val="modern"/>
    <w:pitch w:val="default"/>
    <w:sig w:usb0="800002BF" w:usb1="38CF7CFA" w:usb2="00000016" w:usb3="00000000" w:csb0="00040001" w:csb1="00000000"/>
    <w:embedRegular r:id="rId4" w:fontKey="{784179C9-075B-408B-8DDD-81A565470BA5}"/>
  </w:font>
  <w:font w:name="仿宋_GB2312">
    <w:panose1 w:val="02010609030101010101"/>
    <w:charset w:val="86"/>
    <w:family w:val="modern"/>
    <w:pitch w:val="default"/>
    <w:sig w:usb0="00000001" w:usb1="080E0000" w:usb2="00000000" w:usb3="00000000" w:csb0="00040000" w:csb1="00000000"/>
    <w:embedRegular r:id="rId5" w:fontKey="{822363E8-CF5F-48DE-8D19-35EBF2E65B06}"/>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embedRegular r:id="rId6" w:fontKey="{CE98A044-01D0-4A6C-8381-1C592166878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87028">
    <w:pPr>
      <w:pStyle w:val="4"/>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E325B7">
                          <w:pPr>
                            <w:pStyle w:val="7"/>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9E325B7">
                    <w:pPr>
                      <w:pStyle w:val="7"/>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2979B">
    <w:pPr>
      <w:pStyle w:val="4"/>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3D7EB">
                          <w:pPr>
                            <w:pStyle w:val="7"/>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043D7EB">
                    <w:pPr>
                      <w:pStyle w:val="7"/>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59054">
    <w:pPr>
      <w:pStyle w:val="4"/>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3F84EE">
                          <w:pPr>
                            <w:pStyle w:val="7"/>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C3F84EE">
                    <w:pPr>
                      <w:pStyle w:val="7"/>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5CA44">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151050">
                          <w:pPr>
                            <w:pStyle w:val="7"/>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9151050">
                    <w:pPr>
                      <w:pStyle w:val="7"/>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09173">
    <w:pPr>
      <w:pStyle w:val="4"/>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FD407A">
                          <w:pPr>
                            <w:pStyle w:val="7"/>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0FD407A">
                    <w:pPr>
                      <w:pStyle w:val="7"/>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CB845">
    <w:pPr>
      <w:pStyle w:val="8"/>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129F1">
    <w:pPr>
      <w:pStyle w:val="4"/>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2BFB1">
    <w:pPr>
      <w:pStyle w:val="4"/>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1AE25">
    <w:pPr>
      <w:pStyle w:val="4"/>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6DA97">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kY2FlMGQyNDEzM2Q3ODNlYmRhZTM0YmMzNGFlY2MifQ=="/>
    <w:docVar w:name="KSO_WPS_MARK_KEY" w:val="48d2c7c5-5ca7-4a62-94c0-78ba1c7e0ebc"/>
  </w:docVars>
  <w:rsids>
    <w:rsidRoot w:val="00000000"/>
    <w:rsid w:val="02ED1707"/>
    <w:rsid w:val="02F925FF"/>
    <w:rsid w:val="03A367D0"/>
    <w:rsid w:val="05837D52"/>
    <w:rsid w:val="08F93370"/>
    <w:rsid w:val="0CF72F3F"/>
    <w:rsid w:val="134F35E9"/>
    <w:rsid w:val="139F20ED"/>
    <w:rsid w:val="13CB5FFB"/>
    <w:rsid w:val="141D165E"/>
    <w:rsid w:val="15E23598"/>
    <w:rsid w:val="18D94D16"/>
    <w:rsid w:val="1C4565B4"/>
    <w:rsid w:val="1E9115A9"/>
    <w:rsid w:val="1EE849F8"/>
    <w:rsid w:val="20D9567F"/>
    <w:rsid w:val="21211D8E"/>
    <w:rsid w:val="240622C9"/>
    <w:rsid w:val="247F2477"/>
    <w:rsid w:val="2BD66371"/>
    <w:rsid w:val="3170631D"/>
    <w:rsid w:val="347854E9"/>
    <w:rsid w:val="40D44971"/>
    <w:rsid w:val="4BC857EE"/>
    <w:rsid w:val="4D3C563B"/>
    <w:rsid w:val="523B4DE5"/>
    <w:rsid w:val="54BB49E6"/>
    <w:rsid w:val="54C30EEA"/>
    <w:rsid w:val="54D45E01"/>
    <w:rsid w:val="5543046B"/>
    <w:rsid w:val="58EE6347"/>
    <w:rsid w:val="595E3E2E"/>
    <w:rsid w:val="5A4A726E"/>
    <w:rsid w:val="5AE90F4A"/>
    <w:rsid w:val="5B65451D"/>
    <w:rsid w:val="5E5B4E53"/>
    <w:rsid w:val="6D64445C"/>
    <w:rsid w:val="6F29430D"/>
    <w:rsid w:val="7209340F"/>
    <w:rsid w:val="74A131D8"/>
    <w:rsid w:val="7516092B"/>
    <w:rsid w:val="76A30804"/>
    <w:rsid w:val="7C6130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autoRedefine/>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3">
    <w:name w:val="Default Paragraph Font"/>
    <w:autoRedefine/>
    <w:semiHidden/>
    <w:unhideWhenUsed/>
    <w:qFormat/>
    <w:uiPriority w:val="1"/>
  </w:style>
  <w:style w:type="table" w:default="1" w:styleId="12">
    <w:name w:val="Normal Table"/>
    <w:semiHidden/>
    <w:qFormat/>
    <w:uiPriority w:val="0"/>
    <w:tblPr>
      <w:tblCellMar>
        <w:top w:w="0" w:type="dxa"/>
        <w:left w:w="108" w:type="dxa"/>
        <w:bottom w:w="0" w:type="dxa"/>
        <w:right w:w="108" w:type="dxa"/>
      </w:tblCellMar>
    </w:tblPr>
  </w:style>
  <w:style w:type="paragraph" w:styleId="4">
    <w:name w:val="Body Text"/>
    <w:basedOn w:val="1"/>
    <w:autoRedefine/>
    <w:qFormat/>
    <w:uiPriority w:val="1"/>
    <w:rPr>
      <w:rFonts w:ascii="仿宋_GB2312" w:hAnsi="仿宋_GB2312" w:eastAsia="仿宋_GB2312" w:cs="仿宋_GB2312"/>
      <w:sz w:val="32"/>
      <w:szCs w:val="32"/>
      <w:lang w:val="zh-CN" w:eastAsia="zh-CN" w:bidi="zh-CN"/>
    </w:rPr>
  </w:style>
  <w:style w:type="paragraph" w:styleId="5">
    <w:name w:val="Body Text Indent"/>
    <w:basedOn w:val="1"/>
    <w:qFormat/>
    <w:uiPriority w:val="99"/>
    <w:pPr>
      <w:spacing w:after="120"/>
      <w:ind w:left="420" w:leftChars="200"/>
    </w:pPr>
  </w:style>
  <w:style w:type="paragraph" w:styleId="6">
    <w:name w:val="toc 3"/>
    <w:basedOn w:val="1"/>
    <w:next w:val="1"/>
    <w:uiPriority w:val="0"/>
    <w:pPr>
      <w:ind w:left="840" w:leftChars="400"/>
    </w:p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uiPriority w:val="0"/>
  </w:style>
  <w:style w:type="paragraph" w:styleId="10">
    <w:name w:val="toc 2"/>
    <w:basedOn w:val="1"/>
    <w:next w:val="1"/>
    <w:qFormat/>
    <w:uiPriority w:val="0"/>
    <w:pPr>
      <w:ind w:left="420" w:leftChars="200"/>
    </w:pPr>
  </w:style>
  <w:style w:type="paragraph" w:styleId="11">
    <w:name w:val="Body Text First Indent 2"/>
    <w:basedOn w:val="5"/>
    <w:next w:val="4"/>
    <w:qFormat/>
    <w:uiPriority w:val="99"/>
    <w:pPr>
      <w:ind w:firstLine="420" w:firstLineChars="200"/>
    </w:pPr>
  </w:style>
  <w:style w:type="table" w:customStyle="1" w:styleId="14">
    <w:name w:val="Table Normal"/>
    <w:autoRedefine/>
    <w:semiHidden/>
    <w:unhideWhenUsed/>
    <w:qFormat/>
    <w:uiPriority w:val="2"/>
    <w:tblPr>
      <w:tblCellMar>
        <w:top w:w="0" w:type="dxa"/>
        <w:left w:w="0" w:type="dxa"/>
        <w:bottom w:w="0" w:type="dxa"/>
        <w:right w:w="0" w:type="dxa"/>
      </w:tblCellMar>
    </w:tblPr>
  </w:style>
  <w:style w:type="paragraph" w:styleId="15">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6">
    <w:name w:val="Table Paragraph"/>
    <w:basedOn w:val="1"/>
    <w:qFormat/>
    <w:uiPriority w:val="1"/>
    <w:rPr>
      <w:rFonts w:ascii="宋体" w:hAnsi="宋体" w:eastAsia="宋体" w:cs="宋体"/>
      <w:lang w:val="zh-CN" w:eastAsia="zh-CN" w:bidi="zh-CN"/>
    </w:rPr>
  </w:style>
  <w:style w:type="paragraph" w:customStyle="1" w:styleId="17">
    <w:name w:val="WPSOffice手动目录 1"/>
    <w:qFormat/>
    <w:uiPriority w:val="0"/>
    <w:pPr>
      <w:ind w:leftChars="0"/>
    </w:pPr>
    <w:rPr>
      <w:rFonts w:asciiTheme="minorHAnsi" w:hAnsiTheme="minorHAnsi" w:eastAsiaTheme="minorHAnsi" w:cstheme="minorBidi"/>
      <w:sz w:val="20"/>
      <w:szCs w:val="20"/>
    </w:rPr>
  </w:style>
  <w:style w:type="paragraph" w:customStyle="1" w:styleId="18">
    <w:name w:val="WPSOffice手动目录 2"/>
    <w:qFormat/>
    <w:uiPriority w:val="0"/>
    <w:pPr>
      <w:ind w:leftChars="200"/>
    </w:pPr>
    <w:rPr>
      <w:rFonts w:asciiTheme="minorHAnsi" w:hAnsiTheme="minorHAnsi" w:eastAsiaTheme="minorHAnsi" w:cstheme="minorBidi"/>
      <w:sz w:val="20"/>
      <w:szCs w:val="20"/>
    </w:rPr>
  </w:style>
  <w:style w:type="paragraph" w:customStyle="1" w:styleId="19">
    <w:name w:val="WPSOffice手动目录 3"/>
    <w:qFormat/>
    <w:uiPriority w:val="0"/>
    <w:pPr>
      <w:ind w:leftChars="400"/>
    </w:pPr>
    <w:rPr>
      <w:rFonts w:asciiTheme="minorHAnsi" w:hAnsiTheme="minorHAnsi" w:eastAsiaTheme="minorHAnsi" w:cstheme="minorBidi"/>
      <w:sz w:val="20"/>
      <w:szCs w:val="20"/>
    </w:rPr>
  </w:style>
  <w:style w:type="paragraph" w:customStyle="1" w:styleId="20">
    <w:name w:val="〖C01〗正文"/>
    <w:basedOn w:val="1"/>
    <w:autoRedefine/>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6404</Words>
  <Characters>6869</Characters>
  <TotalTime>25</TotalTime>
  <ScaleCrop>false</ScaleCrop>
  <LinksUpToDate>false</LinksUpToDate>
  <CharactersWithSpaces>7036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罗立军</cp:lastModifiedBy>
  <dcterms:modified xsi:type="dcterms:W3CDTF">2026-03-02T02:17:40Z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2052-12.1.0.23542</vt:lpwstr>
  </property>
  <property fmtid="{D5CDD505-2E9C-101B-9397-08002B2CF9AE}" pid="6" name="ICV">
    <vt:lpwstr>19A6489293D14499A2E447A850DEABA6</vt:lpwstr>
  </property>
  <property fmtid="{D5CDD505-2E9C-101B-9397-08002B2CF9AE}" pid="7" name="KSOTemplateDocerSaveRecord">
    <vt:lpwstr>eyJoZGlkIjoiNjI1MjcwNDc1N2U4NjVmMGU2YjU1YzViMGRiOGMzNTIiLCJ1c2VySWQiOiIxNjk2MDM1MTUzIn0=</vt:lpwstr>
  </property>
</Properties>
</file>