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五通桥区融媒体中心</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2026单位预算编制说明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4"/>
        <w:spacing w:before="2"/>
        <w:rPr>
          <w:rFonts w:ascii="宋体" w:hAnsi="宋体"/>
          <w:sz w:val="4"/>
        </w:rPr>
      </w:pPr>
    </w:p>
    <w:p>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bookmarkStart w:id="55" w:name="_GoBack"/>
          <w:bookmarkEnd w:id="55"/>
        </w:p>
        <w:p>
          <w:pPr>
            <w:pStyle w:val="9"/>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_Toc5686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_Toc5686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highlight w:val="none"/>
            </w:rPr>
            <w:t>一、基本职能及主要工作</w:t>
          </w:r>
          <w:r>
            <w:tab/>
          </w:r>
          <w:r>
            <w:fldChar w:fldCharType="begin"/>
          </w:r>
          <w:r>
            <w:instrText xml:space="preserve"> PAGEREF _Toc245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_Toc3171 </w:instrText>
          </w:r>
          <w:r>
            <w:rPr>
              <w:rFonts w:hint="eastAsia" w:ascii="宋体" w:hAnsi="宋体" w:eastAsia="方正小标宋简体" w:cs="方正小标宋简体"/>
              <w:bCs/>
              <w:szCs w:val="48"/>
              <w:lang w:val="en-US" w:eastAsia="zh-CN"/>
            </w:rPr>
            <w:fldChar w:fldCharType="separate"/>
          </w:r>
          <w:r>
            <w:rPr>
              <w:rFonts w:ascii="宋体" w:hAnsi="宋体"/>
              <w:highlight w:val="none"/>
            </w:rPr>
            <w:t>（一）部门职能简介</w:t>
          </w:r>
          <w:r>
            <w:tab/>
          </w:r>
          <w:r>
            <w:fldChar w:fldCharType="begin"/>
          </w:r>
          <w:r>
            <w:instrText xml:space="preserve"> PAGEREF _Toc3171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_Toc1354 </w:instrText>
          </w:r>
          <w:r>
            <w:rPr>
              <w:rFonts w:hint="eastAsia" w:ascii="宋体" w:hAnsi="宋体" w:eastAsia="方正小标宋简体" w:cs="方正小标宋简体"/>
              <w:bCs/>
              <w:szCs w:val="48"/>
              <w:lang w:val="en-US" w:eastAsia="zh-CN"/>
            </w:rPr>
            <w:fldChar w:fldCharType="separate"/>
          </w:r>
          <w:r>
            <w:rPr>
              <w:rFonts w:ascii="宋体" w:hAnsi="宋体"/>
              <w:highlight w:val="none"/>
            </w:rPr>
            <w:t>（二）部门</w:t>
          </w:r>
          <w:r>
            <w:rPr>
              <w:rFonts w:hint="eastAsia"/>
              <w:highlight w:val="none"/>
              <w:lang w:val="en-US" w:eastAsia="zh-CN"/>
            </w:rPr>
            <w:t>2026</w:t>
          </w:r>
          <w:r>
            <w:rPr>
              <w:rFonts w:ascii="宋体" w:hAnsi="宋体"/>
              <w:highlight w:val="none"/>
            </w:rPr>
            <w:t>年重点工</w:t>
          </w:r>
          <w:r>
            <w:rPr>
              <w:rFonts w:hint="eastAsia" w:ascii="宋体" w:hAnsi="宋体"/>
              <w:highlight w:val="none"/>
            </w:rPr>
            <w:t>作</w:t>
          </w:r>
          <w:r>
            <w:tab/>
          </w:r>
          <w:r>
            <w:fldChar w:fldCharType="begin"/>
          </w:r>
          <w:r>
            <w:instrText xml:space="preserve"> PAGEREF _Toc1354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_Toc3694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_Toc3694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_Toc1834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44"/>
              <w:lang w:val="en-US" w:eastAsia="zh-CN"/>
            </w:rPr>
            <w:t>第二部分 五通桥区融媒体中心</w:t>
          </w:r>
          <w:r>
            <w:tab/>
          </w:r>
          <w:r>
            <w:fldChar w:fldCharType="begin"/>
          </w:r>
          <w:r>
            <w:instrText xml:space="preserve"> PAGEREF _Toc1834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_Toc20845 </w:instrText>
          </w:r>
          <w:r>
            <w:rPr>
              <w:rFonts w:hint="eastAsia" w:ascii="宋体" w:hAnsi="宋体" w:eastAsia="方正小标宋简体" w:cs="方正小标宋简体"/>
              <w:bCs/>
              <w:szCs w:val="48"/>
              <w:lang w:val="en-US" w:eastAsia="zh-CN"/>
            </w:rPr>
            <w:fldChar w:fldCharType="separate"/>
          </w:r>
          <w:r>
            <w:rPr>
              <w:rFonts w:hint="eastAsia" w:eastAsia="方正小标宋简体" w:cs="方正小标宋简体"/>
              <w:bCs/>
              <w:szCs w:val="44"/>
              <w:lang w:val="en-US" w:eastAsia="zh-CN"/>
            </w:rPr>
            <w:t>2026</w:t>
          </w:r>
          <w:r>
            <w:rPr>
              <w:rFonts w:hint="eastAsia" w:ascii="宋体" w:hAnsi="宋体" w:eastAsia="方正小标宋简体" w:cs="方正小标宋简体"/>
              <w:bCs/>
              <w:szCs w:val="44"/>
              <w:lang w:val="en-US" w:eastAsia="zh-CN"/>
            </w:rPr>
            <w:t>年单位预算表</w:t>
          </w:r>
          <w:r>
            <w:tab/>
          </w:r>
          <w:r>
            <w:fldChar w:fldCharType="begin"/>
          </w:r>
          <w:r>
            <w:instrText xml:space="preserve"> PAGEREF _Toc20845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_Toc17000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一、收支预算总表（收支总表1）</w:t>
          </w:r>
          <w:r>
            <w:tab/>
          </w:r>
          <w:r>
            <w:fldChar w:fldCharType="begin"/>
          </w:r>
          <w:r>
            <w:instrText xml:space="preserve"> PAGEREF _Toc17000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_Toc30879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二、收入预算总表（收入总表2）</w:t>
          </w:r>
          <w:r>
            <w:tab/>
          </w:r>
          <w:r>
            <w:fldChar w:fldCharType="begin"/>
          </w:r>
          <w:r>
            <w:instrText xml:space="preserve"> PAGEREF _Toc30879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_Toc4408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三、征收预期表（征收预期3）</w:t>
          </w:r>
          <w:r>
            <w:tab/>
          </w:r>
          <w:r>
            <w:fldChar w:fldCharType="begin"/>
          </w:r>
          <w:r>
            <w:instrText xml:space="preserve"> PAGEREF _Toc4408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_Toc20897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四、支出预算总表（支出总表4）</w:t>
          </w:r>
          <w:r>
            <w:tab/>
          </w:r>
          <w:r>
            <w:fldChar w:fldCharType="begin"/>
          </w:r>
          <w:r>
            <w:instrText xml:space="preserve"> PAGEREF _Toc20897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_Toc32247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五、财政拨款预算总表（财拨总表5）</w:t>
          </w:r>
          <w:r>
            <w:tab/>
          </w:r>
          <w:r>
            <w:fldChar w:fldCharType="begin"/>
          </w:r>
          <w:r>
            <w:instrText xml:space="preserve"> PAGEREF _Toc32247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_Toc19380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六、一般公共预算支出表（一般预算支出6）</w:t>
          </w:r>
          <w:r>
            <w:tab/>
          </w:r>
          <w:r>
            <w:fldChar w:fldCharType="begin"/>
          </w:r>
          <w:r>
            <w:instrText xml:space="preserve"> PAGEREF _Toc19380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_Toc22512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七、一般公共预算基本支出表（基本支出7）</w:t>
          </w:r>
          <w:r>
            <w:tab/>
          </w:r>
          <w:r>
            <w:fldChar w:fldCharType="begin"/>
          </w:r>
          <w:r>
            <w:instrText xml:space="preserve"> PAGEREF _Toc22512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_Toc18905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八、一般公共预算“三公”经费支出预算表（三公8）</w:t>
          </w:r>
          <w:r>
            <w:tab/>
          </w:r>
          <w:r>
            <w:fldChar w:fldCharType="begin"/>
          </w:r>
          <w:r>
            <w:instrText xml:space="preserve"> PAGEREF _Toc18905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_Toc2935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九、政府性基金预算支出表（基金9）</w:t>
          </w:r>
          <w:r>
            <w:tab/>
          </w:r>
          <w:r>
            <w:fldChar w:fldCharType="begin"/>
          </w:r>
          <w:r>
            <w:instrText xml:space="preserve"> PAGEREF _Toc2935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_Toc12034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十、国有资本经营预算支出表（国资10）</w:t>
          </w:r>
          <w:r>
            <w:tab/>
          </w:r>
          <w:r>
            <w:fldChar w:fldCharType="begin"/>
          </w:r>
          <w:r>
            <w:instrText xml:space="preserve"> PAGEREF _Toc12034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_Toc16352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十一、支出功能分类预算表（支出功能11）</w:t>
          </w:r>
          <w:r>
            <w:tab/>
          </w:r>
          <w:r>
            <w:fldChar w:fldCharType="begin"/>
          </w:r>
          <w:r>
            <w:instrText xml:space="preserve"> PAGEREF _Toc16352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_Toc15541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十二、支出经济分类预算表（支出经济分类12）</w:t>
          </w:r>
          <w:r>
            <w:tab/>
          </w:r>
          <w:r>
            <w:fldChar w:fldCharType="begin"/>
          </w:r>
          <w:r>
            <w:instrText xml:space="preserve"> PAGEREF _Toc15541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_Toc4629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十三、上级资金安排情况表（上级资金安排13）</w:t>
          </w:r>
          <w:r>
            <w:tab/>
          </w:r>
          <w:r>
            <w:fldChar w:fldCharType="begin"/>
          </w:r>
          <w:r>
            <w:instrText xml:space="preserve"> PAGEREF _Toc4629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_Toc24526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十四、项目支出表（项目支出14）</w:t>
          </w:r>
          <w:r>
            <w:tab/>
          </w:r>
          <w:r>
            <w:fldChar w:fldCharType="begin"/>
          </w:r>
          <w:r>
            <w:instrText xml:space="preserve"> PAGEREF _Toc24526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_Toc14541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十六、政府购买服务预算表（购买服务16）</w:t>
          </w:r>
          <w:r>
            <w:tab/>
          </w:r>
          <w:r>
            <w:fldChar w:fldCharType="begin"/>
          </w:r>
          <w:r>
            <w:instrText xml:space="preserve"> PAGEREF _Toc14541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_Toc9280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十七、采购需求表（采购需求表17）</w:t>
          </w:r>
          <w:r>
            <w:tab/>
          </w:r>
          <w:r>
            <w:fldChar w:fldCharType="begin"/>
          </w:r>
          <w:r>
            <w:instrText xml:space="preserve"> PAGEREF _Toc9280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_Toc1987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十八、国有资产配置预算表（资产18）</w:t>
          </w:r>
          <w:r>
            <w:tab/>
          </w:r>
          <w:r>
            <w:fldChar w:fldCharType="begin"/>
          </w:r>
          <w:r>
            <w:instrText xml:space="preserve"> PAGEREF _Toc1987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_Toc4111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十九、项目支出绩效表（项目绩效19）</w:t>
          </w:r>
          <w:r>
            <w:tab/>
          </w:r>
          <w:r>
            <w:fldChar w:fldCharType="begin"/>
          </w:r>
          <w:r>
            <w:instrText xml:space="preserve"> PAGEREF _Toc4111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_Toc12637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二十、部门绩效表（部门绩效20）</w:t>
          </w:r>
          <w:r>
            <w:tab/>
          </w:r>
          <w:r>
            <w:fldChar w:fldCharType="begin"/>
          </w:r>
          <w:r>
            <w:instrText xml:space="preserve"> PAGEREF _Toc12637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_Toc26321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二十一、年初政府采购项目预算表（政府采购项目预算表21）</w:t>
          </w:r>
          <w:r>
            <w:tab/>
          </w:r>
          <w:r>
            <w:fldChar w:fldCharType="begin"/>
          </w:r>
          <w:r>
            <w:instrText xml:space="preserve"> PAGEREF _Toc26321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_Toc25230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二十二、</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年支出计划总表（三年计划总表22）</w:t>
          </w:r>
          <w:r>
            <w:tab/>
          </w:r>
          <w:r>
            <w:fldChar w:fldCharType="begin"/>
          </w:r>
          <w:r>
            <w:instrText xml:space="preserve"> PAGEREF _Toc25230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_Toc8822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二十三、</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年支出计划明细表（三年计划明细表23）</w:t>
          </w:r>
          <w:r>
            <w:tab/>
          </w:r>
          <w:r>
            <w:fldChar w:fldCharType="begin"/>
          </w:r>
          <w:r>
            <w:instrText xml:space="preserve"> PAGEREF _Toc8822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_Toc29459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二十四、人员和车辆基本情况表（人员24）</w:t>
          </w:r>
          <w:r>
            <w:tab/>
          </w:r>
          <w:r>
            <w:fldChar w:fldCharType="begin"/>
          </w:r>
          <w:r>
            <w:instrText xml:space="preserve"> PAGEREF _Toc29459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_Toc4912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_Toc4912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_Toc29740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44"/>
              <w:lang w:val="en-US" w:eastAsia="zh-CN"/>
            </w:rPr>
            <w:t>第三部分 五通桥区融媒体中心</w:t>
          </w:r>
          <w:r>
            <w:tab/>
          </w:r>
          <w:r>
            <w:fldChar w:fldCharType="begin"/>
          </w:r>
          <w:r>
            <w:instrText xml:space="preserve"> PAGEREF _Toc29740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_Toc26540 </w:instrText>
          </w:r>
          <w:r>
            <w:rPr>
              <w:rFonts w:hint="eastAsia" w:ascii="宋体" w:hAnsi="宋体" w:eastAsia="方正小标宋简体" w:cs="方正小标宋简体"/>
              <w:bCs/>
              <w:szCs w:val="48"/>
              <w:lang w:val="en-US" w:eastAsia="zh-CN"/>
            </w:rPr>
            <w:fldChar w:fldCharType="separate"/>
          </w:r>
          <w:r>
            <w:rPr>
              <w:rFonts w:hint="eastAsia" w:eastAsia="方正小标宋简体" w:cs="方正小标宋简体"/>
              <w:szCs w:val="44"/>
              <w:lang w:val="en-US" w:eastAsia="zh-CN"/>
            </w:rPr>
            <w:t>2026</w:t>
          </w:r>
          <w:r>
            <w:rPr>
              <w:rFonts w:hint="eastAsia" w:ascii="宋体" w:hAnsi="宋体" w:eastAsia="方正小标宋简体" w:cs="方正小标宋简体"/>
              <w:szCs w:val="44"/>
              <w:lang w:val="en-US" w:eastAsia="zh-CN"/>
            </w:rPr>
            <w:t>年单位预算情况说明</w:t>
          </w:r>
          <w:r>
            <w:tab/>
          </w:r>
          <w:r>
            <w:fldChar w:fldCharType="begin"/>
          </w:r>
          <w:r>
            <w:instrText xml:space="preserve"> PAGEREF _Toc26540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_Toc31360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_Toc31360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_Toc10234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_Toc10234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_Toc9173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_Toc9173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_Toc16603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_Toc16603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_Toc8120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_Toc8120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_Toc27207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_Toc27207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_Toc31317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_Toc31317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_Toc19311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tab/>
          </w:r>
          <w:r>
            <w:fldChar w:fldCharType="begin"/>
          </w:r>
          <w:r>
            <w:instrText xml:space="preserve"> PAGEREF _Toc19311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_Toc8964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_Toc8964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_Toc3977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_Toc3977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_Toc13406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_Toc13406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_Toc31262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_Toc31262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_Toc29142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_Toc29142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_Toc16056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_Toc16056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_Toc20258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_Toc20258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_Toc16165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_Toc16165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_Toc14338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_Toc14338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_Toc11436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_Toc11436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_Toc17185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_Toc17185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_Toc11221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_Toc11221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spacing w:before="3"/>
        <w:rPr>
          <w:rFonts w:ascii="宋体" w:hAnsi="宋体"/>
          <w:sz w:val="28"/>
        </w:rPr>
      </w:pPr>
    </w:p>
    <w:p>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5686"/>
      <w:r>
        <w:rPr>
          <w:rFonts w:hint="eastAsia" w:ascii="宋体" w:hAnsi="宋体" w:eastAsia="方正小标宋简体" w:cs="方正小标宋简体"/>
          <w:b/>
          <w:bCs/>
          <w:sz w:val="52"/>
          <w:szCs w:val="52"/>
          <w:lang w:val="en-US" w:eastAsia="zh-CN"/>
        </w:rPr>
        <w:t>部门概况</w:t>
      </w:r>
      <w:bookmarkEnd w:id="0"/>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highlight w:val="none"/>
        </w:rPr>
      </w:pPr>
      <w:bookmarkStart w:id="1" w:name="_Toc245"/>
      <w:r>
        <w:rPr>
          <w:rFonts w:hint="eastAsia" w:ascii="宋体" w:hAnsi="宋体" w:eastAsia="黑体"/>
          <w:color w:val="333333"/>
          <w:highlight w:val="none"/>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none"/>
          <w:lang w:eastAsia="zh-CN"/>
        </w:rPr>
      </w:pPr>
      <w:bookmarkStart w:id="2" w:name="_Toc3171"/>
      <w:r>
        <w:rPr>
          <w:rFonts w:ascii="宋体" w:hAnsi="宋体"/>
          <w:highlight w:val="none"/>
        </w:rPr>
        <w:t>（一）部门职能简介</w:t>
      </w:r>
      <w:bookmarkEnd w:id="2"/>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①贯彻落实党的新闻宣传方针政策，宣传党的理论，路线和各项方针政策，把握新闻宣传基调，坚持正面宣传、团结鼓劲，为全区经济社会发展提供舆论支持。</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②围绕区委、区政府中心工作，积极开展新闻网络内外宣传，落实全区新闻报道计划，完成上级下达的各项内外宣传和创优任务。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③负责全区新闻业务管理和对外通联工作，抓好全区新闻网络宣传阵地和人才队伍建设。</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④协助配合上级媒体和新闻单位来桥采访及其他工作。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⑤便民信息发布，网上便民信息咨询和部分网络事项办理等。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⑥搜集舆情民意，分析研判舆情动态，有效引导舆情，维护全区舆论安全。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⑦承办区委、区政府交办的其他事项。</w:t>
      </w:r>
    </w:p>
    <w:p>
      <w:pPr>
        <w:pStyle w:val="3"/>
        <w:keepNext w:val="0"/>
        <w:keepLines w:val="0"/>
        <w:pageBreakBefore w:val="0"/>
        <w:widowControl w:val="0"/>
        <w:kinsoku/>
        <w:wordWrap/>
        <w:overflowPunct/>
        <w:topLinePunct w:val="0"/>
        <w:autoSpaceDE w:val="0"/>
        <w:autoSpaceDN w:val="0"/>
        <w:bidi w:val="0"/>
        <w:adjustRightInd/>
        <w:snapToGrid/>
        <w:spacing w:before="190" w:line="360" w:lineRule="auto"/>
        <w:ind w:left="0" w:leftChars="0" w:firstLine="964" w:firstLineChars="300"/>
        <w:textAlignment w:val="auto"/>
        <w:rPr>
          <w:rFonts w:hint="eastAsia" w:ascii="宋体" w:hAnsi="宋体"/>
          <w:highlight w:val="none"/>
        </w:rPr>
      </w:pPr>
      <w:bookmarkStart w:id="3" w:name="_Toc1354"/>
      <w:r>
        <w:rPr>
          <w:rFonts w:ascii="宋体" w:hAnsi="宋体"/>
          <w:highlight w:val="none"/>
        </w:rPr>
        <w:t>（二）部门</w:t>
      </w:r>
      <w:r>
        <w:rPr>
          <w:rFonts w:hint="eastAsia" w:ascii="宋体" w:hAnsi="宋体"/>
          <w:highlight w:val="none"/>
          <w:lang w:val="en-US" w:eastAsia="zh-CN"/>
        </w:rPr>
        <w:t>2026</w:t>
      </w:r>
      <w:r>
        <w:rPr>
          <w:rFonts w:ascii="宋体" w:hAnsi="宋体"/>
          <w:highlight w:val="none"/>
        </w:rPr>
        <w:t>年重点工</w:t>
      </w:r>
      <w:r>
        <w:rPr>
          <w:rFonts w:hint="eastAsia" w:ascii="宋体" w:hAnsi="宋体"/>
          <w:highlight w:val="none"/>
        </w:rPr>
        <w:t>作</w:t>
      </w:r>
      <w:bookmarkEnd w:id="3"/>
    </w:p>
    <w:p>
      <w:pPr>
        <w:spacing w:line="360" w:lineRule="auto"/>
        <w:ind w:firstLine="640" w:firstLineChars="200"/>
        <w:rPr>
          <w:rFonts w:hint="default" w:ascii="Times New Roman" w:hAnsi="Times New Roman" w:eastAsia="仿宋_GB2312" w:cs="Times New Roman"/>
          <w:color w:val="auto"/>
          <w:sz w:val="32"/>
          <w:szCs w:val="32"/>
          <w:lang w:val="en-US" w:eastAsia="zh-CN"/>
        </w:rPr>
      </w:pPr>
      <w:bookmarkStart w:id="4" w:name="_Toc3694"/>
      <w:r>
        <w:rPr>
          <w:rFonts w:hint="eastAsia" w:ascii="宋体" w:hAnsi="宋体" w:eastAsia="仿宋_GB2312" w:cs="仿宋_GB2312"/>
          <w:sz w:val="32"/>
          <w:szCs w:val="22"/>
          <w:lang w:val="en-US" w:eastAsia="zh-CN" w:bidi="zh-CN"/>
        </w:rPr>
        <w:t>本单位</w:t>
      </w:r>
      <w:r>
        <w:rPr>
          <w:rFonts w:hint="default" w:ascii="宋体" w:hAnsi="宋体" w:eastAsia="仿宋_GB2312" w:cs="仿宋_GB2312"/>
          <w:sz w:val="32"/>
          <w:szCs w:val="22"/>
          <w:lang w:val="en-US" w:eastAsia="zh-CN" w:bidi="zh-CN"/>
        </w:rPr>
        <w:t>将继续围绕区委、区政府中心工作，聚焦媒体深度融合高质量发展目标，重点抓好三方面工作：一是深化内容创新，打造更多有深度、有温度、有影响力的精品力作</w:t>
      </w:r>
      <w:r>
        <w:rPr>
          <w:rFonts w:hint="eastAsia" w:ascii="宋体" w:hAnsi="宋体" w:eastAsia="仿宋_GB2312" w:cs="仿宋_GB2312"/>
          <w:sz w:val="32"/>
          <w:szCs w:val="22"/>
          <w:lang w:val="en-US" w:eastAsia="zh-CN" w:bidi="zh-CN"/>
        </w:rPr>
        <w:t>，优化“桥通五洲”APP栏目，提升用户参与度和黏性</w:t>
      </w:r>
      <w:r>
        <w:rPr>
          <w:rFonts w:hint="default" w:ascii="宋体" w:hAnsi="宋体" w:eastAsia="仿宋_GB2312" w:cs="仿宋_GB2312"/>
          <w:sz w:val="32"/>
          <w:szCs w:val="22"/>
          <w:lang w:val="en-US" w:eastAsia="zh-CN" w:bidi="zh-CN"/>
        </w:rPr>
        <w:t>；二是加快技术赋能，推进AI编辑器、大数据分析等新技术应用，提升内容生产和传播效率；三是优化人才队伍，加大高端人才引育力度，完善激励机制</w:t>
      </w:r>
      <w:r>
        <w:rPr>
          <w:rFonts w:hint="eastAsia" w:ascii="宋体" w:hAnsi="宋体" w:eastAsia="仿宋_GB2312" w:cs="仿宋_GB2312"/>
          <w:sz w:val="32"/>
          <w:szCs w:val="22"/>
          <w:lang w:val="en-US" w:eastAsia="zh-CN" w:bidi="zh-CN"/>
        </w:rPr>
        <w:t>，为五通桥区经济社会高质量发展贡献更加精准高效、多元创新的融媒智慧。</w:t>
      </w: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二、部门预算单位构成</w:t>
      </w:r>
      <w:bookmarkEnd w:id="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部门下属预算单位1个，其中行政单位0个，参照公务员法管理的事业单位0个，其他事业单位1个。主要包括：</w:t>
      </w:r>
    </w:p>
    <w:tbl>
      <w:tblPr>
        <w:tblStyle w:val="13"/>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54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pPr>
              <w:pStyle w:val="17"/>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5457" w:type="dxa"/>
          </w:tcPr>
          <w:p>
            <w:pPr>
              <w:pStyle w:val="17"/>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pPr>
              <w:pStyle w:val="17"/>
              <w:spacing w:before="181"/>
              <w:ind w:left="748"/>
              <w:rPr>
                <w:rFonts w:ascii="宋体" w:hAnsi="宋体"/>
                <w:sz w:val="32"/>
              </w:rPr>
            </w:pPr>
            <w:r>
              <w:rPr>
                <w:rFonts w:ascii="宋体" w:hAnsi="宋体"/>
                <w:color w:val="333333"/>
                <w:w w:val="99"/>
                <w:sz w:val="32"/>
              </w:rPr>
              <w:t>1</w:t>
            </w:r>
          </w:p>
        </w:tc>
        <w:tc>
          <w:tcPr>
            <w:tcW w:w="5457" w:type="dxa"/>
          </w:tcPr>
          <w:p>
            <w:pPr>
              <w:pStyle w:val="17"/>
              <w:spacing w:before="160"/>
              <w:ind w:left="746"/>
              <w:rPr>
                <w:rFonts w:hint="eastAsia" w:ascii="宋体" w:hAnsi="宋体" w:eastAsia="仿宋_GB2312"/>
                <w:sz w:val="32"/>
              </w:rPr>
            </w:pPr>
            <w:r>
              <w:rPr>
                <w:rFonts w:hint="eastAsia" w:ascii="宋体" w:hAnsi="宋体" w:eastAsia="仿宋_GB2312"/>
                <w:sz w:val="32"/>
              </w:rPr>
              <w:t>104103</w:t>
            </w:r>
            <w:r>
              <w:rPr>
                <w:rFonts w:hint="eastAsia" w:eastAsia="仿宋_GB2312"/>
                <w:sz w:val="32"/>
                <w:lang w:val="en-US" w:eastAsia="zh-CN"/>
              </w:rPr>
              <w:t>-</w:t>
            </w:r>
            <w:r>
              <w:rPr>
                <w:rFonts w:hint="eastAsia" w:ascii="宋体" w:hAnsi="宋体" w:eastAsia="仿宋_GB2312"/>
                <w:sz w:val="32"/>
              </w:rPr>
              <w:t>五通桥区融媒体中心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7"/>
              <w:spacing w:before="183"/>
              <w:ind w:left="748"/>
              <w:rPr>
                <w:rFonts w:ascii="宋体" w:hAnsi="宋体"/>
                <w:sz w:val="32"/>
              </w:rPr>
            </w:pPr>
            <w:r>
              <w:rPr>
                <w:rFonts w:ascii="宋体" w:hAnsi="宋体"/>
                <w:color w:val="333333"/>
                <w:w w:val="99"/>
                <w:sz w:val="32"/>
              </w:rPr>
              <w:t>2</w:t>
            </w:r>
          </w:p>
        </w:tc>
        <w:tc>
          <w:tcPr>
            <w:tcW w:w="5457" w:type="dxa"/>
          </w:tcPr>
          <w:p>
            <w:pPr>
              <w:pStyle w:val="17"/>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7"/>
              <w:spacing w:before="183"/>
              <w:ind w:left="748"/>
              <w:rPr>
                <w:rFonts w:ascii="宋体" w:hAnsi="宋体"/>
                <w:sz w:val="32"/>
              </w:rPr>
            </w:pPr>
            <w:r>
              <w:rPr>
                <w:rFonts w:ascii="宋体" w:hAnsi="宋体"/>
                <w:color w:val="333333"/>
                <w:w w:val="99"/>
                <w:sz w:val="32"/>
              </w:rPr>
              <w:t>3</w:t>
            </w:r>
          </w:p>
        </w:tc>
        <w:tc>
          <w:tcPr>
            <w:tcW w:w="5457" w:type="dxa"/>
          </w:tcPr>
          <w:p>
            <w:pPr>
              <w:pStyle w:val="17"/>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pPr>
              <w:pStyle w:val="17"/>
              <w:spacing w:before="183"/>
              <w:ind w:left="748"/>
              <w:rPr>
                <w:rFonts w:ascii="宋体" w:hAnsi="宋体"/>
                <w:sz w:val="32"/>
              </w:rPr>
            </w:pPr>
            <w:r>
              <w:rPr>
                <w:rFonts w:ascii="宋体" w:hAnsi="宋体"/>
                <w:color w:val="333333"/>
                <w:w w:val="99"/>
                <w:sz w:val="32"/>
              </w:rPr>
              <w:t>4</w:t>
            </w:r>
          </w:p>
        </w:tc>
        <w:tc>
          <w:tcPr>
            <w:tcW w:w="5457" w:type="dxa"/>
          </w:tcPr>
          <w:p>
            <w:pPr>
              <w:pStyle w:val="17"/>
              <w:spacing w:before="162"/>
              <w:ind w:left="746"/>
              <w:rPr>
                <w:rFonts w:hint="eastAsia" w:ascii="宋体" w:hAnsi="宋体" w:eastAsia="仿宋_GB2312"/>
                <w:sz w:val="32"/>
              </w:rPr>
            </w:pPr>
          </w:p>
        </w:tc>
      </w:tr>
    </w:tbl>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jc w:val="center"/>
        <w:outlineLvl w:val="0"/>
        <w:rPr>
          <w:rFonts w:hint="default" w:ascii="宋体" w:hAnsi="宋体" w:eastAsia="方正小标宋简体" w:cs="方正小标宋简体"/>
          <w:b/>
          <w:bCs/>
          <w:sz w:val="44"/>
          <w:szCs w:val="44"/>
          <w:lang w:val="en-US" w:eastAsia="zh-CN"/>
        </w:rPr>
      </w:pPr>
      <w:bookmarkStart w:id="5" w:name="_Toc1834"/>
      <w:r>
        <w:rPr>
          <w:rFonts w:hint="eastAsia" w:ascii="宋体" w:hAnsi="宋体" w:eastAsia="方正小标宋简体" w:cs="方正小标宋简体"/>
          <w:b/>
          <w:bCs/>
          <w:sz w:val="44"/>
          <w:szCs w:val="44"/>
          <w:lang w:val="en-US" w:eastAsia="zh-CN"/>
        </w:rPr>
        <w:t>五通桥区融媒体中心</w:t>
      </w:r>
      <w:bookmarkEnd w:id="5"/>
    </w:p>
    <w:p>
      <w:pPr>
        <w:pStyle w:val="4"/>
        <w:numPr>
          <w:ilvl w:val="0"/>
          <w:numId w:val="0"/>
        </w:numPr>
        <w:ind w:right="0" w:rightChars="0" w:firstLine="3534" w:firstLineChars="800"/>
        <w:jc w:val="both"/>
        <w:outlineLvl w:val="0"/>
        <w:rPr>
          <w:rFonts w:hint="default" w:ascii="宋体" w:hAnsi="宋体" w:eastAsia="方正小标宋简体" w:cs="方正小标宋简体"/>
          <w:b/>
          <w:bCs/>
          <w:sz w:val="44"/>
          <w:szCs w:val="44"/>
          <w:lang w:val="en-US" w:eastAsia="zh-CN"/>
        </w:rPr>
      </w:pPr>
      <w:bookmarkStart w:id="6" w:name="_Toc20845"/>
      <w:r>
        <w:rPr>
          <w:rFonts w:hint="eastAsia" w:ascii="宋体" w:hAnsi="宋体" w:eastAsia="方正小标宋简体" w:cs="方正小标宋简体"/>
          <w:b/>
          <w:bCs/>
          <w:sz w:val="44"/>
          <w:szCs w:val="44"/>
          <w:lang w:val="en-US" w:eastAsia="zh-CN"/>
        </w:rPr>
        <w:t>2026年单位预算表</w:t>
      </w:r>
      <w:bookmarkEnd w:id="6"/>
    </w:p>
    <w:p>
      <w:pPr>
        <w:rPr>
          <w:rFonts w:hint="eastAsia" w:ascii="宋体" w:hAnsi="宋体"/>
          <w:sz w:val="32"/>
          <w:lang w:val="en-US" w:eastAsia="zh-CN"/>
        </w:rPr>
      </w:pPr>
      <w:r>
        <w:rPr>
          <w:rFonts w:ascii="宋体" w:hAnsi="宋体"/>
          <w:color w:val="333333"/>
        </w:rPr>
        <w:br w:type="page"/>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17000"/>
      <w:r>
        <w:rPr>
          <w:rFonts w:hint="eastAsia" w:ascii="宋体" w:hAnsi="宋体"/>
          <w:sz w:val="32"/>
          <w:lang w:val="en-US" w:eastAsia="zh-CN"/>
        </w:rPr>
        <w:t>一、收支预算总表（收支总表1）</w:t>
      </w:r>
      <w:bookmarkEnd w:id="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30879"/>
      <w:r>
        <w:rPr>
          <w:rFonts w:hint="eastAsia" w:ascii="宋体" w:hAnsi="宋体"/>
          <w:sz w:val="32"/>
          <w:lang w:val="en-US" w:eastAsia="zh-CN"/>
        </w:rPr>
        <w:t>二、收入预算总表（收入总表2）</w:t>
      </w:r>
      <w:bookmarkEnd w:id="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4408"/>
      <w:r>
        <w:rPr>
          <w:rFonts w:hint="eastAsia" w:ascii="宋体" w:hAnsi="宋体"/>
          <w:sz w:val="32"/>
          <w:lang w:val="en-US" w:eastAsia="zh-CN"/>
        </w:rPr>
        <w:t>三、征收预期表（征收预期3）</w:t>
      </w:r>
      <w:bookmarkEnd w:id="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0897"/>
      <w:r>
        <w:rPr>
          <w:rFonts w:hint="eastAsia" w:ascii="宋体" w:hAnsi="宋体"/>
          <w:sz w:val="32"/>
          <w:lang w:val="en-US" w:eastAsia="zh-CN"/>
        </w:rPr>
        <w:t>四、支出预算总表（支出总表4）</w:t>
      </w:r>
      <w:bookmarkEnd w:id="1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32247"/>
      <w:r>
        <w:rPr>
          <w:rFonts w:hint="eastAsia" w:ascii="宋体" w:hAnsi="宋体"/>
          <w:sz w:val="32"/>
          <w:lang w:val="en-US" w:eastAsia="zh-CN"/>
        </w:rPr>
        <w:t>五、财政拨款预算总表（财拨总表5）</w:t>
      </w:r>
      <w:bookmarkEnd w:id="1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19380"/>
      <w:r>
        <w:rPr>
          <w:rFonts w:hint="eastAsia" w:ascii="宋体" w:hAnsi="宋体"/>
          <w:sz w:val="32"/>
          <w:lang w:val="en-US" w:eastAsia="zh-CN"/>
        </w:rPr>
        <w:t>六、一般公共预算支出表（一般预算支出6）</w:t>
      </w:r>
      <w:bookmarkEnd w:id="12"/>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22512"/>
      <w:r>
        <w:rPr>
          <w:rFonts w:hint="eastAsia" w:ascii="宋体" w:hAnsi="宋体"/>
          <w:sz w:val="32"/>
          <w:lang w:val="en-US" w:eastAsia="zh-CN"/>
        </w:rPr>
        <w:t>七、一般公共预算基本支出表（基本支出7）</w:t>
      </w:r>
      <w:bookmarkEnd w:id="13"/>
      <w:r>
        <w:rPr>
          <w:rFonts w:hint="eastAsia" w:ascii="宋体" w:hAnsi="宋体"/>
          <w:sz w:val="32"/>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18905"/>
      <w:r>
        <w:rPr>
          <w:rFonts w:hint="eastAsia" w:ascii="宋体" w:hAnsi="宋体"/>
          <w:sz w:val="32"/>
          <w:lang w:val="en-US" w:eastAsia="zh-CN"/>
        </w:rPr>
        <w:t>八、一般公共预算“三公”经费支出预算表（三公8）</w:t>
      </w:r>
      <w:bookmarkEnd w:id="1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2935"/>
      <w:r>
        <w:rPr>
          <w:rFonts w:hint="eastAsia" w:ascii="宋体" w:hAnsi="宋体"/>
          <w:sz w:val="32"/>
          <w:lang w:val="en-US" w:eastAsia="zh-CN"/>
        </w:rPr>
        <w:t>九、政府性基金预算支出表（基金9）</w:t>
      </w:r>
      <w:bookmarkEnd w:id="15"/>
      <w:r>
        <w:rPr>
          <w:rFonts w:hint="eastAsia" w:ascii="宋体" w:hAnsi="宋体"/>
          <w:sz w:val="32"/>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12034"/>
      <w:r>
        <w:rPr>
          <w:rFonts w:hint="eastAsia" w:ascii="宋体" w:hAnsi="宋体"/>
          <w:sz w:val="32"/>
          <w:lang w:val="en-US" w:eastAsia="zh-CN"/>
        </w:rPr>
        <w:t>十、国有资本经营预算支出表（国资10）</w:t>
      </w:r>
      <w:bookmarkEnd w:id="1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6352"/>
      <w:r>
        <w:rPr>
          <w:rFonts w:hint="eastAsia" w:ascii="宋体" w:hAnsi="宋体"/>
          <w:sz w:val="32"/>
          <w:lang w:val="en-US" w:eastAsia="zh-CN"/>
        </w:rPr>
        <w:t>十一、支出功能分类预算表（支出功能11）</w:t>
      </w:r>
      <w:bookmarkEnd w:id="1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15541"/>
      <w:r>
        <w:rPr>
          <w:rFonts w:hint="eastAsia" w:ascii="宋体" w:hAnsi="宋体"/>
          <w:sz w:val="32"/>
          <w:lang w:val="en-US" w:eastAsia="zh-CN"/>
        </w:rPr>
        <w:t>十二、支出经济分类预算表（支出经济分类12）</w:t>
      </w:r>
      <w:bookmarkEnd w:id="1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4629"/>
      <w:r>
        <w:rPr>
          <w:rFonts w:hint="eastAsia" w:ascii="宋体" w:hAnsi="宋体"/>
          <w:sz w:val="32"/>
          <w:lang w:val="en-US" w:eastAsia="zh-CN"/>
        </w:rPr>
        <w:t>十三、上级资金安排情况表（上级资金安排13）</w:t>
      </w:r>
      <w:bookmarkEnd w:id="19"/>
      <w:r>
        <w:rPr>
          <w:rFonts w:hint="eastAsia" w:ascii="宋体" w:hAnsi="宋体"/>
          <w:sz w:val="32"/>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24526"/>
      <w:r>
        <w:rPr>
          <w:rFonts w:hint="eastAsia" w:ascii="宋体" w:hAnsi="宋体"/>
          <w:sz w:val="32"/>
          <w:lang w:val="en-US" w:eastAsia="zh-CN"/>
        </w:rPr>
        <w:t>十四、项目支出表（项目支出14）</w:t>
      </w:r>
      <w:bookmarkEnd w:id="2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14541"/>
      <w:r>
        <w:rPr>
          <w:rFonts w:hint="eastAsia" w:ascii="宋体" w:hAnsi="宋体"/>
          <w:sz w:val="32"/>
          <w:lang w:val="en-US" w:eastAsia="zh-CN"/>
        </w:rPr>
        <w:t>十六、政府购买服务预算表（购买服务16）</w:t>
      </w:r>
      <w:bookmarkEnd w:id="2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2" w:name="_Toc9280"/>
      <w:bookmarkStart w:id="23" w:name="_Toc16458"/>
      <w:r>
        <w:rPr>
          <w:rFonts w:hint="eastAsia" w:ascii="宋体" w:hAnsi="宋体"/>
          <w:sz w:val="32"/>
          <w:lang w:val="en-US" w:eastAsia="zh-CN"/>
        </w:rPr>
        <w:t>十七、采购需求表（采购需求表17）</w:t>
      </w:r>
      <w:bookmarkEnd w:id="22"/>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1987"/>
      <w:r>
        <w:rPr>
          <w:rFonts w:hint="eastAsia" w:ascii="宋体" w:hAnsi="宋体"/>
          <w:sz w:val="32"/>
          <w:lang w:val="en-US" w:eastAsia="zh-CN"/>
        </w:rPr>
        <w:t>十八、国有资产配置预算表（资产18）</w:t>
      </w:r>
      <w:bookmarkEnd w:id="2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4111"/>
      <w:r>
        <w:rPr>
          <w:rFonts w:hint="eastAsia" w:ascii="宋体" w:hAnsi="宋体"/>
          <w:sz w:val="32"/>
          <w:lang w:val="en-US" w:eastAsia="zh-CN"/>
        </w:rPr>
        <w:t>十九、项目支出绩效表（项目绩效19）</w:t>
      </w:r>
      <w:bookmarkEnd w:id="25"/>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12637"/>
      <w:r>
        <w:rPr>
          <w:rFonts w:hint="eastAsia" w:ascii="宋体" w:hAnsi="宋体"/>
          <w:sz w:val="32"/>
          <w:lang w:val="en-US" w:eastAsia="zh-CN"/>
        </w:rPr>
        <w:t>二十、部门绩效表（部门绩效20）</w:t>
      </w:r>
      <w:bookmarkEnd w:id="2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26321"/>
      <w:r>
        <w:rPr>
          <w:rFonts w:hint="eastAsia" w:ascii="宋体" w:hAnsi="宋体"/>
          <w:sz w:val="32"/>
          <w:lang w:val="en-US" w:eastAsia="zh-CN"/>
        </w:rPr>
        <w:t>二十一、年初政府采购项目预算表（政府采购项目预算表21）</w:t>
      </w:r>
      <w:bookmarkEnd w:id="2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25230"/>
      <w:r>
        <w:rPr>
          <w:rFonts w:hint="eastAsia" w:ascii="宋体" w:hAnsi="宋体"/>
          <w:sz w:val="32"/>
          <w:lang w:val="en-US" w:eastAsia="zh-CN"/>
        </w:rPr>
        <w:t>二十二、2026-2028年支出计划总表（三年计划总表22）</w:t>
      </w:r>
      <w:bookmarkEnd w:id="2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8822"/>
      <w:r>
        <w:rPr>
          <w:rFonts w:hint="eastAsia" w:ascii="宋体" w:hAnsi="宋体"/>
          <w:sz w:val="32"/>
          <w:lang w:val="en-US" w:eastAsia="zh-CN"/>
        </w:rPr>
        <w:t>二十三、2026-2028年支出计划明细表（三年计划明细表23）</w:t>
      </w:r>
      <w:bookmarkEnd w:id="2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30" w:name="_Toc29459"/>
      <w:r>
        <w:rPr>
          <w:rFonts w:hint="eastAsia" w:ascii="宋体" w:hAnsi="宋体"/>
          <w:sz w:val="32"/>
          <w:lang w:val="en-US" w:eastAsia="zh-CN"/>
        </w:rPr>
        <w:t>二十四、人员和车辆基本情况表（人员24）</w:t>
      </w:r>
      <w:bookmarkEnd w:id="3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1" w:name="_Toc4912"/>
      <w:r>
        <w:rPr>
          <w:rFonts w:hint="eastAsia" w:ascii="宋体" w:hAnsi="宋体"/>
          <w:b/>
          <w:bCs/>
          <w:sz w:val="32"/>
          <w:lang w:val="en-US" w:eastAsia="zh-CN"/>
        </w:rPr>
        <w:t>以上所有表格详见部门说明后附件。</w:t>
      </w:r>
      <w:bookmarkEnd w:id="23"/>
      <w:bookmarkEnd w:id="31"/>
    </w:p>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spacing w:before="6"/>
        <w:ind w:left="0" w:leftChars="0" w:firstLine="0" w:firstLineChars="0"/>
        <w:jc w:val="center"/>
        <w:outlineLvl w:val="0"/>
        <w:rPr>
          <w:rFonts w:hint="eastAsia" w:ascii="宋体" w:hAnsi="宋体" w:eastAsia="方正小标宋简体" w:cs="方正小标宋简体"/>
          <w:sz w:val="44"/>
          <w:szCs w:val="44"/>
          <w:lang w:val="en-US" w:eastAsia="zh-CN"/>
        </w:rPr>
      </w:pPr>
      <w:bookmarkStart w:id="32" w:name="_Toc29740"/>
      <w:r>
        <w:rPr>
          <w:rFonts w:hint="eastAsia" w:ascii="宋体" w:hAnsi="宋体" w:eastAsia="方正小标宋简体" w:cs="方正小标宋简体"/>
          <w:sz w:val="44"/>
          <w:szCs w:val="44"/>
          <w:lang w:val="en-US" w:eastAsia="zh-CN"/>
        </w:rPr>
        <w:t>五通桥区融媒体中心</w:t>
      </w:r>
      <w:bookmarkEnd w:id="32"/>
    </w:p>
    <w:p>
      <w:pPr>
        <w:pStyle w:val="4"/>
        <w:numPr>
          <w:ilvl w:val="0"/>
          <w:numId w:val="0"/>
        </w:numPr>
        <w:spacing w:before="6"/>
        <w:ind w:leftChars="0" w:right="0" w:rightChars="0" w:firstLine="1760" w:firstLineChars="400"/>
        <w:jc w:val="both"/>
        <w:outlineLvl w:val="0"/>
        <w:rPr>
          <w:rFonts w:hint="default" w:ascii="宋体" w:hAnsi="宋体"/>
          <w:sz w:val="44"/>
          <w:szCs w:val="44"/>
          <w:lang w:val="en-US"/>
        </w:rPr>
        <w:sectPr>
          <w:headerReference r:id="rId8" w:type="default"/>
          <w:pgSz w:w="11910" w:h="16840"/>
          <w:pgMar w:top="1440" w:right="1800" w:bottom="1440" w:left="1800" w:header="737" w:footer="737" w:gutter="0"/>
          <w:pgNumType w:fmt="decimal"/>
          <w:cols w:space="0" w:num="1"/>
          <w:rtlGutter w:val="0"/>
          <w:docGrid w:linePitch="0" w:charSpace="0"/>
        </w:sectPr>
      </w:pPr>
      <w:bookmarkStart w:id="33" w:name="_Toc26540"/>
      <w:r>
        <w:rPr>
          <w:rFonts w:hint="eastAsia" w:ascii="宋体" w:hAnsi="宋体" w:eastAsia="方正小标宋简体" w:cs="方正小标宋简体"/>
          <w:sz w:val="44"/>
          <w:szCs w:val="44"/>
          <w:lang w:val="en-US" w:eastAsia="zh-CN"/>
        </w:rPr>
        <w:t>2026年</w:t>
      </w:r>
      <w:bookmarkStart w:id="34" w:name="_Toc1047"/>
      <w:r>
        <w:rPr>
          <w:rFonts w:hint="eastAsia" w:ascii="宋体" w:hAnsi="宋体" w:eastAsia="方正小标宋简体" w:cs="方正小标宋简体"/>
          <w:sz w:val="44"/>
          <w:szCs w:val="44"/>
          <w:lang w:val="en-US" w:eastAsia="zh-CN"/>
        </w:rPr>
        <w:t>单位预算情况说明</w:t>
      </w:r>
      <w:bookmarkEnd w:id="33"/>
      <w:bookmarkEnd w:id="34"/>
    </w:p>
    <w:p>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5" w:name="_Toc31360"/>
      <w:r>
        <w:rPr>
          <w:rFonts w:hint="eastAsia" w:ascii="宋体" w:hAnsi="宋体" w:eastAsia="黑体"/>
          <w:color w:val="333333"/>
        </w:rPr>
        <w:t>一、收支预算情况说明</w:t>
      </w:r>
      <w:bookmarkEnd w:id="35"/>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五通桥区融媒体中心所有收入和支出均纳入部门预算管理。收入包括：一般公共预算拨款收入；支出包括：一般公共服务支出、社会保障和就业支出、卫生健康支出、住房保障支出。五通桥区融媒体中心2026年收支预算总数786.76万元,比2025年收支预算总数</w:t>
      </w:r>
      <w:r>
        <w:rPr>
          <w:rFonts w:hint="eastAsia" w:ascii="宋体" w:hAnsi="宋体"/>
          <w:sz w:val="32"/>
          <w:lang w:val="en-US" w:eastAsia="zh-CN"/>
        </w:rPr>
        <w:t>750.84</w:t>
      </w:r>
      <w:r>
        <w:rPr>
          <w:rFonts w:hint="eastAsia" w:ascii="宋体" w:hAnsi="宋体"/>
          <w:sz w:val="32"/>
          <w:lang w:val="en-US" w:eastAsia="zh-CN"/>
        </w:rPr>
        <w:t>万元增加35.92万元。主要原因：一般公共服务支出比上年增加30.86万元、社会保障和就业支出比上年增加4.25万元、卫生健康支出比上年增加1.53万元</w:t>
      </w:r>
      <w:r>
        <w:rPr>
          <w:rFonts w:hint="eastAsia" w:ascii="宋体" w:hAnsi="宋体"/>
          <w:b w:val="0"/>
          <w:bCs w:val="0"/>
          <w:sz w:val="32"/>
          <w:lang w:val="en-US" w:eastAsia="zh-CN"/>
        </w:rPr>
        <w:t>、住房保障支出</w:t>
      </w:r>
      <w:r>
        <w:rPr>
          <w:rFonts w:hint="eastAsia" w:ascii="宋体" w:hAnsi="宋体"/>
          <w:sz w:val="32"/>
          <w:lang w:val="en-US" w:eastAsia="zh-CN"/>
        </w:rPr>
        <w:t>比上年减少0.72万元所致。</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10234"/>
      <w:r>
        <w:rPr>
          <w:rFonts w:ascii="宋体" w:hAnsi="宋体"/>
        </w:rPr>
        <w:t>（一）收入预算情况</w:t>
      </w:r>
      <w:bookmarkEnd w:id="3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融媒体中心2026年收入预算786.76万元，其中：上年结转0万元，占0%；一般公共预算拨款收入786.76万元，占100%；政府基金预算拨款收入0万元，占0%；事业收入0万元，占0%；事业单位经营收入0万元，占0%；其他收入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9173"/>
      <w:r>
        <w:rPr>
          <w:rFonts w:ascii="宋体" w:hAnsi="宋体"/>
        </w:rPr>
        <w:t>（二）支出预算情况</w:t>
      </w:r>
      <w:bookmarkEnd w:id="3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五通桥区融媒体中心2026年支出预算786.76万元，其中：人员支出527.29万元，日常公用支出66.81万元，对个人和家庭的补助支出20.17万元，专项支出172.50万元。</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16603"/>
      <w:r>
        <w:rPr>
          <w:rFonts w:hint="eastAsia" w:ascii="宋体" w:hAnsi="宋体" w:eastAsia="黑体"/>
          <w:color w:val="333333"/>
        </w:rPr>
        <w:t>二、财政拨款收支预算情况说明</w:t>
      </w:r>
      <w:bookmarkEnd w:id="3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五通桥区融媒体中心2026年财政拨款收支预算总数</w:t>
      </w:r>
      <w:r>
        <w:rPr>
          <w:rFonts w:hint="eastAsia" w:ascii="宋体" w:hAnsi="宋体"/>
          <w:sz w:val="32"/>
          <w:lang w:val="en-US" w:eastAsia="zh-CN"/>
        </w:rPr>
        <w:t>786.76</w:t>
      </w:r>
      <w:r>
        <w:rPr>
          <w:rFonts w:hint="eastAsia" w:ascii="宋体" w:hAnsi="宋体"/>
          <w:sz w:val="32"/>
          <w:lang w:val="en-US" w:eastAsia="zh-CN"/>
        </w:rPr>
        <w:t>万元,比2025年财政拨款收支预算总数750.85万元</w:t>
      </w:r>
      <w:r>
        <w:rPr>
          <w:rFonts w:hint="eastAsia" w:ascii="宋体" w:hAnsi="宋体"/>
          <w:sz w:val="32"/>
          <w:lang w:val="en-US" w:eastAsia="zh-CN"/>
        </w:rPr>
        <w:t>增加35.92万元。主要原因：一般公共服务支出比上年增加30.86万元、社会保障和就业支出比上年增加4.25万元、卫生健康支出比上年增加1.53万元</w:t>
      </w:r>
      <w:r>
        <w:rPr>
          <w:rFonts w:hint="eastAsia" w:ascii="宋体" w:hAnsi="宋体"/>
          <w:b w:val="0"/>
          <w:bCs w:val="0"/>
          <w:sz w:val="32"/>
          <w:lang w:val="en-US" w:eastAsia="zh-CN"/>
        </w:rPr>
        <w:t>、住房保障支出</w:t>
      </w:r>
      <w:r>
        <w:rPr>
          <w:rFonts w:hint="eastAsia" w:ascii="宋体" w:hAnsi="宋体"/>
          <w:sz w:val="32"/>
          <w:lang w:val="en-US" w:eastAsia="zh-CN"/>
        </w:rPr>
        <w:t>比上年减少0.72万元所致。</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其中：基本支出614.26万元，占78.07%；项目支出172.50万元，占21.93%。</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基本支出，是用于保障五通桥区融媒体中心正常运转的日常支出，包括基本工资、津贴补贴等人员经费以及办公费、印刷费、水电费、办公设备购置等日常公用经费。</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项目支出，是用于保障五通桥区融媒体中心为完成特定的行政工作任务或事业发展目标，用于专项业务工作的经费支出。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9" w:name="_Toc8120"/>
      <w:r>
        <w:rPr>
          <w:rFonts w:hint="eastAsia" w:ascii="宋体" w:hAnsi="宋体" w:eastAsia="黑体"/>
          <w:color w:val="333333"/>
        </w:rPr>
        <w:t>三、一般公共预算当年拨款情况说明</w:t>
      </w:r>
      <w:bookmarkEnd w:id="39"/>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27207"/>
      <w:r>
        <w:rPr>
          <w:rFonts w:ascii="宋体" w:hAnsi="宋体"/>
        </w:rPr>
        <w:t>（一）一般公共预算当年拨款规模变化情况</w:t>
      </w:r>
      <w:bookmarkEnd w:id="4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五通桥区融媒体中心2026年一般公共预算当年拨款750.84万元，比2025年财政拨款收支预算总数</w:t>
      </w:r>
      <w:r>
        <w:rPr>
          <w:rFonts w:hint="eastAsia" w:ascii="宋体" w:hAnsi="宋体"/>
          <w:sz w:val="32"/>
          <w:lang w:val="en-US" w:eastAsia="zh-CN"/>
        </w:rPr>
        <w:t>786.76</w:t>
      </w:r>
      <w:r>
        <w:rPr>
          <w:rFonts w:hint="eastAsia" w:ascii="宋体" w:hAnsi="宋体"/>
          <w:sz w:val="32"/>
          <w:lang w:val="en-US" w:eastAsia="zh-CN"/>
        </w:rPr>
        <w:t>万元</w:t>
      </w:r>
      <w:r>
        <w:rPr>
          <w:rFonts w:hint="eastAsia" w:ascii="宋体" w:hAnsi="宋体"/>
          <w:sz w:val="32"/>
          <w:lang w:val="en-US" w:eastAsia="zh-CN"/>
        </w:rPr>
        <w:t>增加35.92万元。主要原因：一般公共服务支出比上年增加30.86万元、社会保障和就业支出比上年增加4.25万元、卫生健康支出比上年增加1.53万元</w:t>
      </w:r>
      <w:r>
        <w:rPr>
          <w:rFonts w:hint="eastAsia" w:ascii="宋体" w:hAnsi="宋体"/>
          <w:b w:val="0"/>
          <w:bCs w:val="0"/>
          <w:sz w:val="32"/>
          <w:lang w:val="en-US" w:eastAsia="zh-CN"/>
        </w:rPr>
        <w:t>、住房保障支出</w:t>
      </w:r>
      <w:r>
        <w:rPr>
          <w:rFonts w:hint="eastAsia" w:ascii="宋体" w:hAnsi="宋体"/>
          <w:sz w:val="32"/>
          <w:lang w:val="en-US" w:eastAsia="zh-CN"/>
        </w:rPr>
        <w:t>比上年减少0.72万元所致。</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1" w:name="_Toc31317"/>
      <w:r>
        <w:rPr>
          <w:rFonts w:ascii="宋体" w:hAnsi="宋体"/>
        </w:rPr>
        <w:t>（二）一般公共预算当年拨款结构情况</w:t>
      </w:r>
      <w:bookmarkEnd w:id="4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融媒体中心2026年一般公共预算支出786.76万元，主要包括一般公共服务支出617.32万元，占78.46%；外交支出0万元，占0%；国防支出0万元，占0%；公共安全支出0万元，占0%；教育支出0万元，占0%；科学技术支出0万元，占0%；文化旅游体育与传媒支出0万元，占0%；社会保障和就业支出103.94万元，占13.21%；卫生健康支出22.61万元，占2.87%；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42.89万元，占5.45%；粮油物资储备支出0万元，占0%；灾害防治及应急管理支出0万元，占0%；预备费0万元，占0%；其他支出0万元，占0%；转移性支出0万元，占0%；债务还本支出0万元，占0%；债务付息支出0万元，占0%；债务发行费支出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2" w:name="_Toc19311"/>
      <w:r>
        <w:rPr>
          <w:rFonts w:ascii="宋体" w:hAnsi="宋体"/>
        </w:rPr>
        <w:t>（三）一般公共预算当年拨款具体使用情况</w:t>
      </w:r>
      <w:bookmarkEnd w:id="42"/>
    </w:p>
    <w:p>
      <w:pPr>
        <w:pStyle w:val="21"/>
        <w:spacing w:line="360" w:lineRule="auto"/>
        <w:ind w:firstLine="1280" w:firstLineChars="400"/>
        <w:rPr>
          <w:rFonts w:hint="eastAsia"/>
        </w:rPr>
      </w:pPr>
      <w:r>
        <w:rPr>
          <w:rFonts w:hint="eastAsia"/>
          <w:lang w:val="en-US" w:eastAsia="zh-CN"/>
        </w:rPr>
        <w:t>1.</w:t>
      </w:r>
      <w:r>
        <w:rPr>
          <w:rFonts w:hint="eastAsia"/>
        </w:rPr>
        <w:t xml:space="preserve"> 一般公共服务（类）宣传事务（款）事业运行（项）</w:t>
      </w:r>
    </w:p>
    <w:p>
      <w:pPr>
        <w:pStyle w:val="21"/>
        <w:spacing w:line="360" w:lineRule="auto"/>
        <w:rPr>
          <w:rFonts w:hint="eastAsia"/>
        </w:rPr>
      </w:pPr>
      <w:r>
        <w:rPr>
          <w:rFonts w:hint="eastAsia"/>
          <w:lang w:eastAsia="zh-CN"/>
        </w:rPr>
        <w:t>2026</w:t>
      </w:r>
      <w:r>
        <w:rPr>
          <w:rFonts w:hint="eastAsia"/>
        </w:rPr>
        <w:t>年预算数为</w:t>
      </w:r>
      <w:r>
        <w:rPr>
          <w:rFonts w:hint="eastAsia"/>
          <w:lang w:val="en-US" w:eastAsia="zh-CN"/>
        </w:rPr>
        <w:t>444.83</w:t>
      </w:r>
      <w:r>
        <w:rPr>
          <w:rFonts w:hint="eastAsia"/>
        </w:rPr>
        <w:t>万元，主要用于：事业单位正常运转</w:t>
      </w:r>
    </w:p>
    <w:p>
      <w:pPr>
        <w:pStyle w:val="21"/>
        <w:spacing w:line="360" w:lineRule="auto"/>
        <w:rPr>
          <w:rFonts w:hint="eastAsia"/>
        </w:rPr>
      </w:pPr>
      <w:r>
        <w:rPr>
          <w:rFonts w:hint="eastAsia"/>
        </w:rPr>
        <w:t>的基本支出，包括基本工资、津贴补贴等人员经费以及办公</w:t>
      </w:r>
    </w:p>
    <w:p>
      <w:pPr>
        <w:pStyle w:val="21"/>
        <w:spacing w:line="360" w:lineRule="auto"/>
        <w:rPr>
          <w:rFonts w:hint="eastAsia"/>
        </w:rPr>
      </w:pPr>
      <w:r>
        <w:rPr>
          <w:rFonts w:hint="eastAsia"/>
        </w:rPr>
        <w:t>费、印刷费、水电费等日常公用经费。</w:t>
      </w:r>
    </w:p>
    <w:p>
      <w:pPr>
        <w:pStyle w:val="21"/>
        <w:numPr>
          <w:ilvl w:val="0"/>
          <w:numId w:val="0"/>
        </w:numPr>
        <w:spacing w:line="360" w:lineRule="auto"/>
        <w:ind w:left="638" w:leftChars="290" w:right="0" w:rightChars="0" w:firstLine="640" w:firstLineChars="200"/>
        <w:rPr>
          <w:rFonts w:hint="eastAsia"/>
        </w:rPr>
      </w:pPr>
      <w:r>
        <w:rPr>
          <w:rFonts w:hint="eastAsia"/>
          <w:lang w:val="en-US" w:eastAsia="zh-CN"/>
        </w:rPr>
        <w:t>2.</w:t>
      </w:r>
      <w:r>
        <w:rPr>
          <w:rFonts w:hint="eastAsia"/>
        </w:rPr>
        <w:t>一般公共服务（类）宣传事务（款）其他宣传事务（项）:</w:t>
      </w:r>
      <w:r>
        <w:rPr>
          <w:rFonts w:hint="eastAsia"/>
          <w:lang w:eastAsia="zh-CN"/>
        </w:rPr>
        <w:t>2026</w:t>
      </w:r>
      <w:r>
        <w:rPr>
          <w:rFonts w:hint="eastAsia"/>
        </w:rPr>
        <w:t>年预算数为</w:t>
      </w:r>
      <w:r>
        <w:rPr>
          <w:rFonts w:hint="eastAsia"/>
          <w:lang w:val="en-US" w:eastAsia="zh-CN"/>
        </w:rPr>
        <w:t>172.50</w:t>
      </w:r>
      <w:r>
        <w:rPr>
          <w:rFonts w:hint="eastAsia"/>
        </w:rPr>
        <w:t>万元，主要用于：全区党报党</w:t>
      </w:r>
    </w:p>
    <w:p>
      <w:pPr>
        <w:pStyle w:val="21"/>
        <w:numPr>
          <w:ilvl w:val="0"/>
          <w:numId w:val="0"/>
        </w:numPr>
        <w:spacing w:line="360" w:lineRule="auto"/>
        <w:ind w:right="0" w:rightChars="0" w:firstLine="640" w:firstLineChars="200"/>
        <w:rPr>
          <w:rFonts w:hint="eastAsia"/>
        </w:rPr>
      </w:pPr>
      <w:r>
        <w:rPr>
          <w:rFonts w:hint="eastAsia"/>
        </w:rPr>
        <w:t>刊征订、媒体合作等项目支出。</w:t>
      </w:r>
    </w:p>
    <w:p>
      <w:pPr>
        <w:pStyle w:val="21"/>
        <w:numPr>
          <w:ilvl w:val="0"/>
          <w:numId w:val="0"/>
        </w:numPr>
        <w:spacing w:line="360" w:lineRule="auto"/>
        <w:ind w:right="0" w:rightChars="0" w:firstLine="1280" w:firstLineChars="400"/>
        <w:rPr>
          <w:rFonts w:hint="eastAsia" w:hAnsi="Calibri" w:cs="宋体"/>
          <w:lang w:val="en-US" w:eastAsia="zh-CN"/>
        </w:rPr>
      </w:pPr>
      <w:r>
        <w:rPr>
          <w:rFonts w:hint="eastAsia" w:cs="宋体"/>
          <w:lang w:val="en-US" w:eastAsia="zh-CN"/>
        </w:rPr>
        <w:t>3</w:t>
      </w:r>
      <w:r>
        <w:rPr>
          <w:rFonts w:hint="eastAsia" w:hAnsi="Calibri" w:cs="宋体"/>
          <w:lang w:val="en-US" w:eastAsia="zh-CN"/>
        </w:rPr>
        <w:t>.社会保障和就业（类）行政事业单位离退休（款）</w:t>
      </w:r>
    </w:p>
    <w:p>
      <w:pPr>
        <w:pStyle w:val="21"/>
        <w:numPr>
          <w:ilvl w:val="0"/>
          <w:numId w:val="0"/>
        </w:numPr>
        <w:spacing w:line="360" w:lineRule="auto"/>
        <w:ind w:left="638" w:leftChars="290" w:right="0" w:rightChars="0" w:firstLine="0" w:firstLineChars="0"/>
        <w:rPr>
          <w:rFonts w:hint="eastAsia" w:hAnsi="Calibri" w:cs="宋体"/>
          <w:lang w:val="en-US" w:eastAsia="zh-CN"/>
        </w:rPr>
      </w:pPr>
      <w:r>
        <w:rPr>
          <w:rFonts w:hint="eastAsia" w:hAnsi="Calibri" w:cs="宋体"/>
          <w:lang w:val="en-US" w:eastAsia="zh-CN"/>
        </w:rPr>
        <w:t>机关事业单位基本养老保险缴费支出（项）:</w:t>
      </w:r>
      <w:r>
        <w:rPr>
          <w:rFonts w:hint="eastAsia" w:cs="宋体"/>
          <w:lang w:val="en-US" w:eastAsia="zh-CN"/>
        </w:rPr>
        <w:t>2026</w:t>
      </w:r>
      <w:r>
        <w:rPr>
          <w:rFonts w:hint="eastAsia" w:hAnsi="Calibri" w:cs="宋体"/>
          <w:lang w:val="en-US" w:eastAsia="zh-CN"/>
        </w:rPr>
        <w:t>年预算数</w:t>
      </w:r>
    </w:p>
    <w:p>
      <w:pPr>
        <w:pStyle w:val="21"/>
        <w:numPr>
          <w:ilvl w:val="0"/>
          <w:numId w:val="0"/>
        </w:numPr>
        <w:spacing w:line="360" w:lineRule="auto"/>
        <w:ind w:left="638" w:leftChars="290" w:right="0" w:rightChars="0" w:firstLine="0" w:firstLineChars="0"/>
        <w:rPr>
          <w:rFonts w:hint="eastAsia" w:ascii="宋体" w:hAnsi="宋体"/>
          <w:sz w:val="32"/>
          <w:lang w:val="en-US" w:eastAsia="zh-CN"/>
        </w:rPr>
      </w:pPr>
      <w:r>
        <w:rPr>
          <w:rFonts w:hint="eastAsia" w:hAnsi="Calibri" w:cs="宋体"/>
          <w:lang w:val="en-US" w:eastAsia="zh-CN"/>
        </w:rPr>
        <w:t>为</w:t>
      </w:r>
      <w:r>
        <w:rPr>
          <w:rFonts w:hint="eastAsia" w:ascii="宋体" w:hAnsi="宋体"/>
          <w:sz w:val="32"/>
          <w:lang w:val="en-US" w:eastAsia="zh-CN"/>
        </w:rPr>
        <w:t>53.99万元，主要用于：实施养老保险制度后，部门按规</w:t>
      </w:r>
    </w:p>
    <w:p>
      <w:pPr>
        <w:pStyle w:val="21"/>
        <w:numPr>
          <w:ilvl w:val="0"/>
          <w:numId w:val="0"/>
        </w:numPr>
        <w:spacing w:line="360" w:lineRule="auto"/>
        <w:ind w:left="638" w:leftChars="290" w:right="0" w:rightChars="0" w:firstLine="0" w:firstLineChars="0"/>
        <w:rPr>
          <w:rFonts w:hint="eastAsia" w:ascii="宋体" w:hAnsi="宋体"/>
          <w:sz w:val="32"/>
          <w:lang w:val="en-US" w:eastAsia="zh-CN"/>
        </w:rPr>
      </w:pPr>
      <w:r>
        <w:rPr>
          <w:rFonts w:hint="eastAsia" w:ascii="宋体" w:hAnsi="宋体"/>
          <w:sz w:val="32"/>
          <w:lang w:val="en-US" w:eastAsia="zh-CN"/>
        </w:rPr>
        <w:t>定由单位缴纳的基本养老保险费支出。</w:t>
      </w:r>
    </w:p>
    <w:p>
      <w:pPr>
        <w:pStyle w:val="16"/>
        <w:keepNext w:val="0"/>
        <w:keepLines w:val="0"/>
        <w:pageBreakBefore w:val="0"/>
        <w:widowControl w:val="0"/>
        <w:numPr>
          <w:ilvl w:val="0"/>
          <w:numId w:val="3"/>
        </w:numPr>
        <w:tabs>
          <w:tab w:val="left" w:pos="1784"/>
          <w:tab w:val="clear" w:pos="312"/>
        </w:tabs>
        <w:kinsoku/>
        <w:wordWrap/>
        <w:overflowPunct/>
        <w:topLinePunct w:val="0"/>
        <w:autoSpaceDE w:val="0"/>
        <w:autoSpaceDN w:val="0"/>
        <w:bidi w:val="0"/>
        <w:adjustRightInd/>
        <w:snapToGrid/>
        <w:spacing w:before="0" w:beforeLines="100" w:after="0" w:afterLines="50" w:line="360" w:lineRule="auto"/>
        <w:ind w:left="638" w:leftChars="29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社会保障和就业（类）行政事业单位离退休（款）机关事业单位职业年金缴费支出（项）:2026年预算数为27万元，主要用于：实施养老保险制度后，部门按规定由单位缴纳的职业年金支出。</w:t>
      </w:r>
    </w:p>
    <w:p>
      <w:pPr>
        <w:pStyle w:val="21"/>
        <w:numPr>
          <w:ilvl w:val="0"/>
          <w:numId w:val="0"/>
        </w:numPr>
        <w:spacing w:line="360" w:lineRule="auto"/>
        <w:ind w:leftChars="500" w:right="0" w:rightChars="0" w:firstLine="320" w:firstLineChars="100"/>
        <w:rPr>
          <w:rFonts w:hint="eastAsia"/>
          <w:lang w:eastAsia="zh-CN"/>
        </w:rPr>
      </w:pPr>
      <w:r>
        <w:rPr>
          <w:rFonts w:hint="eastAsia"/>
          <w:lang w:val="en-US" w:eastAsia="zh-CN"/>
        </w:rPr>
        <w:t>5.</w:t>
      </w:r>
      <w:r>
        <w:rPr>
          <w:rFonts w:hint="eastAsia"/>
        </w:rPr>
        <w:t>社会保障和就业（类）行政事业单位离退休（款）</w:t>
      </w:r>
      <w:r>
        <w:rPr>
          <w:rFonts w:hint="eastAsia"/>
          <w:lang w:eastAsia="zh-CN"/>
        </w:rPr>
        <w:t>：</w:t>
      </w:r>
    </w:p>
    <w:p>
      <w:pPr>
        <w:pStyle w:val="21"/>
        <w:numPr>
          <w:ilvl w:val="0"/>
          <w:numId w:val="0"/>
        </w:numPr>
        <w:spacing w:line="360" w:lineRule="auto"/>
        <w:ind w:right="0" w:rightChars="0" w:firstLine="640" w:firstLineChars="200"/>
        <w:rPr>
          <w:rFonts w:hint="default"/>
          <w:lang w:val="en-US" w:eastAsia="zh-CN"/>
        </w:rPr>
      </w:pPr>
      <w:r>
        <w:rPr>
          <w:rFonts w:hint="eastAsia"/>
        </w:rPr>
        <w:t>其他行政事业单位离退休支出（项）:</w:t>
      </w:r>
      <w:r>
        <w:rPr>
          <w:rFonts w:hint="eastAsia"/>
          <w:lang w:eastAsia="zh-CN"/>
        </w:rPr>
        <w:t>2026</w:t>
      </w:r>
      <w:r>
        <w:rPr>
          <w:rFonts w:hint="eastAsia"/>
        </w:rPr>
        <w:t>年预算数为</w:t>
      </w:r>
      <w:r>
        <w:rPr>
          <w:rFonts w:hint="eastAsia"/>
          <w:lang w:val="en-US" w:eastAsia="zh-CN"/>
        </w:rPr>
        <w:t>18.26</w:t>
      </w:r>
    </w:p>
    <w:p>
      <w:pPr>
        <w:pStyle w:val="21"/>
        <w:numPr>
          <w:ilvl w:val="0"/>
          <w:numId w:val="0"/>
        </w:numPr>
        <w:spacing w:line="360" w:lineRule="auto"/>
        <w:ind w:right="0" w:rightChars="0" w:firstLine="640" w:firstLineChars="200"/>
        <w:rPr>
          <w:rFonts w:hint="eastAsia" w:ascii="宋体" w:hAnsi="宋体"/>
          <w:sz w:val="32"/>
          <w:lang w:val="en-US" w:eastAsia="zh-CN"/>
        </w:rPr>
      </w:pPr>
      <w:r>
        <w:rPr>
          <w:rFonts w:hint="eastAsia"/>
        </w:rPr>
        <w:t>万元，主要用于：退休人员经费支出。</w:t>
      </w:r>
    </w:p>
    <w:p>
      <w:pPr>
        <w:pStyle w:val="21"/>
        <w:numPr>
          <w:ilvl w:val="0"/>
          <w:numId w:val="0"/>
        </w:numPr>
        <w:spacing w:line="360" w:lineRule="auto"/>
        <w:ind w:leftChars="500" w:right="0" w:rightChars="0" w:firstLine="320" w:firstLineChars="100"/>
        <w:rPr>
          <w:rFonts w:hint="eastAsia"/>
          <w:lang w:eastAsia="zh-CN"/>
        </w:rPr>
      </w:pPr>
      <w:r>
        <w:rPr>
          <w:rFonts w:hint="eastAsia"/>
          <w:lang w:val="en-US" w:eastAsia="zh-CN"/>
        </w:rPr>
        <w:t>6.</w:t>
      </w:r>
      <w:r>
        <w:rPr>
          <w:rFonts w:hint="eastAsia"/>
        </w:rPr>
        <w:t>社会保障和就业（类）其他社会保障和就业支出（款）</w:t>
      </w:r>
      <w:r>
        <w:rPr>
          <w:rFonts w:hint="eastAsia"/>
          <w:lang w:eastAsia="zh-CN"/>
        </w:rPr>
        <w:t>：</w:t>
      </w:r>
    </w:p>
    <w:p>
      <w:pPr>
        <w:pStyle w:val="21"/>
        <w:numPr>
          <w:ilvl w:val="0"/>
          <w:numId w:val="0"/>
        </w:numPr>
        <w:spacing w:line="360" w:lineRule="auto"/>
        <w:ind w:left="638" w:leftChars="290" w:right="0" w:rightChars="0" w:firstLine="0" w:firstLineChars="0"/>
        <w:rPr>
          <w:rFonts w:hint="eastAsia"/>
        </w:rPr>
      </w:pPr>
      <w:r>
        <w:rPr>
          <w:rFonts w:hint="eastAsia"/>
        </w:rPr>
        <w:t>其他社会保障和就业支出（项）:</w:t>
      </w:r>
      <w:r>
        <w:rPr>
          <w:rFonts w:hint="eastAsia"/>
          <w:lang w:eastAsia="zh-CN"/>
        </w:rPr>
        <w:t>2026</w:t>
      </w:r>
      <w:r>
        <w:rPr>
          <w:rFonts w:hint="eastAsia"/>
        </w:rPr>
        <w:t>年预算数为</w:t>
      </w:r>
      <w:r>
        <w:rPr>
          <w:rFonts w:hint="eastAsia"/>
          <w:lang w:val="en-US" w:eastAsia="zh-CN"/>
        </w:rPr>
        <w:t>4.68</w:t>
      </w:r>
      <w:r>
        <w:rPr>
          <w:rFonts w:hint="eastAsia"/>
        </w:rPr>
        <w:t>万元，主</w:t>
      </w:r>
    </w:p>
    <w:p>
      <w:pPr>
        <w:pStyle w:val="21"/>
        <w:numPr>
          <w:ilvl w:val="0"/>
          <w:numId w:val="0"/>
        </w:numPr>
        <w:spacing w:line="360" w:lineRule="auto"/>
        <w:ind w:left="638" w:leftChars="290" w:right="0" w:rightChars="0" w:firstLine="0" w:firstLineChars="0"/>
        <w:rPr>
          <w:rFonts w:hint="eastAsia"/>
          <w:lang w:val="en-US" w:eastAsia="zh-CN"/>
        </w:rPr>
      </w:pPr>
      <w:r>
        <w:rPr>
          <w:rFonts w:hint="eastAsia"/>
        </w:rPr>
        <w:t>要用于：其他社会保障和就业</w:t>
      </w:r>
      <w:r>
        <w:rPr>
          <w:rFonts w:hint="eastAsia"/>
          <w:lang w:eastAsia="zh-CN"/>
        </w:rPr>
        <w:t>方面的</w:t>
      </w:r>
      <w:r>
        <w:rPr>
          <w:rFonts w:hint="eastAsia"/>
        </w:rPr>
        <w:t>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7.卫生健康（类）行政事业单位医疗（款）事业单位医疗（项）:2026年预算数为17.11万元，主要用于：部门下属事业单位基本医疗保险缴费支出。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8.卫生健康（类）行政事业单位医疗（款）公务员医疗补助（项）:2026年预算数为5.50万元，主要用于：机关及参公管理事业单位公务员医疗补助保险缴费支出。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rPr>
      </w:pPr>
      <w:r>
        <w:rPr>
          <w:rFonts w:hint="eastAsia" w:ascii="宋体" w:hAnsi="宋体"/>
          <w:sz w:val="32"/>
          <w:lang w:val="en-US" w:eastAsia="zh-CN"/>
        </w:rPr>
        <w:t>9.住房保障（类）住房改革支出（款）住房公积金（项）:2026年预算数为42.89万元，主要用于：部门按人力资源和社会保障部、财政部规定的基本工资和津贴补贴以及规定比例为职工缴纳的住房公积金支出。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8964"/>
      <w:r>
        <w:rPr>
          <w:rFonts w:hint="eastAsia" w:ascii="宋体" w:hAnsi="宋体" w:eastAsia="黑体"/>
          <w:color w:val="333333"/>
        </w:rPr>
        <w:t>四、一般公共预算基本支出情况说明</w:t>
      </w:r>
      <w:bookmarkEnd w:id="4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五通桥区融媒体中心2026年一般公共预算基本支出614.26万元，其中：</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547.46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66.81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4" w:name="_Toc3977"/>
      <w:r>
        <w:rPr>
          <w:rFonts w:hint="eastAsia" w:ascii="宋体" w:hAnsi="宋体" w:eastAsia="黑体"/>
          <w:color w:val="333333"/>
        </w:rPr>
        <w:t>五、“三公”经费财政拨款预算安排情况说明</w:t>
      </w:r>
      <w:bookmarkEnd w:id="4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五通桥区融媒体中心2026年“三公”经费财政拨款预算数0.54万元，其中：公务接待费0.24万元，公务用车购置0万元，公车运行维护费0.30万元。</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2026年公务接待费计划用于日常运转及特定工作等的接待事项等。</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13406"/>
      <w:r>
        <w:rPr>
          <w:rFonts w:ascii="宋体" w:hAnsi="宋体"/>
        </w:rPr>
        <w:t>（一）</w:t>
      </w:r>
      <w:r>
        <w:rPr>
          <w:rFonts w:hint="eastAsia" w:ascii="宋体" w:hAnsi="宋体"/>
          <w:lang w:val="en-US" w:eastAsia="zh-CN"/>
        </w:rPr>
        <w:t>公务接待费变化情况</w:t>
      </w:r>
      <w:bookmarkEnd w:id="45"/>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0.8</w:t>
      </w:r>
      <w:r>
        <w:rPr>
          <w:rFonts w:hint="default" w:ascii="宋体" w:hAnsi="宋体"/>
          <w:sz w:val="32"/>
          <w:lang w:val="en-US" w:eastAsia="zh-CN"/>
        </w:rPr>
        <w:t>万元减少</w:t>
      </w:r>
      <w:r>
        <w:rPr>
          <w:rFonts w:hint="eastAsia" w:ascii="宋体" w:hAnsi="宋体"/>
          <w:sz w:val="32"/>
          <w:lang w:val="en-US" w:eastAsia="zh-CN"/>
        </w:rPr>
        <w:t>0.56</w:t>
      </w:r>
      <w:r>
        <w:rPr>
          <w:rFonts w:hint="default" w:ascii="宋体" w:hAnsi="宋体"/>
          <w:sz w:val="32"/>
          <w:lang w:val="en-US" w:eastAsia="zh-CN"/>
        </w:rPr>
        <w:t>万元。主要原因是厉行节约，压缩接待规模和接待费用。</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6" w:name="_Toc31262"/>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0.5</w:t>
      </w:r>
      <w:r>
        <w:rPr>
          <w:rFonts w:hint="default" w:ascii="宋体" w:hAnsi="宋体"/>
          <w:sz w:val="32"/>
          <w:lang w:val="en-US" w:eastAsia="zh-CN"/>
        </w:rPr>
        <w:t>万元预算</w:t>
      </w:r>
      <w:r>
        <w:rPr>
          <w:rFonts w:hint="eastAsia" w:ascii="宋体" w:hAnsi="宋体"/>
          <w:sz w:val="32"/>
          <w:lang w:val="en-US" w:eastAsia="zh-CN"/>
        </w:rPr>
        <w:t>减少0.2万元</w:t>
      </w:r>
      <w:r>
        <w:rPr>
          <w:rFonts w:hint="default" w:ascii="宋体" w:hAnsi="宋体"/>
          <w:sz w:val="32"/>
          <w:lang w:val="en-US" w:eastAsia="zh-CN"/>
        </w:rPr>
        <w:t>。主要原因是厉行节约，规范公务出行，尽量乘坐公共交通工具。</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1</w:t>
      </w:r>
      <w:r>
        <w:rPr>
          <w:rFonts w:hint="default" w:ascii="宋体" w:hAnsi="宋体"/>
          <w:sz w:val="32"/>
          <w:lang w:val="en-US" w:eastAsia="zh-CN"/>
        </w:rPr>
        <w:t>辆，其中：轿车</w:t>
      </w:r>
      <w:r>
        <w:rPr>
          <w:rFonts w:hint="eastAsia" w:ascii="宋体" w:hAnsi="宋体"/>
          <w:sz w:val="32"/>
          <w:lang w:val="en-US" w:eastAsia="zh-CN"/>
        </w:rPr>
        <w:t>1</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0.30</w:t>
      </w:r>
      <w:r>
        <w:rPr>
          <w:rFonts w:hint="default" w:ascii="宋体" w:hAnsi="宋体"/>
          <w:sz w:val="32"/>
          <w:lang w:val="en-US" w:eastAsia="zh-CN"/>
        </w:rPr>
        <w:t>万元，</w:t>
      </w:r>
      <w:r>
        <w:rPr>
          <w:rFonts w:hint="eastAsia" w:ascii="宋体" w:hAnsi="宋体"/>
          <w:sz w:val="32"/>
          <w:lang w:val="en-US" w:eastAsia="zh-CN"/>
        </w:rPr>
        <w:t>用于1</w:t>
      </w:r>
      <w:r>
        <w:rPr>
          <w:rFonts w:hint="default" w:ascii="宋体" w:hAnsi="宋体"/>
          <w:sz w:val="32"/>
          <w:lang w:val="en-US" w:eastAsia="zh-CN"/>
        </w:rPr>
        <w:t>辆公务用车</w:t>
      </w:r>
      <w:r>
        <w:rPr>
          <w:rFonts w:hint="eastAsia" w:ascii="宋体" w:hAnsi="宋体"/>
          <w:sz w:val="32"/>
          <w:lang w:val="en-US" w:eastAsia="zh-CN"/>
        </w:rPr>
        <w:t>开展日常运转及特定工作等</w:t>
      </w:r>
      <w:r>
        <w:rPr>
          <w:rFonts w:hint="default" w:ascii="宋体" w:hAnsi="宋体"/>
          <w:sz w:val="32"/>
          <w:lang w:val="en-US" w:eastAsia="zh-CN"/>
        </w:rPr>
        <w:t>所需的公务用车汽油费、维修费、过路过桥费、保险费、停车费等支出。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29142"/>
      <w:r>
        <w:rPr>
          <w:rFonts w:hint="eastAsia" w:ascii="宋体" w:hAnsi="宋体" w:eastAsia="黑体"/>
          <w:color w:val="333333"/>
        </w:rPr>
        <w:t>六、政府性基金预算支出情况说明</w:t>
      </w:r>
      <w:bookmarkEnd w:id="4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五通桥区融媒体中心2026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0万元，较上年预算数0万元持平。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8" w:name="_Toc16056"/>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五通桥区融媒体中心2026年国有资本经营预算拨款安排支出0万元,较上年预算数持平。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9" w:name="_Toc20258"/>
      <w:r>
        <w:rPr>
          <w:rFonts w:hint="eastAsia" w:ascii="宋体" w:hAnsi="宋体" w:eastAsia="黑体"/>
          <w:color w:val="333333"/>
          <w:lang w:val="en-US" w:eastAsia="zh-CN"/>
        </w:rPr>
        <w:t>八、其他重要事项的情况说明</w:t>
      </w:r>
      <w:bookmarkEnd w:id="49"/>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50" w:name="_Toc16165"/>
      <w:r>
        <w:rPr>
          <w:rFonts w:ascii="宋体" w:hAnsi="宋体"/>
        </w:rPr>
        <w:t>（一）机关运行经费情况</w:t>
      </w:r>
      <w:bookmarkEnd w:id="5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2026年，五通桥区融媒体中心的机关运行经费财政拨款预算为66.81万元，比2025年预算64万元增加2.81万元，增长4.39%。主要原因是办公费、差旅费、其他商品和服务支出等增加所致。</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14338"/>
      <w:r>
        <w:rPr>
          <w:rFonts w:ascii="宋体" w:hAnsi="宋体"/>
        </w:rPr>
        <w:t>（二）政府采购情况</w:t>
      </w:r>
      <w:bookmarkEnd w:id="5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2026年，五通桥区融媒体中心政府采购项目0万元。其中，政府采购货物预算0万元；政府采购工程预算0万元；政府采购服务预算0万元。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11436"/>
      <w:r>
        <w:rPr>
          <w:rFonts w:ascii="宋体" w:hAnsi="宋体"/>
        </w:rPr>
        <w:t>（三）国有资产占有使用情况</w:t>
      </w:r>
      <w:bookmarkEnd w:id="52"/>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截至2026年底，五通桥区融媒体中心所属各预算单位共有车辆1辆。单位价值100万元以上大型设备0套。</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3" w:name="_Toc17185"/>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2026年五通桥区融媒体中心开展绩效目标管理的项目25个，涉及预算786.76万元。其中：人员类项目12个，涉及预算547.45万元；运转类项目3个，涉及预算66.81万元；特定目标类项目10个，涉及预算172.5万元。</w:t>
      </w:r>
    </w:p>
    <w:p>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jc w:val="center"/>
        <w:outlineLvl w:val="0"/>
        <w:rPr>
          <w:rFonts w:hint="eastAsia" w:ascii="宋体" w:hAnsi="宋体" w:eastAsia="方正小标宋简体" w:cs="方正小标宋简体"/>
          <w:sz w:val="52"/>
          <w:szCs w:val="52"/>
          <w:lang w:val="en-US" w:eastAsia="zh-CN"/>
        </w:rPr>
      </w:pPr>
      <w:bookmarkStart w:id="54" w:name="_Toc11221"/>
      <w:r>
        <w:rPr>
          <w:rFonts w:hint="eastAsia" w:ascii="宋体" w:hAnsi="宋体" w:eastAsia="方正小标宋简体" w:cs="方正小标宋简体"/>
          <w:sz w:val="52"/>
          <w:szCs w:val="52"/>
          <w:lang w:val="en-US" w:eastAsia="zh-CN"/>
        </w:rPr>
        <w:t>第四部分  名词解释</w:t>
      </w:r>
      <w:bookmarkEnd w:id="54"/>
    </w:p>
    <w:p>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1"/>
        <w:spacing w:line="360" w:lineRule="auto"/>
        <w:ind w:firstLine="1280" w:firstLineChars="400"/>
        <w:rPr>
          <w:rFonts w:hint="eastAsia" w:eastAsia="仿宋_GB2312"/>
          <w:lang w:eastAsia="zh-CN"/>
        </w:rPr>
      </w:pPr>
      <w:r>
        <w:rPr>
          <w:rFonts w:hint="eastAsia"/>
          <w:lang w:val="en-US" w:eastAsia="zh-CN"/>
        </w:rPr>
        <w:t>20.</w:t>
      </w:r>
      <w:r>
        <w:rPr>
          <w:rFonts w:hint="eastAsia"/>
        </w:rPr>
        <w:t>一般公共服务（类）宣传事务（款）事业运行（项）</w:t>
      </w:r>
      <w:r>
        <w:rPr>
          <w:rFonts w:hint="eastAsia"/>
          <w:lang w:eastAsia="zh-CN"/>
        </w:rPr>
        <w:t>，</w:t>
      </w:r>
    </w:p>
    <w:p>
      <w:pPr>
        <w:pStyle w:val="21"/>
        <w:spacing w:line="360" w:lineRule="auto"/>
        <w:rPr>
          <w:rFonts w:hint="eastAsia"/>
        </w:rPr>
      </w:pPr>
      <w:r>
        <w:rPr>
          <w:rFonts w:hint="eastAsia"/>
          <w:lang w:eastAsia="zh-CN"/>
        </w:rPr>
        <w:t>指</w:t>
      </w:r>
      <w:r>
        <w:rPr>
          <w:rFonts w:hint="eastAsia"/>
        </w:rPr>
        <w:t>用于：事业单位正常运转的基本支出，包括基本工资、津</w:t>
      </w:r>
    </w:p>
    <w:p>
      <w:pPr>
        <w:pStyle w:val="21"/>
        <w:spacing w:line="360" w:lineRule="auto"/>
        <w:rPr>
          <w:rFonts w:hint="eastAsia"/>
        </w:rPr>
      </w:pPr>
      <w:r>
        <w:rPr>
          <w:rFonts w:hint="eastAsia"/>
        </w:rPr>
        <w:t>贴补贴等人员经费以及办公费、印刷费、水电费等日常公用</w:t>
      </w:r>
    </w:p>
    <w:p>
      <w:pPr>
        <w:pStyle w:val="21"/>
        <w:spacing w:line="360" w:lineRule="auto"/>
        <w:rPr>
          <w:rFonts w:hint="eastAsia"/>
        </w:rPr>
      </w:pPr>
      <w:r>
        <w:rPr>
          <w:rFonts w:hint="eastAsia"/>
        </w:rPr>
        <w:t>经费。</w:t>
      </w:r>
    </w:p>
    <w:p>
      <w:pPr>
        <w:pStyle w:val="11"/>
        <w:keepNext w:val="0"/>
        <w:keepLines w:val="0"/>
        <w:pageBreakBefore w:val="0"/>
        <w:widowControl/>
        <w:numPr>
          <w:ilvl w:val="0"/>
          <w:numId w:val="0"/>
        </w:numPr>
        <w:suppressLineNumbers w:val="0"/>
        <w:shd w:val="clear" w:fill="FFFFFF"/>
        <w:kinsoku/>
        <w:wordWrap/>
        <w:overflowPunct/>
        <w:topLinePunct w:val="0"/>
        <w:autoSpaceDE w:val="0"/>
        <w:autoSpaceDN w:val="0"/>
        <w:bidi w:val="0"/>
        <w:adjustRightInd/>
        <w:snapToGrid/>
        <w:spacing w:before="20" w:beforeAutospacing="0" w:after="10" w:afterAutospacing="0" w:line="360" w:lineRule="auto"/>
        <w:ind w:right="0" w:rightChars="0" w:firstLine="1280" w:firstLineChars="400"/>
        <w:jc w:val="both"/>
        <w:textAlignment w:val="auto"/>
        <w:rPr>
          <w:rFonts w:hint="eastAsia" w:ascii="宋体" w:hAnsi="宋体" w:eastAsia="仿宋_GB2312" w:cs="仿宋_GB2312"/>
          <w:kern w:val="0"/>
          <w:sz w:val="32"/>
          <w:szCs w:val="22"/>
          <w:lang w:val="en-US" w:eastAsia="zh-CN" w:bidi="zh-CN"/>
        </w:rPr>
      </w:pPr>
      <w:r>
        <w:rPr>
          <w:rFonts w:hint="eastAsia" w:ascii="宋体" w:hAnsi="宋体" w:eastAsia="仿宋_GB2312" w:cs="仿宋_GB2312"/>
          <w:kern w:val="0"/>
          <w:sz w:val="32"/>
          <w:szCs w:val="22"/>
          <w:lang w:val="en-US" w:eastAsia="zh-CN" w:bidi="zh-CN"/>
        </w:rPr>
        <w:t>21.一般公共服务（类）宣传事务（款）其他宣传事务</w:t>
      </w:r>
    </w:p>
    <w:p>
      <w:pPr>
        <w:pStyle w:val="11"/>
        <w:keepNext w:val="0"/>
        <w:keepLines w:val="0"/>
        <w:pageBreakBefore w:val="0"/>
        <w:widowControl/>
        <w:numPr>
          <w:ilvl w:val="0"/>
          <w:numId w:val="0"/>
        </w:numPr>
        <w:suppressLineNumbers w:val="0"/>
        <w:shd w:val="clear" w:fill="FFFFFF"/>
        <w:kinsoku/>
        <w:wordWrap/>
        <w:overflowPunct/>
        <w:topLinePunct w:val="0"/>
        <w:autoSpaceDE w:val="0"/>
        <w:autoSpaceDN w:val="0"/>
        <w:bidi w:val="0"/>
        <w:adjustRightInd/>
        <w:snapToGrid/>
        <w:spacing w:before="20" w:beforeAutospacing="0" w:after="10" w:afterAutospacing="0" w:line="360" w:lineRule="auto"/>
        <w:ind w:right="0" w:rightChars="0" w:firstLine="640" w:firstLineChars="200"/>
        <w:jc w:val="both"/>
        <w:textAlignment w:val="auto"/>
        <w:rPr>
          <w:rFonts w:hint="eastAsia" w:ascii="宋体" w:hAnsi="宋体" w:eastAsia="仿宋_GB2312" w:cs="仿宋_GB2312"/>
          <w:kern w:val="0"/>
          <w:sz w:val="32"/>
          <w:szCs w:val="22"/>
          <w:lang w:val="en-US" w:eastAsia="zh-CN" w:bidi="zh-CN"/>
        </w:rPr>
      </w:pPr>
      <w:r>
        <w:rPr>
          <w:rFonts w:hint="eastAsia" w:ascii="宋体" w:hAnsi="宋体" w:eastAsia="仿宋_GB2312" w:cs="仿宋_GB2312"/>
          <w:kern w:val="0"/>
          <w:sz w:val="32"/>
          <w:szCs w:val="22"/>
          <w:lang w:val="en-US" w:eastAsia="zh-CN" w:bidi="zh-CN"/>
        </w:rPr>
        <w:t>支出（项）：指行政事业单位其他宣传事务方面的支出。</w:t>
      </w:r>
    </w:p>
    <w:p>
      <w:pPr>
        <w:pStyle w:val="21"/>
        <w:spacing w:line="360" w:lineRule="auto"/>
        <w:rPr>
          <w:rFonts w:hint="eastAsia"/>
        </w:rPr>
      </w:pP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35D5FC-934F-49D8-AA09-4A8FE96D78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3AE52D4-F08E-4278-B0D1-2E6560E85221}"/>
  </w:font>
  <w:font w:name="楷体">
    <w:panose1 w:val="02010609060101010101"/>
    <w:charset w:val="86"/>
    <w:family w:val="modern"/>
    <w:pitch w:val="default"/>
    <w:sig w:usb0="800002BF" w:usb1="38CF7CFA" w:usb2="00000016" w:usb3="00000000" w:csb0="00040001" w:csb1="00000000"/>
    <w:embedRegular r:id="rId3" w:fontKey="{77CF36CA-CC94-4BD4-BDCB-9FE9CC181A9F}"/>
  </w:font>
  <w:font w:name="仿宋_GB2312">
    <w:panose1 w:val="02010609030101010101"/>
    <w:charset w:val="86"/>
    <w:family w:val="modern"/>
    <w:pitch w:val="default"/>
    <w:sig w:usb0="00000001" w:usb1="080E0000" w:usb2="00000000" w:usb3="00000000" w:csb0="00040000" w:csb1="00000000"/>
    <w:embedRegular r:id="rId4" w:fontKey="{8D32A797-123F-48BE-98DE-48F4A2F46C38}"/>
  </w:font>
  <w:font w:name="方正小标宋简体">
    <w:panose1 w:val="02000000000000000000"/>
    <w:charset w:val="86"/>
    <w:family w:val="script"/>
    <w:pitch w:val="default"/>
    <w:sig w:usb0="00000001" w:usb1="08000000" w:usb2="00000000" w:usb3="00000000" w:csb0="00040000" w:csb1="00000000"/>
    <w:embedRegular r:id="rId5" w:fontKey="{AD054426-F36E-4340-91D2-8D836FD0A78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0688EE"/>
    <w:multiLevelType w:val="singleLevel"/>
    <w:tmpl w:val="C80688EE"/>
    <w:lvl w:ilvl="0" w:tentative="0">
      <w:start w:val="4"/>
      <w:numFmt w:val="decimal"/>
      <w:lvlText w:val="%1."/>
      <w:lvlJc w:val="left"/>
      <w:pPr>
        <w:tabs>
          <w:tab w:val="left" w:pos="312"/>
        </w:tabs>
      </w:pPr>
    </w:lvl>
  </w:abstractNum>
  <w:abstractNum w:abstractNumId="1">
    <w:nsid w:val="3C57E4DA"/>
    <w:multiLevelType w:val="singleLevel"/>
    <w:tmpl w:val="3C57E4DA"/>
    <w:lvl w:ilvl="0" w:tentative="0">
      <w:start w:val="1"/>
      <w:numFmt w:val="chineseCounting"/>
      <w:suff w:val="space"/>
      <w:lvlText w:val="第%1部分"/>
      <w:lvlJc w:val="left"/>
      <w:rPr>
        <w:rFonts w:hint="eastAsia"/>
      </w:rPr>
    </w:lvl>
  </w:abstractNum>
  <w:abstractNum w:abstractNumId="2">
    <w:nsid w:val="501035D5"/>
    <w:multiLevelType w:val="singleLevel"/>
    <w:tmpl w:val="501035D5"/>
    <w:lvl w:ilvl="0" w:tentative="0">
      <w:start w:val="2"/>
      <w:numFmt w:val="chineseCounting"/>
      <w:suff w:val="space"/>
      <w:lvlText w:val="第%1部分"/>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2FlMGQyNDEzM2Q3ODNlYmRhZTM0YmMzNGFlY2MifQ=="/>
    <w:docVar w:name="KSO_WPS_MARK_KEY" w:val="48d2c7c5-5ca7-4a62-94c0-78ba1c7e0ebc"/>
  </w:docVars>
  <w:rsids>
    <w:rsidRoot w:val="00000000"/>
    <w:rsid w:val="02393DE1"/>
    <w:rsid w:val="02ED1707"/>
    <w:rsid w:val="02F925FF"/>
    <w:rsid w:val="08F93370"/>
    <w:rsid w:val="0CC5590F"/>
    <w:rsid w:val="0E1E19C6"/>
    <w:rsid w:val="0E4E05F9"/>
    <w:rsid w:val="0E99690D"/>
    <w:rsid w:val="13CB5FFB"/>
    <w:rsid w:val="1430072F"/>
    <w:rsid w:val="173E7F82"/>
    <w:rsid w:val="18D94D16"/>
    <w:rsid w:val="1BCA6683"/>
    <w:rsid w:val="1C4565B4"/>
    <w:rsid w:val="1CE62720"/>
    <w:rsid w:val="1E9115A9"/>
    <w:rsid w:val="20D9567F"/>
    <w:rsid w:val="210E4EF5"/>
    <w:rsid w:val="21211D8E"/>
    <w:rsid w:val="240622C9"/>
    <w:rsid w:val="247F2477"/>
    <w:rsid w:val="2663751A"/>
    <w:rsid w:val="2BA363C3"/>
    <w:rsid w:val="2BD66371"/>
    <w:rsid w:val="2D7B6EFC"/>
    <w:rsid w:val="2FD40B6C"/>
    <w:rsid w:val="3170631D"/>
    <w:rsid w:val="377774B2"/>
    <w:rsid w:val="4D3C563B"/>
    <w:rsid w:val="53082584"/>
    <w:rsid w:val="54B157FE"/>
    <w:rsid w:val="54BB49E6"/>
    <w:rsid w:val="54C30EEA"/>
    <w:rsid w:val="5543046B"/>
    <w:rsid w:val="58EE6347"/>
    <w:rsid w:val="59467577"/>
    <w:rsid w:val="595E3E2E"/>
    <w:rsid w:val="59CE11C7"/>
    <w:rsid w:val="5AE90F4A"/>
    <w:rsid w:val="5B65451D"/>
    <w:rsid w:val="67D15A2C"/>
    <w:rsid w:val="6EAD3534"/>
    <w:rsid w:val="7209340F"/>
    <w:rsid w:val="76A30804"/>
    <w:rsid w:val="799459AB"/>
    <w:rsid w:val="79A05BFC"/>
    <w:rsid w:val="7C6130B2"/>
    <w:rsid w:val="7E6D05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autoRedefine/>
    <w:qFormat/>
    <w:uiPriority w:val="1"/>
    <w:pPr>
      <w:ind w:left="923"/>
      <w:outlineLvl w:val="2"/>
    </w:pPr>
    <w:rPr>
      <w:rFonts w:ascii="楷体" w:hAnsi="楷体" w:eastAsia="楷体" w:cs="楷体"/>
      <w:b/>
      <w:bCs/>
      <w:sz w:val="32"/>
      <w:szCs w:val="32"/>
      <w:lang w:val="zh-CN" w:eastAsia="zh-CN" w:bidi="zh-CN"/>
    </w:rPr>
  </w:style>
  <w:style w:type="character" w:default="1" w:styleId="14">
    <w:name w:val="Default Paragraph Font"/>
    <w:semiHidden/>
    <w:unhideWhenUsed/>
    <w:qFormat/>
    <w:uiPriority w:val="1"/>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1"/>
    <w:rPr>
      <w:rFonts w:ascii="仿宋_GB2312" w:hAnsi="仿宋_GB2312" w:eastAsia="仿宋_GB2312" w:cs="仿宋_GB2312"/>
      <w:sz w:val="32"/>
      <w:szCs w:val="32"/>
      <w:lang w:val="zh-CN" w:eastAsia="zh-CN" w:bidi="zh-CN"/>
    </w:rPr>
  </w:style>
  <w:style w:type="paragraph" w:styleId="5">
    <w:name w:val="Body Text Indent"/>
    <w:basedOn w:val="1"/>
    <w:autoRedefine/>
    <w:qFormat/>
    <w:uiPriority w:val="99"/>
    <w:pPr>
      <w:spacing w:after="120"/>
      <w:ind w:left="420" w:leftChars="200"/>
    </w:pPr>
  </w:style>
  <w:style w:type="paragraph" w:styleId="6">
    <w:name w:val="toc 3"/>
    <w:basedOn w:val="1"/>
    <w:next w:val="1"/>
    <w:uiPriority w:val="0"/>
    <w:pPr>
      <w:ind w:left="840" w:leftChars="4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autoRedefine/>
    <w:qFormat/>
    <w:uiPriority w:val="0"/>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5"/>
    <w:next w:val="4"/>
    <w:autoRedefine/>
    <w:qFormat/>
    <w:uiPriority w:val="99"/>
    <w:pPr>
      <w:ind w:firstLine="420" w:firstLineChars="200"/>
    </w:pPr>
  </w:style>
  <w:style w:type="table" w:customStyle="1" w:styleId="15">
    <w:name w:val="Table Normal"/>
    <w:autoRedefine/>
    <w:semiHidden/>
    <w:unhideWhenUsed/>
    <w:qFormat/>
    <w:uiPriority w:val="2"/>
    <w:tblPr>
      <w:tblCellMar>
        <w:top w:w="0" w:type="dxa"/>
        <w:left w:w="0" w:type="dxa"/>
        <w:bottom w:w="0" w:type="dxa"/>
        <w:right w:w="0" w:type="dxa"/>
      </w:tblCellMar>
    </w:tblPr>
  </w:style>
  <w:style w:type="paragraph" w:styleId="16">
    <w:name w:val="List Paragraph"/>
    <w:basedOn w:val="1"/>
    <w:autoRedefine/>
    <w:qFormat/>
    <w:uiPriority w:val="1"/>
    <w:pPr>
      <w:ind w:left="280" w:firstLine="640"/>
      <w:jc w:val="both"/>
    </w:pPr>
    <w:rPr>
      <w:rFonts w:ascii="仿宋_GB2312" w:hAnsi="仿宋_GB2312" w:eastAsia="仿宋_GB2312" w:cs="仿宋_GB2312"/>
      <w:lang w:val="zh-CN" w:eastAsia="zh-CN" w:bidi="zh-CN"/>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WPSOffice手动目录 1"/>
    <w:autoRedefine/>
    <w:qFormat/>
    <w:uiPriority w:val="0"/>
    <w:pPr>
      <w:ind w:leftChars="0"/>
    </w:pPr>
    <w:rPr>
      <w:rFonts w:asciiTheme="minorHAnsi" w:hAnsiTheme="minorHAnsi" w:eastAsiaTheme="minorHAnsi" w:cstheme="minorBidi"/>
      <w:sz w:val="20"/>
      <w:szCs w:val="20"/>
    </w:rPr>
  </w:style>
  <w:style w:type="paragraph" w:customStyle="1" w:styleId="19">
    <w:name w:val="WPSOffice手动目录 2"/>
    <w:autoRedefine/>
    <w:qFormat/>
    <w:uiPriority w:val="0"/>
    <w:pPr>
      <w:ind w:leftChars="200"/>
    </w:pPr>
    <w:rPr>
      <w:rFonts w:asciiTheme="minorHAnsi" w:hAnsiTheme="minorHAnsi" w:eastAsiaTheme="minorHAnsi" w:cstheme="minorBidi"/>
      <w:sz w:val="20"/>
      <w:szCs w:val="20"/>
    </w:rPr>
  </w:style>
  <w:style w:type="paragraph" w:customStyle="1" w:styleId="20">
    <w:name w:val="WPSOffice手动目录 3"/>
    <w:autoRedefine/>
    <w:qFormat/>
    <w:uiPriority w:val="0"/>
    <w:pPr>
      <w:ind w:leftChars="400"/>
    </w:pPr>
    <w:rPr>
      <w:rFonts w:asciiTheme="minorHAnsi" w:hAnsiTheme="minorHAnsi" w:eastAsiaTheme="minorHAnsi" w:cstheme="minorBidi"/>
      <w:sz w:val="20"/>
      <w:szCs w:val="20"/>
    </w:rPr>
  </w:style>
  <w:style w:type="paragraph" w:customStyle="1" w:styleId="21">
    <w:name w:val="〖C01〗正文"/>
    <w:basedOn w:val="1"/>
    <w:autoRedefine/>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5783</Words>
  <Characters>6806</Characters>
  <TotalTime>30</TotalTime>
  <ScaleCrop>false</ScaleCrop>
  <LinksUpToDate>false</LinksUpToDate>
  <CharactersWithSpaces>8951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dcterms:modified xsi:type="dcterms:W3CDTF">2026-02-26T12:25:21Z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2052-12.1.0.16729</vt:lpwstr>
  </property>
  <property fmtid="{D5CDD505-2E9C-101B-9397-08002B2CF9AE}" pid="6" name="ICV">
    <vt:lpwstr>F7B7EDE212C84DD798F5F3AE0E382DF7_13</vt:lpwstr>
  </property>
</Properties>
</file>