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068B7">
      <w:pPr>
        <w:pStyle w:val="5"/>
        <w:jc w:val="center"/>
        <w:rPr>
          <w:rFonts w:hint="eastAsia" w:ascii="宋体" w:hAnsi="宋体" w:eastAsia="宋体" w:cs="宋体"/>
          <w:b/>
          <w:bCs/>
          <w:sz w:val="52"/>
          <w:szCs w:val="52"/>
          <w:shd w:val="clear" w:color="auto" w:fill="auto"/>
          <w:lang w:val="en-US" w:eastAsia="zh-CN"/>
        </w:rPr>
      </w:pPr>
    </w:p>
    <w:p w14:paraId="1C11D52F">
      <w:pPr>
        <w:pStyle w:val="5"/>
        <w:jc w:val="center"/>
        <w:rPr>
          <w:rFonts w:hint="eastAsia" w:ascii="宋体" w:hAnsi="宋体" w:eastAsia="宋体" w:cs="宋体"/>
          <w:b/>
          <w:bCs/>
          <w:sz w:val="52"/>
          <w:szCs w:val="52"/>
          <w:shd w:val="clear" w:color="auto" w:fill="auto"/>
          <w:lang w:val="en-US" w:eastAsia="zh-CN"/>
        </w:rPr>
      </w:pPr>
    </w:p>
    <w:p w14:paraId="30F32196">
      <w:pPr>
        <w:pStyle w:val="5"/>
        <w:jc w:val="center"/>
        <w:rPr>
          <w:rFonts w:hint="eastAsia" w:ascii="宋体" w:hAnsi="宋体" w:eastAsia="宋体" w:cs="宋体"/>
          <w:b/>
          <w:bCs/>
          <w:sz w:val="52"/>
          <w:szCs w:val="52"/>
          <w:shd w:val="clear" w:color="auto" w:fill="auto"/>
          <w:lang w:val="en-US" w:eastAsia="zh-CN"/>
        </w:rPr>
      </w:pPr>
    </w:p>
    <w:p w14:paraId="6A134311">
      <w:pPr>
        <w:pStyle w:val="5"/>
        <w:jc w:val="center"/>
        <w:rPr>
          <w:rFonts w:hint="eastAsia" w:ascii="宋体" w:hAnsi="宋体" w:eastAsia="宋体" w:cs="宋体"/>
          <w:b/>
          <w:bCs/>
          <w:sz w:val="52"/>
          <w:szCs w:val="52"/>
          <w:shd w:val="clear" w:color="auto" w:fill="auto"/>
          <w:lang w:val="en-US" w:eastAsia="zh-CN"/>
        </w:rPr>
      </w:pPr>
    </w:p>
    <w:p w14:paraId="42605E09">
      <w:pPr>
        <w:pStyle w:val="5"/>
        <w:jc w:val="center"/>
        <w:rPr>
          <w:rFonts w:hint="eastAsia" w:ascii="宋体" w:hAnsi="宋体" w:eastAsia="宋体" w:cs="宋体"/>
          <w:b/>
          <w:bCs/>
          <w:sz w:val="52"/>
          <w:szCs w:val="52"/>
          <w:shd w:val="clear" w:color="auto" w:fill="auto"/>
          <w:lang w:val="en-US" w:eastAsia="zh-CN"/>
        </w:rPr>
      </w:pPr>
    </w:p>
    <w:p w14:paraId="4F4524EC">
      <w:pPr>
        <w:pStyle w:val="5"/>
        <w:jc w:val="center"/>
        <w:rPr>
          <w:rFonts w:hint="eastAsia" w:ascii="宋体" w:hAnsi="宋体" w:eastAsia="宋体" w:cs="宋体"/>
          <w:b/>
          <w:bCs/>
          <w:sz w:val="52"/>
          <w:szCs w:val="52"/>
          <w:shd w:val="clear" w:color="auto" w:fill="auto"/>
          <w:lang w:val="en-US" w:eastAsia="zh-CN"/>
        </w:rPr>
      </w:pPr>
    </w:p>
    <w:p w14:paraId="686A1DEA">
      <w:pPr>
        <w:pStyle w:val="5"/>
        <w:jc w:val="center"/>
        <w:rPr>
          <w:rFonts w:hint="eastAsia" w:ascii="宋体" w:hAnsi="宋体" w:eastAsia="宋体" w:cs="宋体"/>
          <w:b/>
          <w:bCs/>
          <w:sz w:val="52"/>
          <w:szCs w:val="52"/>
          <w:shd w:val="clear" w:color="auto" w:fill="auto"/>
          <w:lang w:val="en-US" w:eastAsia="zh-CN"/>
        </w:rPr>
      </w:pPr>
    </w:p>
    <w:p w14:paraId="7A037B0E">
      <w:pPr>
        <w:pStyle w:val="5"/>
        <w:jc w:val="center"/>
        <w:rPr>
          <w:rFonts w:hint="eastAsia" w:ascii="宋体" w:hAnsi="宋体" w:eastAsia="宋体" w:cs="宋体"/>
          <w:b/>
          <w:bCs/>
          <w:sz w:val="52"/>
          <w:szCs w:val="52"/>
          <w:shd w:val="clear" w:color="auto" w:fill="auto"/>
          <w:lang w:val="en-US" w:eastAsia="zh-CN"/>
        </w:rPr>
      </w:pPr>
    </w:p>
    <w:p w14:paraId="547CCA60">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乐山市五通桥区竹根镇</w:t>
      </w:r>
    </w:p>
    <w:p w14:paraId="307121A1">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043259B1">
      <w:pPr>
        <w:spacing w:after="0"/>
        <w:rPr>
          <w:rFonts w:ascii="宋体" w:hAnsi="宋体"/>
        </w:rPr>
      </w:pPr>
    </w:p>
    <w:p w14:paraId="16218463">
      <w:pPr>
        <w:rPr>
          <w:rFonts w:ascii="宋体" w:hAnsi="宋体"/>
          <w:sz w:val="4"/>
        </w:rPr>
      </w:pPr>
      <w:r>
        <w:rPr>
          <w:rFonts w:ascii="宋体" w:hAnsi="宋体"/>
          <w:sz w:val="4"/>
        </w:rPr>
        <w:br w:type="page"/>
      </w:r>
    </w:p>
    <w:p w14:paraId="5DC5C2CB">
      <w:pPr>
        <w:rPr>
          <w:rFonts w:ascii="宋体" w:hAnsi="宋体"/>
          <w:sz w:val="4"/>
        </w:rPr>
      </w:pPr>
    </w:p>
    <w:p w14:paraId="05DF54DF">
      <w:pPr>
        <w:pStyle w:val="5"/>
        <w:spacing w:before="2"/>
        <w:rPr>
          <w:rFonts w:ascii="宋体" w:hAnsi="宋体"/>
          <w:sz w:val="4"/>
        </w:rPr>
      </w:pPr>
    </w:p>
    <w:p w14:paraId="47332301">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0A96C509">
          <w:pPr>
            <w:spacing w:before="0" w:beforeLines="0" w:after="0" w:afterLines="0" w:line="240" w:lineRule="auto"/>
            <w:ind w:left="0" w:leftChars="0" w:right="0" w:rightChars="0" w:firstLine="0" w:firstLineChars="0"/>
            <w:jc w:val="center"/>
            <w:rPr>
              <w:rFonts w:ascii="宋体" w:hAnsi="宋体"/>
            </w:rPr>
          </w:pPr>
        </w:p>
        <w:p w14:paraId="69372432">
          <w:pPr>
            <w:pStyle w:val="9"/>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6002AE">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6D1AF36">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8D7454A">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A01A63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B090D39">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竹根镇</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EB327E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211D7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BDD5D3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951F92">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C08A9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D1D341E">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9CA3E3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D71124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F2AC5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6A18AA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ED9023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832F6DB">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B9A29A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AD2E8D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00C79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A28AB7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49738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529A38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B55B34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0EDDCB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015D02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5149A72">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5AC51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1FC134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B8EBA28">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竹根镇</w:t>
          </w:r>
          <w:r>
            <w:rPr>
              <w:rFonts w:hint="eastAsia" w:ascii="宋体" w:hAnsi="宋体" w:eastAsia="方正小标宋简体" w:cs="方正小标宋简体"/>
              <w:sz w:val="30"/>
              <w:szCs w:val="30"/>
              <w:lang w:val="en-US" w:eastAsia="zh-CN"/>
            </w:rPr>
            <w:t>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8BAEE7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ED830A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8C72C73">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ABA8D6">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AAF262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5A33AA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5261993">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0C30BA1">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20754B">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E044EB">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36FD51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8F6D598">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2D12621">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8F7FAA">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C4AAB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E2A4C2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1AEB79">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518BAA8">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151BDE">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B02DDD0">
          <w:pPr>
            <w:pStyle w:val="6"/>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33683BE">
          <w:pPr>
            <w:pStyle w:val="9"/>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C07D3F5">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69F2F89">
      <w:pPr>
        <w:pStyle w:val="5"/>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6750B60C">
      <w:pPr>
        <w:pStyle w:val="5"/>
        <w:rPr>
          <w:rFonts w:ascii="宋体" w:hAnsi="宋体"/>
          <w:sz w:val="20"/>
        </w:rPr>
      </w:pPr>
    </w:p>
    <w:p w14:paraId="727F1A64">
      <w:pPr>
        <w:pStyle w:val="5"/>
        <w:rPr>
          <w:rFonts w:ascii="宋体" w:hAnsi="宋体"/>
          <w:sz w:val="20"/>
        </w:rPr>
      </w:pPr>
    </w:p>
    <w:p w14:paraId="2B2B0535">
      <w:pPr>
        <w:pStyle w:val="5"/>
        <w:rPr>
          <w:rFonts w:ascii="宋体" w:hAnsi="宋体"/>
          <w:sz w:val="20"/>
        </w:rPr>
      </w:pPr>
    </w:p>
    <w:p w14:paraId="1DD72BE1">
      <w:pPr>
        <w:pStyle w:val="5"/>
        <w:rPr>
          <w:rFonts w:ascii="宋体" w:hAnsi="宋体"/>
          <w:sz w:val="20"/>
        </w:rPr>
      </w:pPr>
    </w:p>
    <w:p w14:paraId="55C1CE41">
      <w:pPr>
        <w:pStyle w:val="5"/>
        <w:rPr>
          <w:rFonts w:ascii="宋体" w:hAnsi="宋体"/>
          <w:sz w:val="20"/>
        </w:rPr>
      </w:pPr>
    </w:p>
    <w:p w14:paraId="03E112F5">
      <w:pPr>
        <w:pStyle w:val="5"/>
        <w:rPr>
          <w:rFonts w:ascii="宋体" w:hAnsi="宋体"/>
          <w:sz w:val="20"/>
        </w:rPr>
      </w:pPr>
    </w:p>
    <w:p w14:paraId="3B8B3674">
      <w:pPr>
        <w:pStyle w:val="5"/>
        <w:rPr>
          <w:rFonts w:ascii="宋体" w:hAnsi="宋体"/>
          <w:sz w:val="20"/>
        </w:rPr>
      </w:pPr>
    </w:p>
    <w:p w14:paraId="0667AB2B">
      <w:pPr>
        <w:pStyle w:val="5"/>
        <w:rPr>
          <w:rFonts w:ascii="宋体" w:hAnsi="宋体"/>
          <w:sz w:val="20"/>
        </w:rPr>
      </w:pPr>
    </w:p>
    <w:p w14:paraId="0A5BD925">
      <w:pPr>
        <w:pStyle w:val="5"/>
        <w:rPr>
          <w:rFonts w:ascii="宋体" w:hAnsi="宋体"/>
          <w:sz w:val="20"/>
        </w:rPr>
      </w:pPr>
    </w:p>
    <w:p w14:paraId="54D0365C">
      <w:pPr>
        <w:pStyle w:val="5"/>
        <w:rPr>
          <w:rFonts w:ascii="宋体" w:hAnsi="宋体"/>
          <w:sz w:val="20"/>
        </w:rPr>
      </w:pPr>
    </w:p>
    <w:p w14:paraId="72453754">
      <w:pPr>
        <w:pStyle w:val="5"/>
        <w:rPr>
          <w:rFonts w:ascii="宋体" w:hAnsi="宋体"/>
          <w:sz w:val="20"/>
        </w:rPr>
      </w:pPr>
    </w:p>
    <w:p w14:paraId="5D8BA0E0">
      <w:pPr>
        <w:pStyle w:val="5"/>
        <w:rPr>
          <w:rFonts w:ascii="宋体" w:hAnsi="宋体"/>
          <w:sz w:val="20"/>
        </w:rPr>
      </w:pPr>
    </w:p>
    <w:p w14:paraId="3D5EBBC9">
      <w:pPr>
        <w:pStyle w:val="5"/>
        <w:rPr>
          <w:rFonts w:ascii="宋体" w:hAnsi="宋体"/>
          <w:sz w:val="20"/>
        </w:rPr>
      </w:pPr>
    </w:p>
    <w:p w14:paraId="0DBE1A79">
      <w:pPr>
        <w:pStyle w:val="5"/>
        <w:rPr>
          <w:rFonts w:ascii="宋体" w:hAnsi="宋体"/>
          <w:sz w:val="20"/>
        </w:rPr>
      </w:pPr>
    </w:p>
    <w:p w14:paraId="588E86F5">
      <w:pPr>
        <w:pStyle w:val="5"/>
        <w:rPr>
          <w:rFonts w:ascii="宋体" w:hAnsi="宋体"/>
          <w:sz w:val="20"/>
        </w:rPr>
      </w:pPr>
    </w:p>
    <w:p w14:paraId="79D6A5EA">
      <w:pPr>
        <w:pStyle w:val="5"/>
        <w:rPr>
          <w:rFonts w:ascii="宋体" w:hAnsi="宋体"/>
          <w:sz w:val="20"/>
        </w:rPr>
      </w:pPr>
    </w:p>
    <w:p w14:paraId="2088498F">
      <w:pPr>
        <w:pStyle w:val="5"/>
        <w:rPr>
          <w:rFonts w:ascii="宋体" w:hAnsi="宋体"/>
          <w:sz w:val="20"/>
        </w:rPr>
      </w:pPr>
    </w:p>
    <w:p w14:paraId="0095D91F">
      <w:pPr>
        <w:pStyle w:val="5"/>
        <w:rPr>
          <w:rFonts w:ascii="宋体" w:hAnsi="宋体"/>
          <w:sz w:val="20"/>
        </w:rPr>
      </w:pPr>
    </w:p>
    <w:p w14:paraId="44AC2041">
      <w:pPr>
        <w:pStyle w:val="5"/>
        <w:rPr>
          <w:rFonts w:ascii="宋体" w:hAnsi="宋体"/>
          <w:sz w:val="20"/>
        </w:rPr>
      </w:pPr>
    </w:p>
    <w:p w14:paraId="7EF42138">
      <w:pPr>
        <w:pStyle w:val="5"/>
        <w:rPr>
          <w:rFonts w:ascii="宋体" w:hAnsi="宋体"/>
          <w:sz w:val="20"/>
        </w:rPr>
      </w:pPr>
    </w:p>
    <w:p w14:paraId="129D1227">
      <w:pPr>
        <w:pStyle w:val="5"/>
        <w:spacing w:before="3"/>
        <w:rPr>
          <w:rFonts w:ascii="宋体" w:hAnsi="宋体"/>
          <w:sz w:val="28"/>
        </w:rPr>
      </w:pPr>
    </w:p>
    <w:p w14:paraId="4B1EF9CC">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29D87349">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DB05722">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1F7679">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11F66086">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221E8A19">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14:paraId="2315D25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660" w:leftChars="300" w:right="660" w:rightChars="300" w:firstLine="640" w:firstLineChars="200"/>
        <w:jc w:val="both"/>
        <w:textAlignment w:val="auto"/>
        <w:rPr>
          <w:rFonts w:hint="eastAsia" w:ascii="仿宋" w:hAnsi="仿宋" w:eastAsia="仿宋" w:cs="仿宋"/>
          <w:color w:val="000000"/>
          <w:kern w:val="0"/>
          <w:sz w:val="32"/>
          <w:szCs w:val="32"/>
          <w:lang w:val="en-US" w:eastAsia="zh-CN" w:bidi="ar"/>
        </w:rPr>
      </w:pPr>
      <w:bookmarkStart w:id="3" w:name="_Toc6714"/>
      <w:r>
        <w:rPr>
          <w:rFonts w:hint="eastAsia" w:ascii="仿宋" w:hAnsi="仿宋" w:eastAsia="仿宋" w:cs="仿宋"/>
          <w:sz w:val="32"/>
          <w:lang w:val="en-US" w:eastAsia="zh-CN"/>
        </w:rPr>
        <w:t>1.</w:t>
      </w:r>
      <w:r>
        <w:rPr>
          <w:rFonts w:hint="eastAsia" w:ascii="仿宋" w:hAnsi="仿宋" w:eastAsia="仿宋" w:cs="仿宋"/>
          <w:color w:val="000000"/>
          <w:kern w:val="0"/>
          <w:sz w:val="32"/>
          <w:szCs w:val="32"/>
          <w:lang w:val="en-US" w:eastAsia="zh-CN" w:bidi="ar"/>
        </w:rPr>
        <w:t>宣传和贯彻执行党的路线方针政策和党中央、上级党组织及本镇党员代表大会（党员大会）的决议。</w:t>
      </w:r>
    </w:p>
    <w:p w14:paraId="57A97A7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660" w:leftChars="300" w:right="660" w:rightChars="300"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2.执行本级人民代表大会的决议和上级国家行政机关的决定和命令，发布决定和命令。</w:t>
      </w:r>
    </w:p>
    <w:p w14:paraId="2CEDC69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660" w:leftChars="300" w:right="660" w:rightChars="300"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3.执行本镇的经济和社会发展计划、预算，管理本镇的经济、教育、科学、文化、卫生健康、体育等事业和生态环境保护、财政、民政、社会保障、公安、司法行政等行政工作。</w:t>
      </w:r>
    </w:p>
    <w:p w14:paraId="046CA35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660" w:leftChars="300" w:right="660" w:rightChars="300"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4.保护社会主义的全民所有的财产和劳动群众集体所有的财产，保护公民私人所有的合法财产，维护社会秩序，保障公民的人身权利、民主权利和其他权利。</w:t>
      </w:r>
    </w:p>
    <w:p w14:paraId="050CECE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520" w:lineRule="exact"/>
        <w:ind w:left="660" w:leftChars="300" w:right="660" w:rightChars="300" w:firstLine="640" w:firstLineChars="200"/>
        <w:jc w:val="both"/>
        <w:textAlignment w:val="auto"/>
        <w:rPr>
          <w:rFonts w:hint="eastAsia" w:ascii="仿宋" w:hAnsi="仿宋" w:eastAsia="仿宋" w:cs="仿宋"/>
          <w:sz w:val="32"/>
          <w:lang w:val="en-US" w:eastAsia="zh-CN"/>
        </w:rPr>
      </w:pPr>
      <w:r>
        <w:rPr>
          <w:rFonts w:hint="eastAsia" w:ascii="仿宋" w:hAnsi="仿宋" w:eastAsia="仿宋" w:cs="仿宋"/>
          <w:sz w:val="32"/>
          <w:lang w:val="en-US" w:eastAsia="zh-CN"/>
        </w:rPr>
        <w:t>5.完成区委、区政府交办的其他任务。</w:t>
      </w:r>
    </w:p>
    <w:p w14:paraId="22A0CBD3">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60A6277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做强中心引擎，提速发展动能</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一是攻坚克难推进项目征拆。</w:t>
      </w:r>
      <w:r>
        <w:rPr>
          <w:rFonts w:hint="eastAsia" w:ascii="仿宋_GB2312" w:hAnsi="仿宋_GB2312" w:eastAsia="仿宋_GB2312" w:cs="仿宋_GB2312"/>
          <w:b w:val="0"/>
          <w:bCs w:val="0"/>
          <w:sz w:val="32"/>
          <w:szCs w:val="32"/>
        </w:rPr>
        <w:t>锚定重点项目用地需求，实施挂图作战。深化“依法、阳光、和谐”征拆模式，确保各类重点项目用地按时高效交付。</w:t>
      </w:r>
      <w:r>
        <w:rPr>
          <w:rFonts w:hint="eastAsia" w:ascii="仿宋_GB2312" w:hAnsi="仿宋_GB2312" w:eastAsia="仿宋_GB2312" w:cs="仿宋_GB2312"/>
          <w:b w:val="0"/>
          <w:bCs w:val="0"/>
          <w:sz w:val="32"/>
          <w:szCs w:val="32"/>
          <w:lang w:val="en-US" w:eastAsia="zh-CN"/>
        </w:rPr>
        <w:t>二是精耕细作加快城市更新。</w:t>
      </w:r>
      <w:r>
        <w:rPr>
          <w:rFonts w:hint="eastAsia" w:ascii="仿宋_GB2312" w:hAnsi="仿宋_GB2312" w:eastAsia="仿宋_GB2312" w:cs="仿宋_GB2312"/>
          <w:b w:val="0"/>
          <w:bCs w:val="0"/>
          <w:sz w:val="32"/>
          <w:szCs w:val="32"/>
        </w:rPr>
        <w:t>持续推进以“四公一农”为重点的公共服务设施补短板行动，优化城镇功能布局。扎实推进老旧小区改造，打造一批“内外兼修”的美丽宜居小区。</w:t>
      </w:r>
      <w:r>
        <w:rPr>
          <w:rFonts w:hint="eastAsia" w:ascii="仿宋_GB2312" w:hAnsi="仿宋_GB2312" w:eastAsia="仿宋_GB2312" w:cs="仿宋_GB2312"/>
          <w:b w:val="0"/>
          <w:bCs w:val="0"/>
          <w:sz w:val="32"/>
          <w:szCs w:val="32"/>
          <w:lang w:val="en-US" w:eastAsia="zh-CN"/>
        </w:rPr>
        <w:t>三是深度融合促进文旅发展。</w:t>
      </w:r>
      <w:r>
        <w:rPr>
          <w:rFonts w:hint="eastAsia" w:ascii="仿宋_GB2312" w:hAnsi="仿宋_GB2312" w:eastAsia="仿宋_GB2312" w:cs="仿宋_GB2312"/>
          <w:b w:val="0"/>
          <w:bCs w:val="0"/>
          <w:sz w:val="32"/>
          <w:szCs w:val="32"/>
        </w:rPr>
        <w:t>深入挖掘和整合竹根镇特色文化、生态及乡村资源，推动文旅产业深度融合发展。</w:t>
      </w:r>
    </w:p>
    <w:p w14:paraId="04043A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夯实乡村根基，加快振兴步伐</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一是提质增效做强农业产业。</w:t>
      </w:r>
      <w:r>
        <w:rPr>
          <w:rFonts w:hint="eastAsia" w:ascii="仿宋_GB2312" w:hAnsi="仿宋_GB2312" w:eastAsia="仿宋_GB2312" w:cs="仿宋_GB2312"/>
          <w:b w:val="0"/>
          <w:bCs w:val="0"/>
          <w:sz w:val="32"/>
          <w:szCs w:val="32"/>
        </w:rPr>
        <w:t>聚焦龙门村火龙果等特色优势农业，推动品种培优、品质提升、品牌打造。</w:t>
      </w:r>
      <w:r>
        <w:rPr>
          <w:rFonts w:hint="eastAsia" w:ascii="仿宋_GB2312" w:hAnsi="仿宋_GB2312" w:eastAsia="仿宋_GB2312" w:cs="仿宋_GB2312"/>
          <w:b w:val="0"/>
          <w:bCs w:val="0"/>
          <w:sz w:val="32"/>
          <w:szCs w:val="32"/>
          <w:lang w:val="en-US" w:eastAsia="zh-CN"/>
        </w:rPr>
        <w:t>二是巩固拓展脱贫攻坚成果。</w:t>
      </w:r>
      <w:r>
        <w:rPr>
          <w:rFonts w:hint="eastAsia" w:ascii="仿宋_GB2312" w:hAnsi="仿宋_GB2312" w:eastAsia="仿宋_GB2312" w:cs="仿宋_GB2312"/>
          <w:b w:val="0"/>
          <w:bCs w:val="0"/>
          <w:sz w:val="32"/>
          <w:szCs w:val="32"/>
        </w:rPr>
        <w:t>坚持常态化监测与精准化帮扶相结合，严格落实低保、特困、医疗救助等综合保障政策，确保应保尽保、应救尽救。</w:t>
      </w:r>
      <w:r>
        <w:rPr>
          <w:rFonts w:hint="eastAsia" w:ascii="仿宋_GB2312" w:hAnsi="仿宋_GB2312" w:eastAsia="仿宋_GB2312" w:cs="仿宋_GB2312"/>
          <w:b w:val="0"/>
          <w:bCs w:val="0"/>
          <w:sz w:val="32"/>
          <w:szCs w:val="32"/>
          <w:lang w:val="en-US" w:eastAsia="zh-CN"/>
        </w:rPr>
        <w:t>三是坚定不移守护生态环境，</w:t>
      </w:r>
      <w:r>
        <w:rPr>
          <w:rFonts w:hint="eastAsia" w:ascii="仿宋_GB2312" w:hAnsi="仿宋_GB2312" w:eastAsia="仿宋_GB2312" w:cs="仿宋_GB2312"/>
          <w:b w:val="0"/>
          <w:bCs w:val="0"/>
          <w:sz w:val="32"/>
          <w:szCs w:val="32"/>
        </w:rPr>
        <w:t>守护好竹根的蓝天、碧水、净土，建设生态宜居美丽乡村。</w:t>
      </w:r>
    </w:p>
    <w:p w14:paraId="3E223C7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筑牢稳定基石，保障发展大局</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一是保障安全生产，排查整治隐患。</w:t>
      </w:r>
      <w:r>
        <w:rPr>
          <w:rFonts w:hint="eastAsia" w:ascii="仿宋_GB2312" w:hAnsi="仿宋_GB2312" w:eastAsia="仿宋_GB2312" w:cs="仿宋_GB2312"/>
          <w:b w:val="0"/>
          <w:bCs w:val="0"/>
          <w:kern w:val="2"/>
          <w:sz w:val="32"/>
          <w:szCs w:val="32"/>
          <w:lang w:val="en-US" w:eastAsia="zh-CN" w:bidi="ar-SA"/>
        </w:rPr>
        <w:t>聚焦工贸、建筑、交通、消防、燃气、森林防灭火等重点领域，开展常态化拉网式排查，力争将风险消除于萌芽。二是强化党建引领，推动基层治理。深化“心连心·接诉即办”，提升服务效能。</w:t>
      </w:r>
    </w:p>
    <w:p w14:paraId="0BCF62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宋体" w:hAnsi="宋体"/>
          <w:sz w:val="32"/>
          <w:lang w:val="en-US" w:eastAsia="zh-CN"/>
        </w:rPr>
      </w:pPr>
      <w:r>
        <w:rPr>
          <w:rFonts w:hint="eastAsia" w:ascii="仿宋_GB2312" w:hAnsi="仿宋_GB2312" w:eastAsia="仿宋_GB2312" w:cs="仿宋_GB2312"/>
          <w:b w:val="0"/>
          <w:bCs w:val="0"/>
          <w:sz w:val="32"/>
          <w:szCs w:val="32"/>
          <w:lang w:val="en-US" w:eastAsia="zh-CN"/>
        </w:rPr>
        <w:t>4.聚焦民生重点，提升群众幸福。</w:t>
      </w:r>
      <w:r>
        <w:rPr>
          <w:rFonts w:hint="eastAsia" w:ascii="仿宋_GB2312" w:hAnsi="仿宋_GB2312" w:eastAsia="仿宋_GB2312" w:cs="仿宋_GB2312"/>
          <w:b w:val="0"/>
          <w:bCs w:val="0"/>
          <w:kern w:val="2"/>
          <w:sz w:val="32"/>
          <w:szCs w:val="32"/>
          <w:lang w:val="en-US" w:eastAsia="zh-CN" w:bidi="ar-SA"/>
        </w:rPr>
        <w:t>一是聚力促进更充分、更高质量的就业。通过深化与企业对接，搭建高效供需对接平台。二是努力提供更便捷、更优质医疗服务。积极配合上级部门优化区域医疗卫生资源配置，提升基层服务多样性、普惠性、可及性。三是用心提升更温馨、更完备关爱制度。持续完善养老服务体系，全面关爱未成年人健康成长，营造有利于“一老一小”安居乐业的良好社会环境。</w:t>
      </w:r>
    </w:p>
    <w:p w14:paraId="4B40EA8E">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578"/>
      <w:r>
        <w:rPr>
          <w:rFonts w:hint="eastAsia" w:ascii="宋体" w:hAnsi="宋体" w:eastAsia="黑体"/>
          <w:color w:val="333333"/>
        </w:rPr>
        <w:t>二、部门预算单位构成</w:t>
      </w:r>
      <w:bookmarkEnd w:id="4"/>
    </w:p>
    <w:p w14:paraId="22AD5C0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仿宋" w:hAnsi="仿宋" w:eastAsia="仿宋" w:cs="仿宋"/>
          <w:sz w:val="32"/>
          <w:lang w:val="en-US" w:eastAsia="zh-CN"/>
        </w:rPr>
        <w:t>部门下属预算单位3个（含镇机关），其中行政单位1个，参照公务员法管理的事业单位2个。</w:t>
      </w:r>
      <w:r>
        <w:rPr>
          <w:rFonts w:hint="eastAsia" w:ascii="宋体" w:hAnsi="宋体"/>
          <w:sz w:val="32"/>
          <w:lang w:val="en-US" w:eastAsia="zh-CN"/>
        </w:rPr>
        <w:t>主要包括：</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19793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1" w:hRule="atLeast"/>
        </w:trPr>
        <w:tc>
          <w:tcPr>
            <w:tcW w:w="2007" w:type="dxa"/>
          </w:tcPr>
          <w:p w14:paraId="07FE870F">
            <w:pPr>
              <w:pStyle w:val="15"/>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24739B1D">
            <w:pPr>
              <w:pStyle w:val="15"/>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6ED5B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341EBB03">
            <w:pPr>
              <w:pStyle w:val="15"/>
              <w:spacing w:before="181"/>
              <w:ind w:left="748"/>
              <w:rPr>
                <w:rFonts w:ascii="宋体" w:hAnsi="宋体"/>
                <w:sz w:val="32"/>
              </w:rPr>
            </w:pPr>
            <w:r>
              <w:rPr>
                <w:rFonts w:ascii="宋体" w:hAnsi="宋体"/>
                <w:color w:val="333333"/>
                <w:w w:val="99"/>
                <w:sz w:val="32"/>
              </w:rPr>
              <w:t>1</w:t>
            </w:r>
          </w:p>
        </w:tc>
        <w:tc>
          <w:tcPr>
            <w:tcW w:w="6282" w:type="dxa"/>
            <w:vAlign w:val="top"/>
          </w:tcPr>
          <w:p w14:paraId="1EE57965">
            <w:pPr>
              <w:pStyle w:val="15"/>
              <w:spacing w:before="160"/>
              <w:ind w:left="746" w:leftChars="0" w:right="0" w:rightChars="0"/>
              <w:rPr>
                <w:rFonts w:hint="eastAsia" w:ascii="宋体" w:hAnsi="宋体" w:eastAsia="仿宋_GB2312"/>
                <w:sz w:val="32"/>
              </w:rPr>
            </w:pPr>
            <w:r>
              <w:rPr>
                <w:rFonts w:hint="eastAsia" w:eastAsia="仿宋_GB2312"/>
                <w:sz w:val="32"/>
                <w:lang w:val="en-US" w:eastAsia="zh-CN"/>
              </w:rPr>
              <w:t>乐山市五通桥区竹根镇人民政府</w:t>
            </w:r>
          </w:p>
        </w:tc>
      </w:tr>
      <w:tr w14:paraId="601AE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4" w:hRule="atLeast"/>
        </w:trPr>
        <w:tc>
          <w:tcPr>
            <w:tcW w:w="2007" w:type="dxa"/>
          </w:tcPr>
          <w:p w14:paraId="132F99C3">
            <w:pPr>
              <w:pStyle w:val="15"/>
              <w:spacing w:before="183"/>
              <w:ind w:left="748"/>
              <w:rPr>
                <w:rFonts w:ascii="宋体" w:hAnsi="宋体"/>
                <w:sz w:val="32"/>
              </w:rPr>
            </w:pPr>
            <w:r>
              <w:rPr>
                <w:rFonts w:ascii="宋体" w:hAnsi="宋体"/>
                <w:color w:val="333333"/>
                <w:w w:val="99"/>
                <w:sz w:val="32"/>
              </w:rPr>
              <w:t>2</w:t>
            </w:r>
          </w:p>
        </w:tc>
        <w:tc>
          <w:tcPr>
            <w:tcW w:w="6282" w:type="dxa"/>
            <w:vAlign w:val="top"/>
          </w:tcPr>
          <w:p w14:paraId="69E92081">
            <w:pPr>
              <w:pStyle w:val="15"/>
              <w:spacing w:before="162"/>
              <w:ind w:left="746" w:leftChars="0" w:right="0" w:rightChars="0"/>
              <w:rPr>
                <w:rFonts w:hint="eastAsia" w:ascii="宋体" w:hAnsi="宋体" w:eastAsia="仿宋_GB2312"/>
                <w:sz w:val="32"/>
              </w:rPr>
            </w:pPr>
            <w:r>
              <w:rPr>
                <w:rFonts w:hint="eastAsia" w:eastAsia="仿宋_GB2312"/>
                <w:sz w:val="32"/>
                <w:lang w:val="en-US" w:eastAsia="zh-CN"/>
              </w:rPr>
              <w:t>五通桥区</w:t>
            </w:r>
            <w:r>
              <w:rPr>
                <w:rFonts w:hint="eastAsia" w:eastAsia="仿宋_GB2312"/>
                <w:sz w:val="32"/>
                <w:lang w:eastAsia="zh-CN"/>
              </w:rPr>
              <w:t>竹根镇农业综合服务中心</w:t>
            </w:r>
          </w:p>
        </w:tc>
      </w:tr>
      <w:tr w14:paraId="42209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5F3838BF">
            <w:pPr>
              <w:pStyle w:val="15"/>
              <w:spacing w:before="183"/>
              <w:ind w:left="748"/>
              <w:rPr>
                <w:rFonts w:ascii="宋体" w:hAnsi="宋体"/>
                <w:sz w:val="32"/>
              </w:rPr>
            </w:pPr>
            <w:r>
              <w:rPr>
                <w:rFonts w:ascii="宋体" w:hAnsi="宋体"/>
                <w:color w:val="333333"/>
                <w:w w:val="99"/>
                <w:sz w:val="32"/>
              </w:rPr>
              <w:t>3</w:t>
            </w:r>
          </w:p>
        </w:tc>
        <w:tc>
          <w:tcPr>
            <w:tcW w:w="6282" w:type="dxa"/>
            <w:vAlign w:val="top"/>
          </w:tcPr>
          <w:p w14:paraId="451398B3">
            <w:pPr>
              <w:pStyle w:val="15"/>
              <w:spacing w:before="162"/>
              <w:ind w:left="746" w:leftChars="0" w:right="0" w:rightChars="0"/>
              <w:rPr>
                <w:rFonts w:hint="eastAsia" w:ascii="宋体" w:hAnsi="宋体" w:eastAsia="仿宋_GB2312"/>
                <w:sz w:val="32"/>
              </w:rPr>
            </w:pPr>
            <w:r>
              <w:rPr>
                <w:rFonts w:hint="eastAsia" w:eastAsia="仿宋_GB2312"/>
                <w:sz w:val="32"/>
                <w:lang w:val="en-US" w:eastAsia="zh-CN"/>
              </w:rPr>
              <w:t>乐山市五通桥区</w:t>
            </w:r>
            <w:r>
              <w:rPr>
                <w:rFonts w:hint="eastAsia" w:eastAsia="仿宋_GB2312"/>
                <w:sz w:val="32"/>
                <w:lang w:eastAsia="zh-CN"/>
              </w:rPr>
              <w:t>竹根镇便民服务中心</w:t>
            </w:r>
          </w:p>
        </w:tc>
      </w:tr>
    </w:tbl>
    <w:p w14:paraId="1F1BCA95">
      <w:pPr>
        <w:rPr>
          <w:rFonts w:ascii="宋体" w:hAnsi="宋体"/>
          <w:sz w:val="20"/>
        </w:rPr>
      </w:pPr>
      <w:r>
        <w:rPr>
          <w:rFonts w:ascii="宋体" w:hAnsi="宋体"/>
          <w:sz w:val="20"/>
        </w:rPr>
        <w:br w:type="page"/>
      </w:r>
    </w:p>
    <w:p w14:paraId="1A32841B">
      <w:pPr>
        <w:pStyle w:val="5"/>
        <w:rPr>
          <w:rFonts w:ascii="宋体" w:hAnsi="宋体"/>
          <w:sz w:val="20"/>
        </w:rPr>
      </w:pPr>
    </w:p>
    <w:p w14:paraId="32C61836">
      <w:pPr>
        <w:pStyle w:val="5"/>
        <w:rPr>
          <w:rFonts w:ascii="宋体" w:hAnsi="宋体"/>
          <w:sz w:val="20"/>
        </w:rPr>
      </w:pPr>
    </w:p>
    <w:p w14:paraId="2DDBDF1D">
      <w:pPr>
        <w:pStyle w:val="5"/>
        <w:rPr>
          <w:rFonts w:ascii="宋体" w:hAnsi="宋体"/>
          <w:sz w:val="20"/>
        </w:rPr>
      </w:pPr>
    </w:p>
    <w:p w14:paraId="263761F9">
      <w:pPr>
        <w:pStyle w:val="5"/>
        <w:rPr>
          <w:rFonts w:ascii="宋体" w:hAnsi="宋体"/>
          <w:sz w:val="20"/>
        </w:rPr>
      </w:pPr>
    </w:p>
    <w:p w14:paraId="6EFD1E6A">
      <w:pPr>
        <w:pStyle w:val="5"/>
        <w:rPr>
          <w:rFonts w:ascii="宋体" w:hAnsi="宋体"/>
          <w:sz w:val="20"/>
        </w:rPr>
      </w:pPr>
    </w:p>
    <w:p w14:paraId="3A6301C3">
      <w:pPr>
        <w:pStyle w:val="5"/>
        <w:rPr>
          <w:rFonts w:ascii="宋体" w:hAnsi="宋体"/>
          <w:sz w:val="20"/>
        </w:rPr>
      </w:pPr>
    </w:p>
    <w:p w14:paraId="49CEB891">
      <w:pPr>
        <w:pStyle w:val="5"/>
        <w:rPr>
          <w:rFonts w:ascii="宋体" w:hAnsi="宋体"/>
          <w:sz w:val="20"/>
        </w:rPr>
      </w:pPr>
    </w:p>
    <w:p w14:paraId="4FAD2B32">
      <w:pPr>
        <w:pStyle w:val="5"/>
        <w:rPr>
          <w:rFonts w:ascii="宋体" w:hAnsi="宋体"/>
          <w:sz w:val="20"/>
        </w:rPr>
      </w:pPr>
    </w:p>
    <w:p w14:paraId="79267127">
      <w:pPr>
        <w:pStyle w:val="5"/>
        <w:rPr>
          <w:rFonts w:ascii="宋体" w:hAnsi="宋体"/>
          <w:sz w:val="20"/>
        </w:rPr>
      </w:pPr>
    </w:p>
    <w:p w14:paraId="727D0EE5">
      <w:pPr>
        <w:pStyle w:val="5"/>
        <w:rPr>
          <w:rFonts w:ascii="宋体" w:hAnsi="宋体"/>
          <w:sz w:val="20"/>
        </w:rPr>
      </w:pPr>
    </w:p>
    <w:p w14:paraId="3C6ADB7E">
      <w:pPr>
        <w:pStyle w:val="5"/>
        <w:rPr>
          <w:rFonts w:ascii="宋体" w:hAnsi="宋体"/>
          <w:sz w:val="20"/>
        </w:rPr>
      </w:pPr>
    </w:p>
    <w:p w14:paraId="4585F445">
      <w:pPr>
        <w:pStyle w:val="5"/>
        <w:rPr>
          <w:rFonts w:ascii="宋体" w:hAnsi="宋体"/>
          <w:sz w:val="20"/>
        </w:rPr>
      </w:pPr>
    </w:p>
    <w:p w14:paraId="5D464E88">
      <w:pPr>
        <w:pStyle w:val="5"/>
        <w:rPr>
          <w:rFonts w:ascii="宋体" w:hAnsi="宋体"/>
          <w:sz w:val="20"/>
        </w:rPr>
      </w:pPr>
    </w:p>
    <w:p w14:paraId="20BF994D">
      <w:pPr>
        <w:pStyle w:val="5"/>
        <w:rPr>
          <w:rFonts w:ascii="宋体" w:hAnsi="宋体"/>
          <w:sz w:val="20"/>
        </w:rPr>
      </w:pPr>
    </w:p>
    <w:p w14:paraId="6F564AF6">
      <w:pPr>
        <w:pStyle w:val="5"/>
        <w:rPr>
          <w:rFonts w:ascii="宋体" w:hAnsi="宋体"/>
          <w:sz w:val="20"/>
        </w:rPr>
      </w:pPr>
    </w:p>
    <w:p w14:paraId="3B5D260D">
      <w:pPr>
        <w:pStyle w:val="5"/>
        <w:rPr>
          <w:rFonts w:ascii="宋体" w:hAnsi="宋体"/>
          <w:sz w:val="20"/>
        </w:rPr>
      </w:pPr>
    </w:p>
    <w:p w14:paraId="65BE9BF7">
      <w:pPr>
        <w:pStyle w:val="5"/>
        <w:rPr>
          <w:rFonts w:ascii="宋体" w:hAnsi="宋体"/>
          <w:sz w:val="20"/>
        </w:rPr>
      </w:pPr>
    </w:p>
    <w:p w14:paraId="7506AE8F">
      <w:pPr>
        <w:pStyle w:val="5"/>
        <w:rPr>
          <w:rFonts w:ascii="宋体" w:hAnsi="宋体"/>
          <w:sz w:val="20"/>
        </w:rPr>
      </w:pPr>
    </w:p>
    <w:p w14:paraId="4CF3E5DC">
      <w:pPr>
        <w:pStyle w:val="5"/>
        <w:rPr>
          <w:rFonts w:ascii="宋体" w:hAnsi="宋体"/>
          <w:sz w:val="20"/>
        </w:rPr>
      </w:pPr>
    </w:p>
    <w:p w14:paraId="33C18974">
      <w:pPr>
        <w:pStyle w:val="5"/>
        <w:rPr>
          <w:rFonts w:ascii="宋体" w:hAnsi="宋体"/>
          <w:sz w:val="20"/>
        </w:rPr>
      </w:pPr>
    </w:p>
    <w:p w14:paraId="1D51C441">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竹根镇2026年部门预算表</w:t>
      </w:r>
      <w:bookmarkEnd w:id="5"/>
    </w:p>
    <w:p w14:paraId="735F7D44">
      <w:pPr>
        <w:rPr>
          <w:rFonts w:hint="eastAsia" w:ascii="宋体" w:hAnsi="宋体"/>
          <w:sz w:val="32"/>
          <w:lang w:val="en-US" w:eastAsia="zh-CN"/>
        </w:rPr>
      </w:pPr>
      <w:r>
        <w:rPr>
          <w:rFonts w:ascii="宋体" w:hAnsi="宋体"/>
          <w:color w:val="333333"/>
        </w:rPr>
        <w:br w:type="page"/>
      </w:r>
    </w:p>
    <w:p w14:paraId="2B18B3D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14:paraId="74F670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14:paraId="0F50D1F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14:paraId="33F20A8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14:paraId="46A1673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14:paraId="773572A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14:paraId="3E96050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7A83F33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14:paraId="26100B2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6B3AF8F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14:paraId="0D37252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14:paraId="462A35B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14:paraId="56B0C07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03788A9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14:paraId="55F580A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14:paraId="3170A11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14:paraId="297B2DE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14:paraId="77081C1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14:paraId="20EB8A3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14:paraId="3897C45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14:paraId="7E4F375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二十二、2026-2028年支出计划总表（三年计划总表22）</w:t>
      </w:r>
      <w:bookmarkEnd w:id="27"/>
    </w:p>
    <w:p w14:paraId="773BA45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二十三、2026-2028年支出计划明细表（三年计划明细表23）</w:t>
      </w:r>
      <w:bookmarkEnd w:id="28"/>
    </w:p>
    <w:p w14:paraId="725B9B7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14:paraId="4B20A3A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14:paraId="741BBAE6">
      <w:pPr>
        <w:rPr>
          <w:rFonts w:ascii="宋体" w:hAnsi="宋体"/>
          <w:sz w:val="20"/>
        </w:rPr>
      </w:pPr>
      <w:r>
        <w:rPr>
          <w:rFonts w:ascii="宋体" w:hAnsi="宋体"/>
          <w:sz w:val="20"/>
        </w:rPr>
        <w:br w:type="page"/>
      </w:r>
    </w:p>
    <w:p w14:paraId="3A85357C">
      <w:pPr>
        <w:pStyle w:val="5"/>
        <w:rPr>
          <w:rFonts w:ascii="宋体" w:hAnsi="宋体"/>
          <w:sz w:val="20"/>
        </w:rPr>
      </w:pPr>
    </w:p>
    <w:p w14:paraId="45BAC46B">
      <w:pPr>
        <w:pStyle w:val="5"/>
        <w:rPr>
          <w:rFonts w:ascii="宋体" w:hAnsi="宋体"/>
          <w:sz w:val="20"/>
        </w:rPr>
      </w:pPr>
    </w:p>
    <w:p w14:paraId="0118FF91">
      <w:pPr>
        <w:pStyle w:val="5"/>
        <w:rPr>
          <w:rFonts w:ascii="宋体" w:hAnsi="宋体"/>
          <w:sz w:val="20"/>
        </w:rPr>
      </w:pPr>
    </w:p>
    <w:p w14:paraId="0CFC1501">
      <w:pPr>
        <w:pStyle w:val="5"/>
        <w:rPr>
          <w:rFonts w:ascii="宋体" w:hAnsi="宋体"/>
          <w:sz w:val="20"/>
        </w:rPr>
      </w:pPr>
    </w:p>
    <w:p w14:paraId="217E5036">
      <w:pPr>
        <w:pStyle w:val="5"/>
        <w:rPr>
          <w:rFonts w:ascii="宋体" w:hAnsi="宋体"/>
          <w:sz w:val="20"/>
        </w:rPr>
      </w:pPr>
    </w:p>
    <w:p w14:paraId="35EF732C">
      <w:pPr>
        <w:pStyle w:val="5"/>
        <w:rPr>
          <w:rFonts w:ascii="宋体" w:hAnsi="宋体"/>
          <w:sz w:val="20"/>
        </w:rPr>
      </w:pPr>
    </w:p>
    <w:p w14:paraId="16708932">
      <w:pPr>
        <w:pStyle w:val="5"/>
        <w:rPr>
          <w:rFonts w:ascii="宋体" w:hAnsi="宋体"/>
          <w:sz w:val="20"/>
        </w:rPr>
      </w:pPr>
    </w:p>
    <w:p w14:paraId="4E9DB407">
      <w:pPr>
        <w:pStyle w:val="5"/>
        <w:rPr>
          <w:rFonts w:ascii="宋体" w:hAnsi="宋体"/>
          <w:sz w:val="20"/>
        </w:rPr>
      </w:pPr>
    </w:p>
    <w:p w14:paraId="191070C7">
      <w:pPr>
        <w:pStyle w:val="5"/>
        <w:rPr>
          <w:rFonts w:ascii="宋体" w:hAnsi="宋体"/>
          <w:sz w:val="20"/>
        </w:rPr>
      </w:pPr>
    </w:p>
    <w:p w14:paraId="3DEF00AE">
      <w:pPr>
        <w:pStyle w:val="5"/>
        <w:rPr>
          <w:rFonts w:ascii="宋体" w:hAnsi="宋体"/>
          <w:sz w:val="20"/>
        </w:rPr>
      </w:pPr>
    </w:p>
    <w:p w14:paraId="1AEA0CCD">
      <w:pPr>
        <w:pStyle w:val="5"/>
        <w:rPr>
          <w:rFonts w:ascii="宋体" w:hAnsi="宋体"/>
          <w:sz w:val="20"/>
        </w:rPr>
      </w:pPr>
    </w:p>
    <w:p w14:paraId="1F2AE85D">
      <w:pPr>
        <w:pStyle w:val="5"/>
        <w:rPr>
          <w:rFonts w:ascii="宋体" w:hAnsi="宋体"/>
          <w:sz w:val="20"/>
        </w:rPr>
      </w:pPr>
    </w:p>
    <w:p w14:paraId="01C0BD56">
      <w:pPr>
        <w:pStyle w:val="5"/>
        <w:rPr>
          <w:rFonts w:ascii="宋体" w:hAnsi="宋体"/>
          <w:sz w:val="20"/>
        </w:rPr>
      </w:pPr>
    </w:p>
    <w:p w14:paraId="0F7DEA22">
      <w:pPr>
        <w:pStyle w:val="5"/>
        <w:rPr>
          <w:rFonts w:ascii="宋体" w:hAnsi="宋体"/>
          <w:sz w:val="20"/>
        </w:rPr>
      </w:pPr>
    </w:p>
    <w:p w14:paraId="4272BD72">
      <w:pPr>
        <w:pStyle w:val="5"/>
        <w:rPr>
          <w:rFonts w:ascii="宋体" w:hAnsi="宋体"/>
          <w:sz w:val="20"/>
        </w:rPr>
      </w:pPr>
    </w:p>
    <w:p w14:paraId="05F902FB">
      <w:pPr>
        <w:pStyle w:val="5"/>
        <w:rPr>
          <w:rFonts w:ascii="宋体" w:hAnsi="宋体"/>
          <w:sz w:val="20"/>
        </w:rPr>
      </w:pPr>
    </w:p>
    <w:p w14:paraId="02B4B9C2">
      <w:pPr>
        <w:pStyle w:val="5"/>
        <w:rPr>
          <w:rFonts w:ascii="宋体" w:hAnsi="宋体"/>
          <w:sz w:val="20"/>
        </w:rPr>
      </w:pPr>
    </w:p>
    <w:p w14:paraId="78DE770A">
      <w:pPr>
        <w:pStyle w:val="5"/>
        <w:rPr>
          <w:rFonts w:ascii="宋体" w:hAnsi="宋体"/>
          <w:sz w:val="20"/>
        </w:rPr>
      </w:pPr>
    </w:p>
    <w:p w14:paraId="174E3016">
      <w:pPr>
        <w:pStyle w:val="5"/>
        <w:rPr>
          <w:rFonts w:ascii="宋体" w:hAnsi="宋体"/>
          <w:sz w:val="20"/>
        </w:rPr>
      </w:pPr>
    </w:p>
    <w:p w14:paraId="013FEF69">
      <w:pPr>
        <w:pStyle w:val="5"/>
        <w:rPr>
          <w:rFonts w:ascii="宋体" w:hAnsi="宋体"/>
          <w:sz w:val="20"/>
        </w:rPr>
      </w:pPr>
    </w:p>
    <w:p w14:paraId="7E5ACFC7">
      <w:pPr>
        <w:pStyle w:val="5"/>
        <w:rPr>
          <w:rFonts w:ascii="宋体" w:hAnsi="宋体"/>
          <w:sz w:val="20"/>
        </w:rPr>
      </w:pPr>
    </w:p>
    <w:p w14:paraId="4A6DB921">
      <w:pPr>
        <w:pStyle w:val="5"/>
        <w:rPr>
          <w:rFonts w:ascii="宋体" w:hAnsi="宋体"/>
          <w:sz w:val="20"/>
        </w:rPr>
      </w:pPr>
    </w:p>
    <w:p w14:paraId="5C406C8D">
      <w:pPr>
        <w:pStyle w:val="5"/>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30"/>
      <w:r>
        <w:rPr>
          <w:rFonts w:hint="eastAsia" w:ascii="宋体" w:hAnsi="宋体" w:eastAsia="方正小标宋简体" w:cs="方正小标宋简体"/>
          <w:sz w:val="52"/>
          <w:szCs w:val="52"/>
          <w:lang w:val="en-US" w:eastAsia="zh-CN"/>
        </w:rPr>
        <w:t>竹根镇2026年</w:t>
      </w:r>
      <w:bookmarkEnd w:id="31"/>
    </w:p>
    <w:p w14:paraId="5F29C1B6">
      <w:pPr>
        <w:pStyle w:val="5"/>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3299"/>
      <w:bookmarkStart w:id="33" w:name="_Toc1047"/>
      <w:r>
        <w:rPr>
          <w:rFonts w:hint="eastAsia" w:ascii="宋体" w:hAnsi="宋体" w:eastAsia="方正小标宋简体" w:cs="方正小标宋简体"/>
          <w:sz w:val="52"/>
          <w:szCs w:val="52"/>
          <w:lang w:val="en-US" w:eastAsia="zh-CN"/>
        </w:rPr>
        <w:t>部门预算情况说明</w:t>
      </w:r>
      <w:bookmarkEnd w:id="32"/>
      <w:bookmarkEnd w:id="33"/>
    </w:p>
    <w:p w14:paraId="0D22FE64">
      <w:pPr>
        <w:pStyle w:val="5"/>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3614C058">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14:paraId="72AFC7D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sz w:val="32"/>
          <w:lang w:val="en-US" w:eastAsia="zh-CN"/>
        </w:rPr>
        <w:t>按照综合预算的原则，竹根镇所有收入和支出均纳入部门预算管理。收入包括：</w:t>
      </w:r>
      <w:r>
        <w:rPr>
          <w:rFonts w:hint="eastAsia" w:ascii="宋体" w:hAnsi="宋体"/>
          <w:color w:val="auto"/>
          <w:sz w:val="32"/>
          <w:lang w:val="en-US" w:eastAsia="zh-CN"/>
        </w:rPr>
        <w:t>一般公共预算拨款收入，支出包括：一般公共服务支出、社会保障和就业支出、文化旅游体育与传媒支出、卫生健康支出、住房保障支出、农林水支出、灾害防治及应急管理支出。竹根镇2026年收支预算总数2459.59万元,比2025年收支预算总数增加151.58万元。主要原因：人员增加。</w:t>
      </w:r>
    </w:p>
    <w:p w14:paraId="241B90E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14:paraId="0BFCA27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FF"/>
          <w:sz w:val="32"/>
          <w:lang w:val="en-US" w:eastAsia="zh-CN"/>
        </w:rPr>
      </w:pPr>
      <w:r>
        <w:rPr>
          <w:rFonts w:hint="eastAsia" w:ascii="宋体" w:hAnsi="宋体"/>
          <w:sz w:val="32"/>
          <w:lang w:val="en-US" w:eastAsia="zh-CN"/>
        </w:rPr>
        <w:t>五通桥区竹根镇2026年收入预算2459.59万元，其中：上年结转5.22万元，占0.21%；一般公共预算拨款收入2454.37万元，占99.79%；政府基金预算拨款收入0万元，占0%；事业收入0万元，占0%；事业单位经营收入0万元，占0%；其他收入0万元，占0%。</w:t>
      </w:r>
    </w:p>
    <w:p w14:paraId="746C088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14:paraId="429F4E1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五通桥区竹根镇2026年支出预算2459.59万元，其中：人员支出1005.69万元，日常公用支出189.30万元，对个人和家庭的补助支出1234.55万元，专项支出30.06万元。</w:t>
      </w:r>
    </w:p>
    <w:p w14:paraId="29E777CF">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14:paraId="1713B17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五通桥区竹根镇2026年财政拨款收支预算总数</w:t>
      </w:r>
      <w:r>
        <w:rPr>
          <w:rFonts w:hint="eastAsia" w:ascii="宋体" w:hAnsi="宋体"/>
          <w:color w:val="auto"/>
          <w:sz w:val="32"/>
          <w:highlight w:val="none"/>
          <w:lang w:val="en-US" w:eastAsia="zh-CN"/>
        </w:rPr>
        <w:t>2459.59</w:t>
      </w:r>
      <w:r>
        <w:rPr>
          <w:rFonts w:hint="eastAsia" w:ascii="宋体" w:hAnsi="宋体"/>
          <w:color w:val="auto"/>
          <w:sz w:val="32"/>
          <w:lang w:val="en-US" w:eastAsia="zh-CN"/>
        </w:rPr>
        <w:t>万元,比2025年财政拨款收支预算总数增加145.86万元。主要原因：人员增加。</w:t>
      </w:r>
    </w:p>
    <w:p w14:paraId="4551BCB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其中：基本支出2429.53万元，占98.78%；项目支出30.06万元，占1.22%。</w:t>
      </w:r>
    </w:p>
    <w:p w14:paraId="4AFCEEE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bookmarkStart w:id="38" w:name="_Toc18314"/>
      <w:r>
        <w:rPr>
          <w:rFonts w:hint="eastAsia" w:ascii="宋体" w:hAnsi="宋体"/>
          <w:sz w:val="32"/>
          <w:lang w:val="en-US" w:eastAsia="zh-CN"/>
        </w:rPr>
        <w:t>基本支出，是用于保障竹根镇机关、下属事业单位等机构正常运转的日常支出，包括基本工资、津贴补贴等人员经费以及办公费、印刷费、水电费、办公设备购置等日常公用经费。</w:t>
      </w:r>
    </w:p>
    <w:p w14:paraId="1BD27AE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项目支出，是用于保障竹根镇机关、下属事业单位等机构为完成特定的行政工作任务或事业发展目标，用于专项业务工作的经费支出。</w:t>
      </w:r>
    </w:p>
    <w:p w14:paraId="67B6DA41">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三、一般公共预算当年拨款情况说明</w:t>
      </w:r>
      <w:bookmarkEnd w:id="38"/>
    </w:p>
    <w:p w14:paraId="4DBEC89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14:paraId="32CB8AD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lang w:val="en-US" w:eastAsia="zh-CN"/>
        </w:rPr>
        <w:t>五通桥区竹根镇2026年一般公共预算当年拨款2454.37万元，</w:t>
      </w:r>
      <w:r>
        <w:rPr>
          <w:rFonts w:hint="eastAsia" w:ascii="宋体" w:hAnsi="宋体"/>
          <w:sz w:val="32"/>
          <w:highlight w:val="none"/>
          <w:lang w:val="en-US" w:eastAsia="zh-CN"/>
        </w:rPr>
        <w:t>比2025年财政拨款收支预算总数增加 205.86万元。主要原因：人员增加。</w:t>
      </w:r>
    </w:p>
    <w:p w14:paraId="4F8AAD7C">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40" w:name="_Toc27070"/>
      <w:r>
        <w:rPr>
          <w:rFonts w:ascii="宋体" w:hAnsi="宋体"/>
          <w:highlight w:val="none"/>
        </w:rPr>
        <w:t>（二）一般公共预算当年拨款结构情况</w:t>
      </w:r>
      <w:bookmarkEnd w:id="40"/>
    </w:p>
    <w:p w14:paraId="109D0DB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竹根镇2026年一般公共预算支出2454.37万元，主要包括一般公共服务支出1370.26万元，占55.83%；社会保障和就业支出410.28万元，占16.72%；卫生健康支出42.71万元，占1.74%；农林水支出558.01万元，占22.74%；住房保障支出72.11万元，占2.94%；灾害防治及应急管理支出1.00万元，占0.04%。</w:t>
      </w:r>
    </w:p>
    <w:p w14:paraId="06D0EEB2">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eastAsia="楷体"/>
          <w:color w:val="0000FF"/>
          <w:highlight w:val="yellow"/>
          <w:lang w:val="en-US" w:eastAsia="zh-CN"/>
        </w:rPr>
      </w:pPr>
      <w:bookmarkStart w:id="41" w:name="_Toc1521"/>
      <w:r>
        <w:rPr>
          <w:rFonts w:ascii="宋体" w:hAnsi="宋体"/>
        </w:rPr>
        <w:t>（三）一般公共预算当年拨款具体使用情况</w:t>
      </w:r>
      <w:bookmarkEnd w:id="41"/>
    </w:p>
    <w:p w14:paraId="3EE6122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一般公共服务（类）政府办公厅（室）及相关机构事务（款）行政运行（项）:2026年预算数为603.61万元，主要用于：机关及参公管理事业单位正常运转的基本支出，包括基本工资、津贴补贴等人员经费以及办公费、印刷费、水电费等日常公用经费。</w:t>
      </w:r>
    </w:p>
    <w:p w14:paraId="304814D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 xml:space="preserve">2.一般公共服务（类）社会工作事务（款）专项业务（项）:2026年预算数为752.61万元，主要用于：社会管理工作的项目支出。 </w:t>
      </w:r>
    </w:p>
    <w:p w14:paraId="18C04F1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3.社会保障和就业（类）人力资源和社会保障管理事务（款）其他人力资源和社会保障管理事务支出（项）:2026年预算数为192.38万元，主要用于：人力资源保障经费支出。</w:t>
      </w:r>
    </w:p>
    <w:p w14:paraId="4097504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4.社会保障和就业（类）民政管理事务（款）其他民政管理事务支出（项）:2026年预算数为0.5万元，主要用于：其他民政事务经费支出。</w:t>
      </w:r>
    </w:p>
    <w:p w14:paraId="2265BD8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5.社会保障和就业（类）行政事业单位养老支出（款）机关事业单位基本养老保险缴费支出（项）:2026年预算数为102.67万元，主要用于：实施养老保险制度后，部门按规定由单位缴纳的基本养老保险费支出。</w:t>
      </w:r>
    </w:p>
    <w:p w14:paraId="6ED5361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6.社会保障和就业（类）抚恤（款）其他优抚支出（项）:2026年预算数为6.6万元，主要用于：其他优抚支出。</w:t>
      </w:r>
    </w:p>
    <w:p w14:paraId="276A0FD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7.社会保障和就业（类）其他社会保障和就业支出（款）其他社会保障和就业支出（项）:2026年预算数为6.99万元，主要用于：其他社会保障工作。</w:t>
      </w:r>
    </w:p>
    <w:p w14:paraId="6A0DE7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8.卫生健康（类）行政事业单位医疗（款）行政单位医疗（项）:2026年预算数为18.18万元，主要用于：机关及参公管理事业单位基本医疗保险缴费支出。</w:t>
      </w:r>
    </w:p>
    <w:p w14:paraId="35DCB26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9.卫生健康（类）行政事业单位医疗（款）公务员医疗补助（项）:2026年预算数为11.90万元，主要用于：医疗补助缴费支出。</w:t>
      </w:r>
    </w:p>
    <w:p w14:paraId="280D5B8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10.卫生健康（类）行政事业单位医疗（款）事业单位医疗（项）:2026年预算数为12.63万元，主要用于：部门下属事业单位基本医疗保险缴费支出。</w:t>
      </w:r>
    </w:p>
    <w:p w14:paraId="572AB73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11.住房保障（类）住房改革支出（款）住房公积金（项）:2026年预算数为72.11万元，主要用于：部门按人力资源和社会保障部、财政部规定的基本工资和津贴补贴以及规定比例为职工缴纳的住房公积金支出。</w:t>
      </w:r>
    </w:p>
    <w:p w14:paraId="302D64E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12.一般公共服务（类）人大事务（款）一般行政管理事务（项）:2026年预算数为1.00万元，主要用于：人大相关工作事务支出。</w:t>
      </w:r>
    </w:p>
    <w:p w14:paraId="73A433F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13.农林水支出（类）农业农村（款）事业运行（项）:2026年预算数为126.81万元，主要用于：下属事业单位相关支出。</w:t>
      </w:r>
    </w:p>
    <w:p w14:paraId="1A4230A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14.农林水支出（类）农村综合改革（款）对</w:t>
      </w:r>
      <w:bookmarkStart w:id="42" w:name="OLE_LINK6"/>
      <w:r>
        <w:rPr>
          <w:rFonts w:hint="eastAsia" w:ascii="宋体" w:hAnsi="宋体"/>
          <w:sz w:val="32"/>
          <w:highlight w:val="none"/>
          <w:lang w:val="en-US" w:eastAsia="zh-CN"/>
        </w:rPr>
        <w:t>村民委员会和村党支部的补助</w:t>
      </w:r>
      <w:bookmarkEnd w:id="42"/>
      <w:r>
        <w:rPr>
          <w:rFonts w:hint="eastAsia" w:ascii="宋体" w:hAnsi="宋体"/>
          <w:sz w:val="32"/>
          <w:highlight w:val="none"/>
          <w:lang w:val="en-US" w:eastAsia="zh-CN"/>
        </w:rPr>
        <w:t>（项）:2026年预算数为431.20万元，主要用于：村民委员会和村党支部的补助相关支出。</w:t>
      </w:r>
    </w:p>
    <w:p w14:paraId="1C7393D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15.一般公共服务（类）人大事务（款）其他人大事务支出（项）:2026年预算数为5.04万元，主要用于：人大工作相关事务支出。</w:t>
      </w:r>
    </w:p>
    <w:p w14:paraId="6E4E033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16.一般公共服务（类）政协事务（款）其他政协事务支出（项）:2026年预算数为3.00万元，主要用于：政协有事来协商工作相关支出。</w:t>
      </w:r>
    </w:p>
    <w:p w14:paraId="4E63531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17.一般公共服务（类）政府办公厅（室）及相关机构事务（款）其他政府办公厅（室）及相关机构事务支出（项）:2026年预算数为5.00万元，主要用于：其他政府行政事务工作支出。</w:t>
      </w:r>
    </w:p>
    <w:p w14:paraId="3FE3E5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highlight w:val="none"/>
          <w:lang w:val="en-US" w:eastAsia="zh-CN"/>
        </w:rPr>
        <w:t>18.</w:t>
      </w:r>
      <w:r>
        <w:rPr>
          <w:rFonts w:hint="eastAsia" w:ascii="宋体" w:hAnsi="宋体"/>
          <w:sz w:val="32"/>
          <w:highlight w:val="none"/>
          <w:lang w:val="en-US" w:eastAsia="zh-CN"/>
        </w:rPr>
        <w:tab/>
      </w:r>
      <w:r>
        <w:rPr>
          <w:rFonts w:hint="eastAsia" w:ascii="宋体" w:hAnsi="宋体"/>
          <w:sz w:val="32"/>
          <w:highlight w:val="none"/>
          <w:lang w:val="en-US" w:eastAsia="zh-CN"/>
        </w:rPr>
        <w:t>文化旅游体育与传媒支出（类）文化和旅游（款）其他文化和旅游支出（项）:2026年预算数为0.10万元，主要用于：文化旅游体育与传媒相关专业性工作支出。</w:t>
      </w:r>
    </w:p>
    <w:p w14:paraId="7962B6C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19.社会保障和就业（类）行政事业单位养老支出（款）机关事业单位职业年金缴费支出（项）:2026年预算数为51.33万元，主要用于：实施养老保险制度后，部门按规定由单位缴纳的职业年金保险费支出。</w:t>
      </w:r>
    </w:p>
    <w:p w14:paraId="497DB65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yellow"/>
          <w:lang w:val="en-US" w:eastAsia="zh-CN"/>
        </w:rPr>
      </w:pPr>
      <w:r>
        <w:rPr>
          <w:rFonts w:hint="eastAsia" w:ascii="宋体" w:hAnsi="宋体"/>
          <w:sz w:val="32"/>
          <w:highlight w:val="none"/>
          <w:lang w:val="en-US" w:eastAsia="zh-CN"/>
        </w:rPr>
        <w:t>20.社会保障和就业（类）行政事业单位养老支出（款）其他行政事业单位养老支出（项）:2026年预算数为49.80万元，主要用于：实施养</w:t>
      </w:r>
      <w:r>
        <w:rPr>
          <w:rFonts w:hint="eastAsia" w:ascii="宋体" w:hAnsi="宋体"/>
          <w:sz w:val="32"/>
          <w:lang w:val="en-US" w:eastAsia="zh-CN"/>
        </w:rPr>
        <w:t>老保险制度后，部门按规定由单位缴纳的基本养老保险费支出。</w:t>
      </w:r>
    </w:p>
    <w:p w14:paraId="659A1A3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21.农林水支出（类）巩固脱贫攻坚成果衔接乡村振兴（款）其他巩固脱贫攻坚成果衔接乡村振兴支出（项）:2026年预算数为5.13万元，主要用于：开展脱贫攻坚专门性相关工作的项目支出。</w:t>
      </w:r>
    </w:p>
    <w:p w14:paraId="47DCEE4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eastAsia" w:ascii="宋体" w:hAnsi="宋体"/>
          <w:sz w:val="32"/>
          <w:lang w:val="en-US" w:eastAsia="zh-CN"/>
        </w:rPr>
        <w:t>22.</w:t>
      </w:r>
      <w:r>
        <w:rPr>
          <w:rFonts w:hint="eastAsia" w:ascii="宋体" w:hAnsi="宋体"/>
          <w:sz w:val="32"/>
          <w:highlight w:val="none"/>
          <w:lang w:val="en-US" w:eastAsia="zh-CN"/>
        </w:rPr>
        <w:t>灾害防治及应急管理支出（类）应急管理事务（款）安全监管（项）:2026年预算数为1.00万元，主要用于：开展专门性工作的项目支出。</w:t>
      </w:r>
    </w:p>
    <w:p w14:paraId="4BE3423F">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11444"/>
      <w:r>
        <w:rPr>
          <w:rFonts w:hint="eastAsia" w:ascii="宋体" w:hAnsi="宋体" w:eastAsia="黑体"/>
          <w:color w:val="333333"/>
        </w:rPr>
        <w:t>四、一般公共预算基本支出情况说明</w:t>
      </w:r>
      <w:bookmarkEnd w:id="43"/>
    </w:p>
    <w:p w14:paraId="24465DA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五通桥区竹根镇2026年一般公共预算基本支出2429.53万元，其中：</w:t>
      </w:r>
    </w:p>
    <w:p w14:paraId="2A6C3C2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2240.24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1C0D4B7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189.30万元，主要包括：主要包括：办公费、印刷费、水费、电费、邮电费、差旅费、维修（护）费、会议费、培训费、公务接待费、劳务费、工会经费、福利费、公务用车运行维护费、其他交通费、其他商品和服务支出。</w:t>
      </w:r>
    </w:p>
    <w:p w14:paraId="41F7C9EE">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4" w:name="_Toc3206"/>
      <w:r>
        <w:rPr>
          <w:rFonts w:hint="eastAsia" w:ascii="宋体" w:hAnsi="宋体" w:eastAsia="黑体"/>
          <w:color w:val="333333"/>
        </w:rPr>
        <w:t>五、“三公”经费财政拨款预算安排情况说明</w:t>
      </w:r>
      <w:bookmarkEnd w:id="44"/>
    </w:p>
    <w:p w14:paraId="186316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五通桥区竹根镇2026年“三公”经费财政拨款预算数4.00万元，其中：公务接待费0万元，公务用车购置0万元，公车运行维护费4.00万元。</w:t>
      </w:r>
    </w:p>
    <w:p w14:paraId="1A7E4E8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24108"/>
      <w:r>
        <w:rPr>
          <w:rFonts w:ascii="宋体" w:hAnsi="宋体"/>
        </w:rPr>
        <w:t>（一）</w:t>
      </w:r>
      <w:r>
        <w:rPr>
          <w:rFonts w:hint="eastAsia" w:ascii="宋体" w:hAnsi="宋体"/>
          <w:lang w:val="en-US" w:eastAsia="zh-CN"/>
        </w:rPr>
        <w:t>公务接待费变化情况</w:t>
      </w:r>
      <w:bookmarkEnd w:id="45"/>
    </w:p>
    <w:p w14:paraId="3262A5D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bookmarkStart w:id="46" w:name="_Toc3483"/>
      <w:r>
        <w:rPr>
          <w:rFonts w:hint="eastAsia" w:ascii="宋体" w:hAnsi="宋体"/>
          <w:sz w:val="32"/>
          <w:lang w:val="en-US" w:eastAsia="zh-CN"/>
        </w:rPr>
        <w:t>无</w:t>
      </w:r>
      <w:r>
        <w:rPr>
          <w:rFonts w:hint="default" w:ascii="宋体" w:hAnsi="宋体"/>
          <w:sz w:val="32"/>
          <w:lang w:val="en-US" w:eastAsia="zh-CN"/>
        </w:rPr>
        <w:t>公务接待费预算。</w:t>
      </w:r>
    </w:p>
    <w:p w14:paraId="212E99CE">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6"/>
    </w:p>
    <w:p w14:paraId="69C0ABE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4.00</w:t>
      </w:r>
      <w:r>
        <w:rPr>
          <w:rFonts w:hint="default" w:ascii="宋体" w:hAnsi="宋体"/>
          <w:sz w:val="32"/>
          <w:lang w:val="en-US" w:eastAsia="zh-CN"/>
        </w:rPr>
        <w:t>万元预算持平。主要原因是厉行节约，规范公务出行，尽量乘坐公共交通工具。</w:t>
      </w:r>
    </w:p>
    <w:p w14:paraId="39EC0A1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2</w:t>
      </w:r>
      <w:r>
        <w:rPr>
          <w:rFonts w:hint="default" w:ascii="宋体" w:hAnsi="宋体"/>
          <w:sz w:val="32"/>
          <w:lang w:val="en-US" w:eastAsia="zh-CN"/>
        </w:rPr>
        <w:t>辆，其中：轿车</w:t>
      </w:r>
      <w:r>
        <w:rPr>
          <w:rFonts w:hint="eastAsia" w:ascii="宋体" w:hAnsi="宋体"/>
          <w:sz w:val="32"/>
          <w:lang w:val="en-US" w:eastAsia="zh-CN"/>
        </w:rPr>
        <w:t>2</w:t>
      </w:r>
      <w:r>
        <w:rPr>
          <w:rFonts w:hint="default" w:ascii="宋体" w:hAnsi="宋体"/>
          <w:sz w:val="32"/>
          <w:lang w:val="en-US" w:eastAsia="zh-CN"/>
        </w:rPr>
        <w:t>辆。</w:t>
      </w:r>
    </w:p>
    <w:p w14:paraId="3CF9990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w:t>
      </w:r>
      <w:r>
        <w:rPr>
          <w:rFonts w:hint="eastAsia" w:ascii="宋体" w:hAnsi="宋体"/>
          <w:sz w:val="32"/>
          <w:lang w:val="en-US" w:eastAsia="zh-CN"/>
        </w:rPr>
        <w:t>未</w:t>
      </w:r>
      <w:r>
        <w:rPr>
          <w:rFonts w:hint="default" w:ascii="宋体" w:hAnsi="宋体"/>
          <w:sz w:val="32"/>
          <w:lang w:val="en-US" w:eastAsia="zh-CN"/>
        </w:rPr>
        <w:t>安排公务用车购置费。</w:t>
      </w:r>
    </w:p>
    <w:p w14:paraId="264C2FA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4.00</w:t>
      </w:r>
      <w:r>
        <w:rPr>
          <w:rFonts w:hint="default" w:ascii="宋体" w:hAnsi="宋体"/>
          <w:sz w:val="32"/>
          <w:lang w:val="en-US" w:eastAsia="zh-CN"/>
        </w:rPr>
        <w:t>万元，</w:t>
      </w:r>
      <w:r>
        <w:rPr>
          <w:rFonts w:hint="eastAsia" w:ascii="宋体" w:hAnsi="宋体"/>
          <w:sz w:val="32"/>
          <w:lang w:val="en-US" w:eastAsia="zh-CN"/>
        </w:rPr>
        <w:t>用于2</w:t>
      </w:r>
      <w:r>
        <w:rPr>
          <w:rFonts w:hint="default" w:ascii="宋体" w:hAnsi="宋体"/>
          <w:sz w:val="32"/>
          <w:lang w:val="en-US" w:eastAsia="zh-CN"/>
        </w:rPr>
        <w:t>辆公务用车</w:t>
      </w:r>
      <w:r>
        <w:rPr>
          <w:rFonts w:hint="eastAsia" w:ascii="宋体" w:hAnsi="宋体"/>
          <w:sz w:val="32"/>
          <w:lang w:val="en-US" w:eastAsia="zh-CN"/>
        </w:rPr>
        <w:t>开展五清行动巡查、安全工作巡查</w:t>
      </w:r>
      <w:r>
        <w:rPr>
          <w:rFonts w:hint="default" w:ascii="宋体" w:hAnsi="宋体"/>
          <w:sz w:val="32"/>
          <w:lang w:val="en-US" w:eastAsia="zh-CN"/>
        </w:rPr>
        <w:t>等工作所需的公务用车汽油费、维修费、过路过桥费、保险费、停车费等支出。</w:t>
      </w:r>
    </w:p>
    <w:p w14:paraId="7F8F922B">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27419"/>
      <w:r>
        <w:rPr>
          <w:rFonts w:hint="eastAsia" w:ascii="宋体" w:hAnsi="宋体" w:eastAsia="黑体"/>
          <w:color w:val="333333"/>
        </w:rPr>
        <w:t>六、政府性基金预算支出情况说明</w:t>
      </w:r>
      <w:bookmarkEnd w:id="47"/>
    </w:p>
    <w:p w14:paraId="4BCEF3D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FF0000"/>
          <w:sz w:val="32"/>
          <w:lang w:val="en-US" w:eastAsia="zh-CN"/>
        </w:rPr>
      </w:pPr>
      <w:r>
        <w:rPr>
          <w:rFonts w:hint="eastAsia" w:ascii="宋体" w:hAnsi="宋体"/>
          <w:sz w:val="32"/>
          <w:lang w:val="en-US" w:eastAsia="zh-CN"/>
        </w:rPr>
        <w:t>五通桥区竹根镇2026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w:t>
      </w:r>
      <w:r>
        <w:rPr>
          <w:rFonts w:hint="eastAsia" w:ascii="宋体" w:hAnsi="宋体"/>
          <w:color w:val="auto"/>
          <w:sz w:val="32"/>
          <w:lang w:val="en-US" w:eastAsia="zh-CN"/>
        </w:rPr>
        <w:t>数减少。</w:t>
      </w:r>
    </w:p>
    <w:p w14:paraId="25279650">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8"/>
    </w:p>
    <w:p w14:paraId="77C7F2D5">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sz w:val="32"/>
          <w:lang w:val="en-US" w:eastAsia="zh-CN"/>
        </w:rPr>
      </w:pPr>
      <w:bookmarkStart w:id="49" w:name="_Toc904"/>
      <w:r>
        <w:rPr>
          <w:rFonts w:hint="eastAsia" w:ascii="宋体" w:hAnsi="宋体"/>
          <w:sz w:val="32"/>
          <w:lang w:val="en-US" w:eastAsia="zh-CN"/>
        </w:rPr>
        <w:t>五通桥区竹根镇2026年无国有资本经营预算。</w:t>
      </w:r>
    </w:p>
    <w:p w14:paraId="098060D6">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r>
        <w:rPr>
          <w:rFonts w:hint="eastAsia" w:ascii="宋体" w:hAnsi="宋体" w:eastAsia="黑体"/>
          <w:color w:val="333333"/>
          <w:lang w:val="en-US" w:eastAsia="zh-CN"/>
        </w:rPr>
        <w:t>八、其他重要事项的情况说明</w:t>
      </w:r>
      <w:bookmarkEnd w:id="49"/>
    </w:p>
    <w:p w14:paraId="349FBC92">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0" w:name="_Toc17345"/>
      <w:r>
        <w:rPr>
          <w:rFonts w:ascii="宋体" w:hAnsi="宋体"/>
        </w:rPr>
        <w:t>（一）机关运行经费情况</w:t>
      </w:r>
      <w:bookmarkEnd w:id="50"/>
    </w:p>
    <w:p w14:paraId="7162252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highlight w:val="none"/>
          <w:lang w:val="en-US" w:eastAsia="zh-CN"/>
        </w:rPr>
      </w:pPr>
      <w:r>
        <w:rPr>
          <w:rFonts w:hint="eastAsia" w:ascii="宋体" w:hAnsi="宋体"/>
          <w:color w:val="auto"/>
          <w:sz w:val="32"/>
          <w:highlight w:val="none"/>
          <w:lang w:val="en-US" w:eastAsia="zh-CN"/>
        </w:rPr>
        <w:t>2026年，五通通桥区竹根镇人民政府1家行政单位,竹根镇农业综合服务中心、竹根镇便民服务中心机关运行经费财政拨款预算为189.2978万元，比2025年预算195.136269万元减少5.84万元，减少3%。主要原因是厉行节约，缩减开支。</w:t>
      </w:r>
    </w:p>
    <w:p w14:paraId="7F3609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1837"/>
      <w:r>
        <w:rPr>
          <w:rFonts w:ascii="宋体" w:hAnsi="宋体"/>
        </w:rPr>
        <w:t>（二）政府采购情况</w:t>
      </w:r>
      <w:bookmarkEnd w:id="51"/>
    </w:p>
    <w:p w14:paraId="5D87960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2026年，五通桥区竹根镇政府采购项目0万元。其中，政府采购货物预算0万元；政府采购工程预算0万元；政府采购服务预算0万元。</w:t>
      </w:r>
      <w:bookmarkStart w:id="55" w:name="_GoBack"/>
      <w:bookmarkEnd w:id="55"/>
    </w:p>
    <w:p w14:paraId="46097F78">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16771"/>
      <w:r>
        <w:rPr>
          <w:rFonts w:ascii="宋体" w:hAnsi="宋体"/>
        </w:rPr>
        <w:t>（三）国有资产占有使用情况</w:t>
      </w:r>
      <w:bookmarkEnd w:id="52"/>
    </w:p>
    <w:p w14:paraId="0C7FAF8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截至2026年底，五通桥区竹根镇所属各预算单位共有车辆2辆，单位价值100万元以上大型设备0套。</w:t>
      </w:r>
    </w:p>
    <w:p w14:paraId="7AAF1CC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83CC057">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3"/>
    </w:p>
    <w:p w14:paraId="0EBDA13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color w:val="0000FF"/>
          <w:spacing w:val="6"/>
        </w:rPr>
      </w:pPr>
      <w:r>
        <w:rPr>
          <w:rFonts w:hint="eastAsia" w:ascii="宋体" w:hAnsi="宋体"/>
          <w:sz w:val="32"/>
          <w:lang w:val="en-US" w:eastAsia="zh-CN"/>
        </w:rPr>
        <w:t>2026年五通桥区竹根镇开展绩效目标管理的项目12个，涉及预算30.055万元。其中：特定目标类项目12个，涉及预算30.055万元。</w:t>
      </w:r>
    </w:p>
    <w:p w14:paraId="485BA819">
      <w:pPr>
        <w:rPr>
          <w:rFonts w:ascii="宋体" w:hAnsi="宋体"/>
        </w:rPr>
      </w:pPr>
    </w:p>
    <w:p w14:paraId="627C9AE8">
      <w:pPr>
        <w:pStyle w:val="5"/>
        <w:rPr>
          <w:rFonts w:ascii="宋体" w:hAnsi="宋体"/>
          <w:sz w:val="20"/>
        </w:rPr>
      </w:pPr>
    </w:p>
    <w:p w14:paraId="43CC1810">
      <w:pPr>
        <w:pStyle w:val="5"/>
        <w:rPr>
          <w:rFonts w:ascii="宋体" w:hAnsi="宋体"/>
          <w:sz w:val="20"/>
        </w:rPr>
      </w:pPr>
    </w:p>
    <w:p w14:paraId="046F18B6">
      <w:pPr>
        <w:pStyle w:val="5"/>
        <w:rPr>
          <w:rFonts w:ascii="宋体" w:hAnsi="宋体"/>
          <w:sz w:val="20"/>
        </w:rPr>
      </w:pPr>
    </w:p>
    <w:p w14:paraId="2FDB26B2">
      <w:pPr>
        <w:pStyle w:val="5"/>
        <w:rPr>
          <w:rFonts w:ascii="宋体" w:hAnsi="宋体"/>
          <w:sz w:val="20"/>
        </w:rPr>
      </w:pPr>
    </w:p>
    <w:p w14:paraId="1F4CA639">
      <w:pPr>
        <w:pStyle w:val="5"/>
        <w:rPr>
          <w:rFonts w:ascii="宋体" w:hAnsi="宋体"/>
          <w:sz w:val="20"/>
        </w:rPr>
      </w:pPr>
    </w:p>
    <w:p w14:paraId="513E5422">
      <w:pPr>
        <w:pStyle w:val="5"/>
        <w:rPr>
          <w:rFonts w:ascii="宋体" w:hAnsi="宋体"/>
          <w:sz w:val="20"/>
        </w:rPr>
      </w:pPr>
    </w:p>
    <w:p w14:paraId="0D250067">
      <w:pPr>
        <w:pStyle w:val="5"/>
        <w:rPr>
          <w:rFonts w:ascii="宋体" w:hAnsi="宋体"/>
          <w:sz w:val="20"/>
        </w:rPr>
      </w:pPr>
    </w:p>
    <w:p w14:paraId="222F5C2C">
      <w:pPr>
        <w:pStyle w:val="5"/>
        <w:rPr>
          <w:rFonts w:ascii="宋体" w:hAnsi="宋体"/>
          <w:sz w:val="20"/>
        </w:rPr>
      </w:pPr>
    </w:p>
    <w:p w14:paraId="0FA2531B">
      <w:pPr>
        <w:pStyle w:val="5"/>
        <w:rPr>
          <w:rFonts w:ascii="宋体" w:hAnsi="宋体"/>
          <w:sz w:val="20"/>
        </w:rPr>
      </w:pPr>
    </w:p>
    <w:p w14:paraId="5EEDC51E">
      <w:pPr>
        <w:pStyle w:val="5"/>
        <w:rPr>
          <w:rFonts w:ascii="宋体" w:hAnsi="宋体"/>
          <w:sz w:val="20"/>
        </w:rPr>
      </w:pPr>
    </w:p>
    <w:p w14:paraId="641F5071">
      <w:pPr>
        <w:pStyle w:val="5"/>
        <w:rPr>
          <w:rFonts w:ascii="宋体" w:hAnsi="宋体"/>
          <w:sz w:val="20"/>
        </w:rPr>
      </w:pPr>
    </w:p>
    <w:p w14:paraId="3A742FF4">
      <w:pPr>
        <w:pStyle w:val="5"/>
        <w:rPr>
          <w:rFonts w:ascii="宋体" w:hAnsi="宋体"/>
          <w:sz w:val="20"/>
        </w:rPr>
      </w:pPr>
    </w:p>
    <w:p w14:paraId="03BD557A">
      <w:pPr>
        <w:pStyle w:val="5"/>
        <w:rPr>
          <w:rFonts w:ascii="宋体" w:hAnsi="宋体"/>
          <w:sz w:val="20"/>
        </w:rPr>
      </w:pPr>
    </w:p>
    <w:p w14:paraId="56C65C4F">
      <w:pPr>
        <w:pStyle w:val="5"/>
        <w:rPr>
          <w:rFonts w:ascii="宋体" w:hAnsi="宋体"/>
          <w:sz w:val="20"/>
        </w:rPr>
      </w:pPr>
    </w:p>
    <w:p w14:paraId="77DFF640">
      <w:pPr>
        <w:pStyle w:val="5"/>
        <w:rPr>
          <w:rFonts w:ascii="宋体" w:hAnsi="宋体"/>
          <w:sz w:val="20"/>
        </w:rPr>
      </w:pPr>
    </w:p>
    <w:p w14:paraId="3A567A53">
      <w:pPr>
        <w:pStyle w:val="5"/>
        <w:rPr>
          <w:rFonts w:ascii="宋体" w:hAnsi="宋体"/>
          <w:sz w:val="20"/>
        </w:rPr>
      </w:pPr>
    </w:p>
    <w:p w14:paraId="093B2D12">
      <w:pPr>
        <w:pStyle w:val="5"/>
        <w:rPr>
          <w:rFonts w:ascii="宋体" w:hAnsi="宋体"/>
          <w:sz w:val="20"/>
        </w:rPr>
      </w:pPr>
    </w:p>
    <w:p w14:paraId="73AD5133">
      <w:pPr>
        <w:pStyle w:val="5"/>
        <w:rPr>
          <w:rFonts w:ascii="宋体" w:hAnsi="宋体"/>
          <w:sz w:val="20"/>
        </w:rPr>
      </w:pPr>
    </w:p>
    <w:p w14:paraId="11DC0450">
      <w:pPr>
        <w:pStyle w:val="5"/>
        <w:rPr>
          <w:rFonts w:ascii="宋体" w:hAnsi="宋体"/>
          <w:sz w:val="20"/>
        </w:rPr>
      </w:pPr>
    </w:p>
    <w:p w14:paraId="0A273D66">
      <w:pPr>
        <w:pStyle w:val="5"/>
        <w:rPr>
          <w:rFonts w:ascii="宋体" w:hAnsi="宋体"/>
          <w:sz w:val="20"/>
        </w:rPr>
      </w:pPr>
    </w:p>
    <w:p w14:paraId="11DE578B">
      <w:pPr>
        <w:pStyle w:val="5"/>
        <w:rPr>
          <w:rFonts w:ascii="宋体" w:hAnsi="宋体"/>
          <w:sz w:val="20"/>
        </w:rPr>
      </w:pPr>
    </w:p>
    <w:p w14:paraId="26666645">
      <w:pPr>
        <w:pStyle w:val="5"/>
        <w:jc w:val="center"/>
        <w:outlineLvl w:val="0"/>
        <w:rPr>
          <w:rFonts w:hint="eastAsia" w:ascii="宋体" w:hAnsi="宋体" w:eastAsia="方正小标宋简体" w:cs="方正小标宋简体"/>
          <w:sz w:val="52"/>
          <w:szCs w:val="52"/>
          <w:lang w:val="en-US" w:eastAsia="zh-CN"/>
        </w:rPr>
      </w:pPr>
      <w:bookmarkStart w:id="54" w:name="_Toc12947"/>
      <w:r>
        <w:rPr>
          <w:rFonts w:hint="eastAsia" w:ascii="宋体" w:hAnsi="宋体" w:eastAsia="方正小标宋简体" w:cs="方正小标宋简体"/>
          <w:sz w:val="52"/>
          <w:szCs w:val="52"/>
          <w:lang w:val="en-US" w:eastAsia="zh-CN"/>
        </w:rPr>
        <w:t>第四部分  名词解释</w:t>
      </w:r>
      <w:bookmarkEnd w:id="54"/>
    </w:p>
    <w:p w14:paraId="710F9D0D">
      <w:pPr>
        <w:spacing w:after="0"/>
        <w:rPr>
          <w:rFonts w:ascii="宋体" w:hAnsi="宋体"/>
          <w:sz w:val="20"/>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158C68D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71DAEB9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6747BF5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410689C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0E6ED60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1D1D217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43184A6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17880FA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21D4EFC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4C8FD37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0AEBED5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2937FD2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3ECB455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2BD3A1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536E42F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6DEC0CA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1E35FFF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7BF92D9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49C9405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AD4EC90-945B-4435-A6B6-4CFC7B01DA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532C7E31-C39F-438E-BA1A-67AB94D004A7}"/>
  </w:font>
  <w:font w:name="仿宋_GB2312">
    <w:panose1 w:val="02010609030101010101"/>
    <w:charset w:val="86"/>
    <w:family w:val="modern"/>
    <w:pitch w:val="default"/>
    <w:sig w:usb0="00000001" w:usb1="080E0000" w:usb2="00000000" w:usb3="00000000" w:csb0="00040000" w:csb1="00000000"/>
    <w:embedRegular r:id="rId3" w:fontKey="{F1E18690-B69D-446D-A2D0-A305EE6110FE}"/>
  </w:font>
  <w:font w:name="方正小标宋简体">
    <w:panose1 w:val="03000509000000000000"/>
    <w:charset w:val="86"/>
    <w:family w:val="script"/>
    <w:pitch w:val="default"/>
    <w:sig w:usb0="00000001" w:usb1="080E0000" w:usb2="00000000" w:usb3="00000000" w:csb0="00040000" w:csb1="00000000"/>
    <w:embedRegular r:id="rId4" w:fontKey="{649D3AC4-C36B-460D-8CCD-C393A3B43DAD}"/>
  </w:font>
  <w:font w:name="仿宋">
    <w:panose1 w:val="02010609060101010101"/>
    <w:charset w:val="86"/>
    <w:family w:val="auto"/>
    <w:pitch w:val="default"/>
    <w:sig w:usb0="800002BF" w:usb1="38CF7CFA" w:usb2="00000016" w:usb3="00000000" w:csb0="00040001" w:csb1="00000000"/>
    <w:embedRegular r:id="rId5" w:fontKey="{685133E7-FA6D-4C09-918E-6E59124247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1A773">
    <w:pPr>
      <w:pStyle w:val="5"/>
      <w:spacing w:line="240"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9571F">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89571F">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B7809">
    <w:pPr>
      <w:pStyle w:val="5"/>
      <w:spacing w:line="240"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62D78">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CE62D78">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E578F">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7BDC59">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F7BDC59">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9CF6">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DAF2F">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C0DAF2F">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AD604">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DCF20">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78A2B">
    <w:pPr>
      <w:pStyle w:val="5"/>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ADBB9">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4OGMzOWE0YzJhOTQ3ZWFlYjZhY2Q0OTJhZjhlNDYifQ=="/>
    <w:docVar w:name="KSO_WPS_MARK_KEY" w:val="48d2c7c5-5ca7-4a62-94c0-78ba1c7e0ebc"/>
  </w:docVars>
  <w:rsids>
    <w:rsidRoot w:val="00000000"/>
    <w:rsid w:val="02ED1707"/>
    <w:rsid w:val="02F925FF"/>
    <w:rsid w:val="03CE17E4"/>
    <w:rsid w:val="08F93370"/>
    <w:rsid w:val="0BA02B91"/>
    <w:rsid w:val="0BD926FA"/>
    <w:rsid w:val="0C062F04"/>
    <w:rsid w:val="0D2B05E2"/>
    <w:rsid w:val="0FBB21B8"/>
    <w:rsid w:val="13CB5FFB"/>
    <w:rsid w:val="141626E2"/>
    <w:rsid w:val="170C3D13"/>
    <w:rsid w:val="18D94D16"/>
    <w:rsid w:val="1AC3764B"/>
    <w:rsid w:val="1B5D2A2C"/>
    <w:rsid w:val="1C4565B4"/>
    <w:rsid w:val="1CB80C02"/>
    <w:rsid w:val="1E9115A9"/>
    <w:rsid w:val="1F4638B5"/>
    <w:rsid w:val="209452FF"/>
    <w:rsid w:val="20D9567F"/>
    <w:rsid w:val="21090058"/>
    <w:rsid w:val="21211D8E"/>
    <w:rsid w:val="22C231CC"/>
    <w:rsid w:val="230E7622"/>
    <w:rsid w:val="240622C9"/>
    <w:rsid w:val="243235CB"/>
    <w:rsid w:val="243C5D88"/>
    <w:rsid w:val="247F2477"/>
    <w:rsid w:val="24C40346"/>
    <w:rsid w:val="25E92311"/>
    <w:rsid w:val="28907B98"/>
    <w:rsid w:val="29921E4F"/>
    <w:rsid w:val="2A9955B8"/>
    <w:rsid w:val="2BD66371"/>
    <w:rsid w:val="2CBF542B"/>
    <w:rsid w:val="2DDE159D"/>
    <w:rsid w:val="3170631D"/>
    <w:rsid w:val="337033CC"/>
    <w:rsid w:val="37F8154E"/>
    <w:rsid w:val="404632A6"/>
    <w:rsid w:val="42587519"/>
    <w:rsid w:val="43DD7B8C"/>
    <w:rsid w:val="44D72461"/>
    <w:rsid w:val="46BE663B"/>
    <w:rsid w:val="4D3C563B"/>
    <w:rsid w:val="4FF37CF9"/>
    <w:rsid w:val="54BB49E6"/>
    <w:rsid w:val="54C30EEA"/>
    <w:rsid w:val="5543046B"/>
    <w:rsid w:val="570A5A9B"/>
    <w:rsid w:val="58EE6347"/>
    <w:rsid w:val="595E3E2E"/>
    <w:rsid w:val="59D439CC"/>
    <w:rsid w:val="5A3D0AC7"/>
    <w:rsid w:val="5AE90F4A"/>
    <w:rsid w:val="5B40698F"/>
    <w:rsid w:val="5B65451D"/>
    <w:rsid w:val="62E305A7"/>
    <w:rsid w:val="694B1385"/>
    <w:rsid w:val="6AF26181"/>
    <w:rsid w:val="6F076041"/>
    <w:rsid w:val="70076B11"/>
    <w:rsid w:val="701C37AB"/>
    <w:rsid w:val="702E23C7"/>
    <w:rsid w:val="71461A34"/>
    <w:rsid w:val="7201578E"/>
    <w:rsid w:val="7209340F"/>
    <w:rsid w:val="73FE4F2A"/>
    <w:rsid w:val="746731F4"/>
    <w:rsid w:val="76A30804"/>
    <w:rsid w:val="79B5694C"/>
    <w:rsid w:val="7C6130B2"/>
    <w:rsid w:val="7E85683E"/>
    <w:rsid w:val="7E8D0E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6789</Words>
  <Characters>7424</Characters>
  <TotalTime>1</TotalTime>
  <ScaleCrop>false</ScaleCrop>
  <LinksUpToDate>false</LinksUpToDate>
  <CharactersWithSpaces>7595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DF</cp:lastModifiedBy>
  <dcterms:modified xsi:type="dcterms:W3CDTF">2026-03-02T02:57:17Z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eyJoZGlkIjoiNzYzNGM2MDU5NzRiM2IxODA3OTFiZmZiMGJkYTQxZDYifQ==</vt:lpwstr>
  </property>
</Properties>
</file>