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乐山市五通桥区人大常委会办公室</w:t>
      </w:r>
    </w:p>
    <w:p>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2026年</w:t>
      </w:r>
      <w:bookmarkStart w:id="53" w:name="_GoBack"/>
      <w:bookmarkEnd w:id="53"/>
      <w:r>
        <w:rPr>
          <w:rFonts w:hint="eastAsia" w:ascii="宋体" w:hAnsi="宋体" w:eastAsia="方正小标宋简体" w:cs="方正小标宋简体"/>
          <w:b w:val="0"/>
          <w:bCs w:val="0"/>
          <w:sz w:val="52"/>
          <w:szCs w:val="52"/>
          <w:shd w:val="clear" w:color="auto" w:fill="auto"/>
          <w:lang w:val="en-US" w:eastAsia="zh-CN"/>
        </w:rPr>
        <w:t>部门预算编制说明</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5"/>
        <w:spacing w:before="2"/>
        <w:rPr>
          <w:rFonts w:ascii="宋体" w:hAnsi="宋体"/>
          <w:sz w:val="4"/>
        </w:rPr>
      </w:pPr>
    </w:p>
    <w:p>
      <w:pPr>
        <w:pStyle w:val="5"/>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p>
        <w:p>
          <w:pPr>
            <w:pStyle w:val="8"/>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_Toc19670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_Toc19670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_Toc18671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_Toc18671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_Toc2022 </w:instrText>
          </w:r>
          <w:r>
            <w:rPr>
              <w:rFonts w:hint="eastAsia" w:ascii="宋体" w:hAnsi="宋体" w:eastAsia="方正小标宋简体" w:cs="方正小标宋简体"/>
              <w:bCs/>
              <w:szCs w:val="48"/>
              <w:lang w:val="en-US" w:eastAsia="zh-CN"/>
            </w:rPr>
            <w:fldChar w:fldCharType="separate"/>
          </w:r>
          <w:r>
            <w:rPr>
              <w:rFonts w:ascii="宋体" w:hAnsi="宋体"/>
            </w:rPr>
            <w:t>（一）部门职能简介</w:t>
          </w:r>
          <w:r>
            <w:tab/>
          </w:r>
          <w:r>
            <w:fldChar w:fldCharType="begin"/>
          </w:r>
          <w:r>
            <w:instrText xml:space="preserve"> PAGEREF _Toc2022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_Toc12566 </w:instrText>
          </w:r>
          <w:r>
            <w:rPr>
              <w:rFonts w:hint="eastAsia" w:ascii="宋体" w:hAnsi="宋体" w:eastAsia="方正小标宋简体" w:cs="方正小标宋简体"/>
              <w:bCs/>
              <w:szCs w:val="48"/>
              <w:lang w:val="en-US" w:eastAsia="zh-CN"/>
            </w:rPr>
            <w:fldChar w:fldCharType="separate"/>
          </w:r>
          <w:r>
            <w:rPr>
              <w:rFonts w:ascii="宋体" w:hAnsi="宋体"/>
            </w:rPr>
            <w:t>（二）部门</w:t>
          </w:r>
          <w:r>
            <w:rPr>
              <w:rFonts w:hint="eastAsia"/>
              <w:lang w:val="en-US" w:eastAsia="zh-CN"/>
            </w:rPr>
            <w:t>2026</w:t>
          </w:r>
          <w:r>
            <w:rPr>
              <w:rFonts w:ascii="宋体" w:hAnsi="宋体"/>
            </w:rPr>
            <w:t>年重点工</w:t>
          </w:r>
          <w:r>
            <w:rPr>
              <w:rFonts w:hint="eastAsia" w:ascii="宋体" w:hAnsi="宋体"/>
            </w:rPr>
            <w:t>作</w:t>
          </w:r>
          <w:r>
            <w:tab/>
          </w:r>
          <w:r>
            <w:fldChar w:fldCharType="begin"/>
          </w:r>
          <w:r>
            <w:instrText xml:space="preserve"> PAGEREF _Toc12566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_Toc2840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_Toc2840 \h </w:instrText>
          </w:r>
          <w:r>
            <w:fldChar w:fldCharType="separate"/>
          </w:r>
          <w:r>
            <w:t>3</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_Toc18677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 xml:space="preserve">第二部分 </w:t>
          </w:r>
          <w:r>
            <w:rPr>
              <w:rFonts w:hint="eastAsia" w:eastAsia="方正小标宋简体" w:cs="方正小标宋简体"/>
              <w:bCs/>
              <w:szCs w:val="52"/>
              <w:lang w:val="en-US" w:eastAsia="zh-CN"/>
            </w:rPr>
            <w:t>五通桥区人大常委会办公室</w:t>
          </w:r>
          <w:r>
            <w:rPr>
              <w:rFonts w:hint="eastAsia" w:ascii="宋体" w:hAnsi="宋体" w:eastAsia="方正小标宋简体" w:cs="方正小标宋简体"/>
              <w:bCs/>
              <w:szCs w:val="52"/>
              <w:lang w:val="en-US" w:eastAsia="zh-CN"/>
            </w:rPr>
            <w:t>机关</w:t>
          </w:r>
          <w:r>
            <w:rPr>
              <w:rFonts w:hint="eastAsia" w:eastAsia="方正小标宋简体" w:cs="方正小标宋简体"/>
              <w:bCs/>
              <w:szCs w:val="52"/>
              <w:lang w:val="en-US" w:eastAsia="zh-CN"/>
            </w:rPr>
            <w:t>2026</w:t>
          </w:r>
          <w:r>
            <w:rPr>
              <w:rFonts w:hint="eastAsia" w:ascii="宋体" w:hAnsi="宋体" w:eastAsia="方正小标宋简体" w:cs="方正小标宋简体"/>
              <w:bCs/>
              <w:szCs w:val="52"/>
              <w:lang w:val="en-US" w:eastAsia="zh-CN"/>
            </w:rPr>
            <w:t>年部门预算表</w:t>
          </w:r>
          <w:r>
            <w:tab/>
          </w:r>
          <w:r>
            <w:fldChar w:fldCharType="begin"/>
          </w:r>
          <w:r>
            <w:instrText xml:space="preserve"> PAGEREF _Toc18677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_Toc31973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一、收支预算总表（收支总表1）</w:t>
          </w:r>
          <w:r>
            <w:tab/>
          </w:r>
          <w:r>
            <w:fldChar w:fldCharType="begin"/>
          </w:r>
          <w:r>
            <w:instrText xml:space="preserve"> PAGEREF _Toc31973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_Toc25837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二、收入预算总表（收入总表2）</w:t>
          </w:r>
          <w:r>
            <w:tab/>
          </w:r>
          <w:r>
            <w:fldChar w:fldCharType="begin"/>
          </w:r>
          <w:r>
            <w:instrText xml:space="preserve"> PAGEREF _Toc25837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_Toc31742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三、征收预期表（征收预期3）</w:t>
          </w:r>
          <w:r>
            <w:tab/>
          </w:r>
          <w:r>
            <w:fldChar w:fldCharType="begin"/>
          </w:r>
          <w:r>
            <w:instrText xml:space="preserve"> PAGEREF _Toc31742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_Toc31035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四、支出预算总表（支出总表4）</w:t>
          </w:r>
          <w:r>
            <w:tab/>
          </w:r>
          <w:r>
            <w:fldChar w:fldCharType="begin"/>
          </w:r>
          <w:r>
            <w:instrText xml:space="preserve"> PAGEREF _Toc31035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_Toc27240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五、财政拨款预算总表（财拨总表5）</w:t>
          </w:r>
          <w:r>
            <w:tab/>
          </w:r>
          <w:r>
            <w:fldChar w:fldCharType="begin"/>
          </w:r>
          <w:r>
            <w:instrText xml:space="preserve"> PAGEREF _Toc27240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_Toc2978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六、一般公共预算支出表（一般预算支出6）</w:t>
          </w:r>
          <w:r>
            <w:tab/>
          </w:r>
          <w:r>
            <w:fldChar w:fldCharType="begin"/>
          </w:r>
          <w:r>
            <w:instrText xml:space="preserve"> PAGEREF _Toc2978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_Toc31587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七、一般公共预算基本支出表（基本支出7）</w:t>
          </w:r>
          <w:r>
            <w:tab/>
          </w:r>
          <w:r>
            <w:fldChar w:fldCharType="begin"/>
          </w:r>
          <w:r>
            <w:instrText xml:space="preserve"> PAGEREF _Toc31587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_Toc23750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八、一般公共预算“三公”经费支出预算表（三公8）</w:t>
          </w:r>
          <w:r>
            <w:tab/>
          </w:r>
          <w:r>
            <w:fldChar w:fldCharType="begin"/>
          </w:r>
          <w:r>
            <w:instrText xml:space="preserve"> PAGEREF _Toc23750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_Toc26074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九、政府性基金预算支出表（基金9）</w:t>
          </w:r>
          <w:r>
            <w:tab/>
          </w:r>
          <w:r>
            <w:fldChar w:fldCharType="begin"/>
          </w:r>
          <w:r>
            <w:instrText xml:space="preserve"> PAGEREF _Toc26074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_Toc17747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十、国有资本经营预算支出表（国资10）</w:t>
          </w:r>
          <w:r>
            <w:tab/>
          </w:r>
          <w:r>
            <w:fldChar w:fldCharType="begin"/>
          </w:r>
          <w:r>
            <w:instrText xml:space="preserve"> PAGEREF _Toc17747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_Toc28533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十一、支出功能分类预算表（支出功能11）</w:t>
          </w:r>
          <w:r>
            <w:tab/>
          </w:r>
          <w:r>
            <w:fldChar w:fldCharType="begin"/>
          </w:r>
          <w:r>
            <w:instrText xml:space="preserve"> PAGEREF _Toc28533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_Toc11609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十二、支出经济分类预算表（支出经济分类12）</w:t>
          </w:r>
          <w:r>
            <w:tab/>
          </w:r>
          <w:r>
            <w:fldChar w:fldCharType="begin"/>
          </w:r>
          <w:r>
            <w:instrText xml:space="preserve"> PAGEREF _Toc11609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_Toc15617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十三、上级资金安排情况表（上级资金安排13）</w:t>
          </w:r>
          <w:r>
            <w:tab/>
          </w:r>
          <w:r>
            <w:fldChar w:fldCharType="begin"/>
          </w:r>
          <w:r>
            <w:instrText xml:space="preserve"> PAGEREF _Toc15617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_Toc30594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十四、项目支出表（项目支出14）</w:t>
          </w:r>
          <w:r>
            <w:tab/>
          </w:r>
          <w:r>
            <w:fldChar w:fldCharType="begin"/>
          </w:r>
          <w:r>
            <w:instrText xml:space="preserve"> PAGEREF _Toc30594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rPr>
              <w:rFonts w:hint="eastAsia" w:ascii="宋体" w:hAnsi="宋体"/>
              <w:lang w:val="en-US" w:eastAsia="zh-CN"/>
            </w:rPr>
          </w:pPr>
          <w:r>
            <w:rPr>
              <w:rFonts w:hint="eastAsia" w:ascii="宋体" w:hAnsi="宋体"/>
              <w:lang w:val="en-US" w:eastAsia="zh-CN"/>
            </w:rPr>
            <w:t>十五、项目支出预算明细表（</w:t>
          </w:r>
          <w:r>
            <w:rPr>
              <w:rFonts w:hint="eastAsia"/>
              <w:lang w:val="en-US" w:eastAsia="zh-CN"/>
            </w:rPr>
            <w:t>项目明细表15</w:t>
          </w:r>
          <w:r>
            <w:rPr>
              <w:rFonts w:hint="eastAsia" w:ascii="宋体" w:hAnsi="宋体"/>
              <w:lang w:val="en-US" w:eastAsia="zh-CN"/>
            </w:rPr>
            <w:t>）</w:t>
          </w:r>
          <w:r>
            <w:tab/>
          </w:r>
          <w:r>
            <w:fldChar w:fldCharType="begin"/>
          </w:r>
          <w:r>
            <w:instrText xml:space="preserve"> PAGEREF _Toc31559 \h </w:instrText>
          </w:r>
          <w:r>
            <w:fldChar w:fldCharType="separate"/>
          </w:r>
          <w:r>
            <w:t>6</w:t>
          </w:r>
          <w: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_Toc31559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十六、政府购买服务预算表（购买服务16）</w:t>
          </w:r>
          <w:r>
            <w:tab/>
          </w:r>
          <w:r>
            <w:fldChar w:fldCharType="begin"/>
          </w:r>
          <w:r>
            <w:instrText xml:space="preserve"> PAGEREF _Toc31559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_Toc18193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十七、采购需求表（采购需求表17）</w:t>
          </w:r>
          <w:r>
            <w:tab/>
          </w:r>
          <w:r>
            <w:fldChar w:fldCharType="begin"/>
          </w:r>
          <w:r>
            <w:instrText xml:space="preserve"> PAGEREF _Toc18193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_Toc19349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十八、国有资产配置预算表（资产18）</w:t>
          </w:r>
          <w:r>
            <w:tab/>
          </w:r>
          <w:r>
            <w:fldChar w:fldCharType="begin"/>
          </w:r>
          <w:r>
            <w:instrText xml:space="preserve"> PAGEREF _Toc19349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_Toc32464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十九、项目支出绩效表（项目绩效19）</w:t>
          </w:r>
          <w:r>
            <w:tab/>
          </w:r>
          <w:r>
            <w:fldChar w:fldCharType="begin"/>
          </w:r>
          <w:r>
            <w:instrText xml:space="preserve"> PAGEREF _Toc32464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_Toc31102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二十、部门绩效表（部门绩效20）</w:t>
          </w:r>
          <w:r>
            <w:tab/>
          </w:r>
          <w:r>
            <w:fldChar w:fldCharType="begin"/>
          </w:r>
          <w:r>
            <w:instrText xml:space="preserve"> PAGEREF _Toc31102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_Toc2120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二十一、年初政府采购项目预算表（政府采购项目预算表21）</w:t>
          </w:r>
          <w:r>
            <w:tab/>
          </w:r>
          <w:r>
            <w:fldChar w:fldCharType="begin"/>
          </w:r>
          <w:r>
            <w:instrText xml:space="preserve"> PAGEREF _Toc2120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_Toc27545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二十二、</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年支出计划总表（三年计划总表22）</w:t>
          </w:r>
          <w:r>
            <w:tab/>
          </w:r>
          <w:r>
            <w:fldChar w:fldCharType="begin"/>
          </w:r>
          <w:r>
            <w:instrText xml:space="preserve"> PAGEREF _Toc27545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_Toc11783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二十三、</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年支出计划明细表（三年计划明细表23）</w:t>
          </w:r>
          <w:r>
            <w:tab/>
          </w:r>
          <w:r>
            <w:fldChar w:fldCharType="begin"/>
          </w:r>
          <w:r>
            <w:instrText xml:space="preserve"> PAGEREF _Toc11783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_Toc3917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二十四、人员和车辆基本情况表（人员24）</w:t>
          </w:r>
          <w:r>
            <w:tab/>
          </w:r>
          <w:r>
            <w:fldChar w:fldCharType="begin"/>
          </w:r>
          <w:r>
            <w:instrText xml:space="preserve"> PAGEREF _Toc3917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_Toc26810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_Toc26810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_Toc16363 </w:instrText>
          </w:r>
          <w:r>
            <w:rPr>
              <w:rFonts w:hint="eastAsia" w:ascii="宋体" w:hAnsi="宋体" w:eastAsia="方正小标宋简体" w:cs="方正小标宋简体"/>
              <w:bCs/>
              <w:szCs w:val="48"/>
              <w:lang w:val="en-US" w:eastAsia="zh-CN"/>
            </w:rPr>
            <w:fldChar w:fldCharType="separate"/>
          </w:r>
          <w:r>
            <w:rPr>
              <w:rFonts w:hint="eastAsia" w:ascii="宋体" w:hAnsi="宋体"/>
              <w:szCs w:val="48"/>
              <w:lang w:val="en-US"/>
            </w:rPr>
            <w:t xml:space="preserve">第三部分 </w:t>
          </w:r>
          <w:r>
            <w:rPr>
              <w:rFonts w:hint="eastAsia" w:eastAsia="方正小标宋简体" w:cs="方正小标宋简体"/>
              <w:szCs w:val="48"/>
              <w:lang w:val="en-US" w:eastAsia="zh-CN"/>
            </w:rPr>
            <w:t>五通桥区人大常委会办公室</w:t>
          </w:r>
          <w:r>
            <w:rPr>
              <w:rFonts w:hint="eastAsia" w:ascii="宋体" w:hAnsi="宋体" w:eastAsia="方正小标宋简体" w:cs="方正小标宋简体"/>
              <w:szCs w:val="48"/>
              <w:lang w:val="en-US" w:eastAsia="zh-CN"/>
            </w:rPr>
            <w:t>机关</w:t>
          </w:r>
          <w:r>
            <w:rPr>
              <w:rFonts w:hint="eastAsia" w:eastAsia="方正小标宋简体" w:cs="方正小标宋简体"/>
              <w:szCs w:val="48"/>
              <w:lang w:val="en-US" w:eastAsia="zh-CN"/>
            </w:rPr>
            <w:t>2026</w:t>
          </w:r>
          <w:r>
            <w:rPr>
              <w:rFonts w:hint="eastAsia" w:ascii="宋体" w:hAnsi="宋体" w:eastAsia="方正小标宋简体" w:cs="方正小标宋简体"/>
              <w:szCs w:val="48"/>
              <w:lang w:val="en-US" w:eastAsia="zh-CN"/>
            </w:rPr>
            <w:t>年部门预算情况说明</w:t>
          </w:r>
          <w:r>
            <w:tab/>
          </w:r>
          <w:r>
            <w:fldChar w:fldCharType="begin"/>
          </w:r>
          <w:r>
            <w:instrText xml:space="preserve"> PAGEREF _Toc16363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_Toc15966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_Toc15966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_Toc27555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_Toc27555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_Toc3046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_Toc3046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_Toc3353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_Toc3353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_Toc5369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_Toc5369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_Toc1698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_Toc1698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_Toc21176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_Toc21176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_Toc5238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tab/>
          </w:r>
          <w:r>
            <w:fldChar w:fldCharType="begin"/>
          </w:r>
          <w:r>
            <w:instrText xml:space="preserve"> PAGEREF _Toc5238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_Toc432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_Toc432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_Toc30036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_Toc30036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_Toc12388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_Toc12388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_Toc9581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_Toc9581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_Toc23313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_Toc23313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_Toc9625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_Toc9625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_Toc18069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_Toc18069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_Toc22806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_Toc22806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_Toc7080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_Toc7080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_Toc5732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_Toc5732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_Toc3271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_Toc3271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_Toc11271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_Toc11271 \h </w:instrText>
          </w:r>
          <w:r>
            <w:fldChar w:fldCharType="separate"/>
          </w:r>
          <w:r>
            <w:t>18</w:t>
          </w:r>
          <w:r>
            <w:fldChar w:fldCharType="end"/>
          </w:r>
          <w:r>
            <w:rPr>
              <w:rFonts w:hint="eastAsia" w:ascii="宋体" w:hAnsi="宋体" w:eastAsia="方正小标宋简体" w:cs="方正小标宋简体"/>
              <w:bCs/>
              <w:szCs w:val="48"/>
              <w:lang w:val="en-US" w:eastAsia="zh-CN"/>
            </w:rPr>
            <w:fldChar w:fldCharType="end"/>
          </w:r>
        </w:p>
        <w:p>
          <w:pPr>
            <w:pStyle w:val="5"/>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pPr>
        <w:pStyle w:val="5"/>
        <w:rPr>
          <w:rFonts w:ascii="宋体" w:hAnsi="宋体"/>
          <w:sz w:val="20"/>
        </w:rPr>
        <w:sectPr>
          <w:headerReference r:id="rId3" w:type="default"/>
          <w:footerReference r:id="rId4" w:type="default"/>
          <w:pgSz w:w="11910" w:h="16840"/>
          <w:pgMar w:top="1587" w:right="964" w:bottom="1701" w:left="1134" w:header="737" w:footer="737" w:gutter="0"/>
          <w:pgNumType w:fmt="decimal" w:start="1"/>
          <w:cols w:space="0" w:num="1"/>
          <w:rtlGutter w:val="0"/>
          <w:docGrid w:linePitch="0" w:charSpace="0"/>
        </w:sect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spacing w:before="3"/>
        <w:rPr>
          <w:rFonts w:ascii="宋体" w:hAnsi="宋体"/>
          <w:sz w:val="28"/>
        </w:rPr>
      </w:pPr>
    </w:p>
    <w:p>
      <w:pPr>
        <w:pStyle w:val="5"/>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19670"/>
      <w:r>
        <w:rPr>
          <w:rFonts w:hint="eastAsia" w:ascii="宋体" w:hAnsi="宋体" w:eastAsia="方正小标宋简体" w:cs="方正小标宋简体"/>
          <w:b/>
          <w:bCs/>
          <w:sz w:val="52"/>
          <w:szCs w:val="52"/>
          <w:lang w:val="en-US" w:eastAsia="zh-CN"/>
        </w:rPr>
        <w:t>部门概况</w:t>
      </w:r>
      <w:bookmarkEnd w:id="0"/>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5" w:type="default"/>
          <w:pgSz w:w="11910" w:h="16840"/>
          <w:pgMar w:top="1587" w:right="964" w:bottom="1701" w:left="1134" w:header="737" w:footer="737" w:gutter="0"/>
          <w:pgNumType w:fmt="decimal" w:start="1"/>
          <w:cols w:space="0" w:num="1"/>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1" w:name="_Toc18671"/>
      <w:r>
        <w:rPr>
          <w:rFonts w:hint="eastAsia" w:ascii="黑体" w:hAnsi="黑体" w:eastAsia="黑体" w:cs="黑体"/>
          <w:sz w:val="32"/>
          <w:szCs w:val="32"/>
        </w:rPr>
        <w:t>一、基本职能及主要工作</w:t>
      </w:r>
      <w:bookmarkEnd w:id="1"/>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eastAsia="zh-CN"/>
        </w:rPr>
      </w:pPr>
      <w:bookmarkStart w:id="2" w:name="_Toc2022"/>
      <w:r>
        <w:rPr>
          <w:rFonts w:hint="eastAsia" w:ascii="楷体_GB2312" w:hAnsi="楷体_GB2312" w:eastAsia="楷体_GB2312" w:cs="楷体_GB2312"/>
          <w:sz w:val="32"/>
          <w:szCs w:val="32"/>
        </w:rPr>
        <w:t>（一）部门职能简介</w:t>
      </w:r>
      <w:bookmarkEnd w:id="2"/>
      <w:bookmarkStart w:id="3" w:name="_Toc12566"/>
    </w:p>
    <w:p>
      <w:pPr>
        <w:keepNext w:val="0"/>
        <w:keepLines w:val="0"/>
        <w:pageBreakBefore w:val="0"/>
        <w:widowControl w:val="0"/>
        <w:kinsoku/>
        <w:wordWrap/>
        <w:overflowPunct/>
        <w:topLinePunct w:val="0"/>
        <w:autoSpaceDE w:val="0"/>
        <w:autoSpaceDN w:val="0"/>
        <w:bidi w:val="0"/>
        <w:adjustRightInd/>
        <w:spacing w:line="57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组织起草、审查区人大常委会、党组、区人大常委会办公室文件，会议材料以及领导讲话，搞好信息调研和宣传报道工</w:t>
      </w:r>
      <w:r>
        <w:rPr>
          <w:rFonts w:hint="eastAsia" w:ascii="仿宋_GB2312" w:hAnsi="仿宋_GB2312" w:eastAsia="仿宋_GB2312" w:cs="仿宋_GB2312"/>
          <w:sz w:val="32"/>
          <w:szCs w:val="32"/>
          <w:highlight w:val="none"/>
        </w:rPr>
        <w:t>作。</w:t>
      </w:r>
    </w:p>
    <w:p>
      <w:pPr>
        <w:keepNext w:val="0"/>
        <w:keepLines w:val="0"/>
        <w:pageBreakBefore w:val="0"/>
        <w:widowControl w:val="0"/>
        <w:kinsoku/>
        <w:wordWrap/>
        <w:overflowPunct/>
        <w:topLinePunct w:val="0"/>
        <w:autoSpaceDE w:val="0"/>
        <w:autoSpaceDN w:val="0"/>
        <w:bidi w:val="0"/>
        <w:adjustRightInd/>
        <w:spacing w:line="57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负责区人大常委会机关日常文书的处理。</w:t>
      </w:r>
    </w:p>
    <w:p>
      <w:pPr>
        <w:keepNext w:val="0"/>
        <w:keepLines w:val="0"/>
        <w:pageBreakBefore w:val="0"/>
        <w:widowControl w:val="0"/>
        <w:kinsoku/>
        <w:wordWrap/>
        <w:overflowPunct/>
        <w:topLinePunct w:val="0"/>
        <w:autoSpaceDE w:val="0"/>
        <w:autoSpaceDN w:val="0"/>
        <w:bidi w:val="0"/>
        <w:adjustRightInd/>
        <w:spacing w:line="57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组织、筹备区人民代表大会、人大常委会</w:t>
      </w:r>
      <w:r>
        <w:rPr>
          <w:rFonts w:hint="eastAsia" w:ascii="仿宋_GB2312" w:hAnsi="仿宋_GB2312" w:eastAsia="仿宋_GB2312" w:cs="仿宋_GB2312"/>
          <w:sz w:val="32"/>
          <w:szCs w:val="32"/>
          <w:highlight w:val="none"/>
          <w:lang w:eastAsia="zh-CN"/>
        </w:rPr>
        <w:t>会议</w:t>
      </w:r>
      <w:r>
        <w:rPr>
          <w:rFonts w:hint="eastAsia" w:ascii="仿宋_GB2312" w:hAnsi="仿宋_GB2312" w:eastAsia="仿宋_GB2312" w:cs="仿宋_GB2312"/>
          <w:sz w:val="32"/>
          <w:szCs w:val="32"/>
          <w:highlight w:val="none"/>
        </w:rPr>
        <w:t>、主任会以及党组会等会议，并做好会务工作。</w:t>
      </w:r>
    </w:p>
    <w:p>
      <w:pPr>
        <w:keepNext w:val="0"/>
        <w:keepLines w:val="0"/>
        <w:pageBreakBefore w:val="0"/>
        <w:widowControl w:val="0"/>
        <w:kinsoku/>
        <w:wordWrap/>
        <w:overflowPunct/>
        <w:topLinePunct w:val="0"/>
        <w:autoSpaceDE w:val="0"/>
        <w:autoSpaceDN w:val="0"/>
        <w:bidi w:val="0"/>
        <w:adjustRightInd/>
        <w:spacing w:line="57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督查督办区人大常委会决定、决议、审议意见的执行情况。</w:t>
      </w:r>
    </w:p>
    <w:p>
      <w:pPr>
        <w:keepNext w:val="0"/>
        <w:keepLines w:val="0"/>
        <w:pageBreakBefore w:val="0"/>
        <w:widowControl w:val="0"/>
        <w:kinsoku/>
        <w:wordWrap/>
        <w:overflowPunct/>
        <w:topLinePunct w:val="0"/>
        <w:autoSpaceDE w:val="0"/>
        <w:autoSpaceDN w:val="0"/>
        <w:bidi w:val="0"/>
        <w:adjustRightInd/>
        <w:spacing w:line="57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协助工委搞好审议议题的调研工作。</w:t>
      </w:r>
    </w:p>
    <w:p>
      <w:pPr>
        <w:keepNext w:val="0"/>
        <w:keepLines w:val="0"/>
        <w:pageBreakBefore w:val="0"/>
        <w:widowControl w:val="0"/>
        <w:kinsoku/>
        <w:wordWrap/>
        <w:overflowPunct/>
        <w:topLinePunct w:val="0"/>
        <w:autoSpaceDE w:val="0"/>
        <w:autoSpaceDN w:val="0"/>
        <w:bidi w:val="0"/>
        <w:adjustRightInd/>
        <w:spacing w:line="57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做好上级和本级人大常委会开展的视察、</w:t>
      </w:r>
      <w:r>
        <w:rPr>
          <w:rFonts w:hint="eastAsia" w:ascii="仿宋_GB2312" w:hAnsi="仿宋_GB2312" w:eastAsia="仿宋_GB2312" w:cs="仿宋_GB2312"/>
          <w:sz w:val="32"/>
          <w:szCs w:val="32"/>
          <w:highlight w:val="none"/>
          <w:lang w:eastAsia="zh-CN"/>
        </w:rPr>
        <w:t>执法检查、调研</w:t>
      </w:r>
      <w:r>
        <w:rPr>
          <w:rFonts w:hint="eastAsia" w:ascii="仿宋_GB2312" w:hAnsi="仿宋_GB2312" w:eastAsia="仿宋_GB2312" w:cs="仿宋_GB2312"/>
          <w:sz w:val="32"/>
          <w:szCs w:val="32"/>
          <w:highlight w:val="none"/>
        </w:rPr>
        <w:t>等活动的组织协调工作。</w:t>
      </w:r>
    </w:p>
    <w:p>
      <w:pPr>
        <w:keepNext w:val="0"/>
        <w:keepLines w:val="0"/>
        <w:pageBreakBefore w:val="0"/>
        <w:widowControl w:val="0"/>
        <w:kinsoku/>
        <w:wordWrap/>
        <w:overflowPunct/>
        <w:topLinePunct w:val="0"/>
        <w:autoSpaceDE w:val="0"/>
        <w:autoSpaceDN w:val="0"/>
        <w:bidi w:val="0"/>
        <w:adjustRightInd/>
        <w:spacing w:line="57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做好机关的</w:t>
      </w:r>
      <w:r>
        <w:rPr>
          <w:rFonts w:hint="eastAsia" w:ascii="仿宋_GB2312" w:hAnsi="仿宋_GB2312" w:eastAsia="仿宋_GB2312" w:cs="仿宋_GB2312"/>
          <w:sz w:val="32"/>
          <w:szCs w:val="32"/>
          <w:highlight w:val="none"/>
          <w:lang w:eastAsia="zh-CN"/>
        </w:rPr>
        <w:t>党建、保密、档案、人事管理</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目标管理、</w:t>
      </w:r>
      <w:r>
        <w:rPr>
          <w:rFonts w:hint="eastAsia" w:ascii="仿宋_GB2312" w:hAnsi="仿宋_GB2312" w:eastAsia="仿宋_GB2312" w:cs="仿宋_GB2312"/>
          <w:sz w:val="32"/>
          <w:szCs w:val="32"/>
          <w:highlight w:val="none"/>
        </w:rPr>
        <w:t>安全保卫、行政后勤、财务管理、公务接待等工作。</w:t>
      </w:r>
    </w:p>
    <w:p>
      <w:pPr>
        <w:pStyle w:val="2"/>
        <w:keepNext w:val="0"/>
        <w:keepLines w:val="0"/>
        <w:pageBreakBefore w:val="0"/>
        <w:widowControl w:val="0"/>
        <w:kinsoku/>
        <w:wordWrap/>
        <w:overflowPunct/>
        <w:topLinePunct w:val="0"/>
        <w:autoSpaceDE w:val="0"/>
        <w:autoSpaceDN w:val="0"/>
        <w:bidi w:val="0"/>
        <w:adjustRightInd/>
        <w:spacing w:line="570" w:lineRule="exact"/>
        <w:textAlignment w:val="auto"/>
        <w:rPr>
          <w:rFonts w:hint="default" w:eastAsia="仿宋_GB2312"/>
          <w:highlight w:val="none"/>
          <w:lang w:val="en-US" w:eastAsia="zh-CN"/>
        </w:rPr>
      </w:pPr>
      <w:r>
        <w:rPr>
          <w:rFonts w:hint="eastAsia" w:ascii="仿宋_GB2312" w:hAnsi="仿宋_GB2312" w:eastAsia="仿宋_GB2312" w:cs="仿宋_GB2312"/>
          <w:sz w:val="32"/>
          <w:szCs w:val="32"/>
          <w:highlight w:val="none"/>
          <w:lang w:val="en-US" w:eastAsia="zh-CN"/>
        </w:rPr>
        <w:t xml:space="preserve">    8.负责区人大常委会机关信息网络建设和办公自动化建设。</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负责</w:t>
      </w:r>
      <w:r>
        <w:rPr>
          <w:rFonts w:hint="eastAsia" w:ascii="仿宋_GB2312" w:hAnsi="仿宋_GB2312" w:eastAsia="仿宋_GB2312" w:cs="仿宋_GB2312"/>
          <w:sz w:val="32"/>
          <w:szCs w:val="32"/>
          <w:highlight w:val="none"/>
          <w:lang w:eastAsia="zh-CN"/>
        </w:rPr>
        <w:t>办理区人大</w:t>
      </w:r>
      <w:r>
        <w:rPr>
          <w:rFonts w:hint="eastAsia" w:ascii="仿宋_GB2312" w:hAnsi="仿宋_GB2312" w:eastAsia="仿宋_GB2312" w:cs="仿宋_GB2312"/>
          <w:sz w:val="32"/>
          <w:szCs w:val="32"/>
          <w:highlight w:val="none"/>
        </w:rPr>
        <w:t>常委会领导交办的其他工作。</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（二）部门</w:t>
      </w:r>
      <w:r>
        <w:rPr>
          <w:rFonts w:hint="eastAsia" w:ascii="楷体_GB2312" w:hAnsi="楷体_GB2312" w:eastAsia="楷体_GB2312" w:cs="楷体_GB2312"/>
          <w:sz w:val="32"/>
          <w:szCs w:val="32"/>
          <w:lang w:val="en-US" w:eastAsia="zh-CN"/>
        </w:rPr>
        <w:t>2026</w:t>
      </w:r>
      <w:r>
        <w:rPr>
          <w:rFonts w:hint="eastAsia" w:ascii="楷体_GB2312" w:hAnsi="楷体_GB2312" w:eastAsia="楷体_GB2312" w:cs="楷体_GB2312"/>
          <w:sz w:val="32"/>
          <w:szCs w:val="32"/>
        </w:rPr>
        <w:t>年重点工作</w:t>
      </w:r>
      <w:bookmarkEnd w:id="3"/>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bookmarkStart w:id="4" w:name="_Toc2840"/>
      <w:r>
        <w:rPr>
          <w:rFonts w:hint="eastAsia" w:ascii="仿宋_GB2312" w:hAnsi="仿宋_GB2312" w:eastAsia="仿宋_GB2312" w:cs="仿宋_GB2312"/>
          <w:sz w:val="32"/>
          <w:szCs w:val="32"/>
          <w:lang w:val="en-US" w:eastAsia="zh-CN"/>
        </w:rPr>
        <w:t>1.以政治建设为统领，把牢正确履职方向</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不断强化思想理论武装。坚持把习近平新时代中国特色社会主义思想作为一切工作的根本遵循和行动指南。坚决落实党的全面领导。严格执行请示报告制度，坚决贯彻落实区委决策部署。自觉把人大工作置于全区改革发展大局中来谋划和推进，助推区人大常委会依法行使重大事项决定权，规范行使人事任免权。</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2.以服务大局为重点，增强监督工作实效</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协调、服务区人大常委会视察全区重点项目推进情况，强化对国民经济运行、预算决算审查、国有资产管理、政府债务管理、金融工作等监督；开展《四川省供销合作社条例》执法检查，听取“两院”半年工作情况报告，听取区监委关于整治群众身边不正之风和腐败问题情况的报告，加强对规范性文件的备案审查；听取审议环境保护和环境目标完成情况报告，听取涉危险化学品企业安全生产、和美乡村建设情况、教育高质量发展工作等报告，视察全区宗教活动场所规范化管理工作、卫健重点项目、人大代表票决民生实事项目推进情况，调研文体旅融合发展情况；对区应急局、区文广体育旅游局开展工作评议。</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3.以机制建设为抓手，提升代表履职成效</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不断探索代表履职新方式，多形式组织代表学习培训，更好支持和保障代表依法履职。完善代表履职评价机制，开展代表述职测评。深化“我为群众办实事——人大代表在行动”“履职作表率、建功新时代”实践活动，组织代表开展专题调研、集中视察，推动代表在产业发展、基层治理中发挥作用。</w:t>
      </w:r>
    </w:p>
    <w:p>
      <w:pPr>
        <w:keepNext w:val="0"/>
        <w:keepLines w:val="0"/>
        <w:pageBreakBefore w:val="0"/>
        <w:widowControl w:val="0"/>
        <w:kinsoku/>
        <w:wordWrap/>
        <w:overflowPunct/>
        <w:topLinePunct w:val="0"/>
        <w:autoSpaceDE w:val="0"/>
        <w:autoSpaceDN w:val="0"/>
        <w:bidi w:val="0"/>
        <w:adjustRightInd/>
        <w:snapToGrid/>
        <w:spacing w:line="57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健全代表建议“重点督办+满意度测评”机制，推动建议办理从“答复满意”向“结果满意”转变。持续推进民生实事项目人大代表票决制工作，加强项目实施监督。</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4.以自身建设为根基，提升机关能力水平</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把党的政治建设摆在首位，锚定“四个机关”定位要求，持续强化学习，推进高效执行。坚持常委会会议学法制度，加强人大干部法律法规、经济金融、数字治理等知识学习。推动基层人大工作规范化、制度化，形成全区人大工作整体合力。深挖各级人大代表履职为民事迹，讲好人大故事，传递人大声音。</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二、部门预算单位构成</w:t>
      </w:r>
      <w:bookmarkEnd w:id="4"/>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部门下属预算单位2个（含机关），其中行政单位1个，参照公务员法管理的事业单位0个，其他事业单位1个。主要包括：</w:t>
      </w:r>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p>
    <w:tbl>
      <w:tblPr>
        <w:tblStyle w:val="11"/>
        <w:tblW w:w="828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1" w:hRule="atLeast"/>
          <w:jc w:val="center"/>
        </w:trPr>
        <w:tc>
          <w:tcPr>
            <w:tcW w:w="2007" w:type="dxa"/>
          </w:tcPr>
          <w:p>
            <w:pPr>
              <w:pStyle w:val="17"/>
              <w:spacing w:before="159"/>
              <w:ind w:left="748"/>
              <w:rPr>
                <w:rFonts w:hint="eastAsia" w:ascii="黑体" w:hAnsi="黑体" w:eastAsia="黑体" w:cs="黑体"/>
                <w:sz w:val="32"/>
              </w:rPr>
            </w:pPr>
            <w:r>
              <w:rPr>
                <w:rFonts w:hint="eastAsia" w:ascii="黑体" w:hAnsi="黑体" w:eastAsia="黑体" w:cs="黑体"/>
                <w:color w:val="333333"/>
                <w:sz w:val="32"/>
              </w:rPr>
              <w:t>序号</w:t>
            </w:r>
          </w:p>
        </w:tc>
        <w:tc>
          <w:tcPr>
            <w:tcW w:w="6282" w:type="dxa"/>
          </w:tcPr>
          <w:p>
            <w:pPr>
              <w:pStyle w:val="17"/>
              <w:spacing w:before="159"/>
              <w:ind w:left="2498"/>
              <w:rPr>
                <w:rFonts w:hint="eastAsia" w:ascii="黑体" w:hAnsi="黑体" w:eastAsia="黑体" w:cs="黑体"/>
                <w:sz w:val="32"/>
              </w:rPr>
            </w:pPr>
            <w:r>
              <w:rPr>
                <w:rFonts w:hint="eastAsia" w:ascii="黑体" w:hAnsi="黑体" w:eastAsia="黑体" w:cs="黑体"/>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1" w:hRule="atLeast"/>
          <w:jc w:val="center"/>
        </w:trPr>
        <w:tc>
          <w:tcPr>
            <w:tcW w:w="2007" w:type="dxa"/>
            <w:vAlign w:val="center"/>
          </w:tcPr>
          <w:p>
            <w:pPr>
              <w:pStyle w:val="17"/>
              <w:spacing w:before="181"/>
              <w:ind w:left="748"/>
              <w:jc w:val="both"/>
              <w:rPr>
                <w:rFonts w:hint="eastAsia" w:ascii="仿宋_GB2312" w:hAnsi="仿宋_GB2312" w:eastAsia="仿宋_GB2312" w:cs="仿宋_GB2312"/>
                <w:sz w:val="32"/>
              </w:rPr>
            </w:pPr>
            <w:r>
              <w:rPr>
                <w:rFonts w:hint="eastAsia" w:ascii="仿宋_GB2312" w:hAnsi="仿宋_GB2312" w:eastAsia="仿宋_GB2312" w:cs="仿宋_GB2312"/>
                <w:color w:val="333333"/>
                <w:w w:val="99"/>
                <w:sz w:val="32"/>
              </w:rPr>
              <w:t>1</w:t>
            </w:r>
          </w:p>
        </w:tc>
        <w:tc>
          <w:tcPr>
            <w:tcW w:w="6282" w:type="dxa"/>
            <w:vAlign w:val="center"/>
          </w:tcPr>
          <w:p>
            <w:pPr>
              <w:pStyle w:val="17"/>
              <w:spacing w:before="160"/>
              <w:jc w:val="both"/>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201001-</w:t>
            </w:r>
            <w:r>
              <w:rPr>
                <w:rFonts w:hint="eastAsia" w:ascii="仿宋_GB2312" w:hAnsi="仿宋_GB2312" w:eastAsia="仿宋_GB2312" w:cs="仿宋_GB2312"/>
                <w:sz w:val="32"/>
                <w:lang w:eastAsia="zh-CN"/>
              </w:rPr>
              <w:t>五通桥区人大常委会办公室</w:t>
            </w:r>
            <w:r>
              <w:rPr>
                <w:rFonts w:hint="eastAsia" w:ascii="仿宋_GB2312" w:hAnsi="仿宋_GB2312" w:eastAsia="仿宋_GB2312" w:cs="仿宋_GB2312"/>
                <w:sz w:val="32"/>
              </w:rPr>
              <w:t>机关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4" w:hRule="atLeast"/>
          <w:jc w:val="center"/>
        </w:trPr>
        <w:tc>
          <w:tcPr>
            <w:tcW w:w="2007" w:type="dxa"/>
            <w:vAlign w:val="center"/>
          </w:tcPr>
          <w:p>
            <w:pPr>
              <w:pStyle w:val="17"/>
              <w:spacing w:before="183"/>
              <w:ind w:left="748"/>
              <w:jc w:val="both"/>
              <w:rPr>
                <w:rFonts w:hint="eastAsia" w:ascii="仿宋_GB2312" w:hAnsi="仿宋_GB2312" w:eastAsia="仿宋_GB2312" w:cs="仿宋_GB2312"/>
                <w:sz w:val="32"/>
              </w:rPr>
            </w:pPr>
            <w:r>
              <w:rPr>
                <w:rFonts w:hint="eastAsia" w:ascii="仿宋_GB2312" w:hAnsi="仿宋_GB2312" w:eastAsia="仿宋_GB2312" w:cs="仿宋_GB2312"/>
                <w:color w:val="333333"/>
                <w:w w:val="99"/>
                <w:sz w:val="32"/>
              </w:rPr>
              <w:t>2</w:t>
            </w:r>
          </w:p>
        </w:tc>
        <w:tc>
          <w:tcPr>
            <w:tcW w:w="6282" w:type="dxa"/>
            <w:vAlign w:val="center"/>
          </w:tcPr>
          <w:p>
            <w:pPr>
              <w:pStyle w:val="17"/>
              <w:spacing w:before="162"/>
              <w:jc w:val="both"/>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201002-五通桥区人大常委会办公室信息服务和预算联网中心</w:t>
            </w:r>
          </w:p>
        </w:tc>
      </w:tr>
    </w:tbl>
    <w:p>
      <w:pPr>
        <w:rPr>
          <w:rFonts w:ascii="宋体" w:hAnsi="宋体"/>
          <w:sz w:val="20"/>
        </w:rPr>
      </w:pPr>
      <w:r>
        <w:rPr>
          <w:rFonts w:ascii="宋体" w:hAnsi="宋体"/>
          <w:sz w:val="20"/>
        </w:rPr>
        <w:br w:type="page"/>
      </w: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18677"/>
      <w:r>
        <w:rPr>
          <w:rFonts w:hint="eastAsia" w:ascii="宋体" w:hAnsi="宋体" w:eastAsia="方正小标宋简体" w:cs="方正小标宋简体"/>
          <w:b/>
          <w:bCs/>
          <w:sz w:val="52"/>
          <w:szCs w:val="52"/>
          <w:lang w:val="en-US" w:eastAsia="zh-CN"/>
        </w:rPr>
        <w:t>五通桥区人大常委会办公室机关2026年部门预算表</w:t>
      </w:r>
      <w:bookmarkEnd w:id="5"/>
    </w:p>
    <w:p>
      <w:pPr>
        <w:rPr>
          <w:rFonts w:hint="eastAsia" w:ascii="宋体" w:hAnsi="宋体"/>
          <w:sz w:val="32"/>
          <w:lang w:val="en-US" w:eastAsia="zh-CN"/>
        </w:rPr>
      </w:pPr>
      <w:r>
        <w:rPr>
          <w:rFonts w:ascii="宋体" w:hAnsi="宋体"/>
          <w:color w:val="333333"/>
        </w:rPr>
        <w:br w:type="page"/>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6" w:name="_Toc31973"/>
      <w:r>
        <w:rPr>
          <w:rFonts w:hint="eastAsia" w:ascii="仿宋_GB2312" w:hAnsi="仿宋_GB2312" w:eastAsia="仿宋_GB2312" w:cs="仿宋_GB2312"/>
          <w:sz w:val="32"/>
          <w:lang w:val="en-US" w:eastAsia="zh-CN"/>
        </w:rPr>
        <w:t>一、收支预算总表（收支总表1）</w:t>
      </w:r>
      <w:bookmarkEnd w:id="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7" w:name="_Toc25837"/>
      <w:r>
        <w:rPr>
          <w:rFonts w:hint="eastAsia" w:ascii="仿宋_GB2312" w:hAnsi="仿宋_GB2312" w:eastAsia="仿宋_GB2312" w:cs="仿宋_GB2312"/>
          <w:sz w:val="32"/>
          <w:lang w:val="en-US" w:eastAsia="zh-CN"/>
        </w:rPr>
        <w:t>二、收入预算总表（收入总表2）</w:t>
      </w:r>
      <w:bookmarkEnd w:id="7"/>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8" w:name="_Toc31742"/>
      <w:r>
        <w:rPr>
          <w:rFonts w:hint="eastAsia" w:ascii="仿宋_GB2312" w:hAnsi="仿宋_GB2312" w:eastAsia="仿宋_GB2312" w:cs="仿宋_GB2312"/>
          <w:sz w:val="32"/>
          <w:lang w:val="en-US" w:eastAsia="zh-CN"/>
        </w:rPr>
        <w:t>三、征收预期表（征收预期3）</w:t>
      </w:r>
      <w:bookmarkEnd w:id="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9" w:name="_Toc31035"/>
      <w:r>
        <w:rPr>
          <w:rFonts w:hint="eastAsia" w:ascii="仿宋_GB2312" w:hAnsi="仿宋_GB2312" w:eastAsia="仿宋_GB2312" w:cs="仿宋_GB2312"/>
          <w:sz w:val="32"/>
          <w:lang w:val="en-US" w:eastAsia="zh-CN"/>
        </w:rPr>
        <w:t>四、支出预算总表（支出总表4）</w:t>
      </w:r>
      <w:bookmarkEnd w:id="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0" w:name="_Toc27240"/>
      <w:r>
        <w:rPr>
          <w:rFonts w:hint="eastAsia" w:ascii="仿宋_GB2312" w:hAnsi="仿宋_GB2312" w:eastAsia="仿宋_GB2312" w:cs="仿宋_GB2312"/>
          <w:sz w:val="32"/>
          <w:lang w:val="en-US" w:eastAsia="zh-CN"/>
        </w:rPr>
        <w:t>五、财政拨款预算总表（财拨总表5）</w:t>
      </w:r>
      <w:bookmarkEnd w:id="1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1" w:name="_Toc2978"/>
      <w:r>
        <w:rPr>
          <w:rFonts w:hint="eastAsia" w:ascii="仿宋_GB2312" w:hAnsi="仿宋_GB2312" w:eastAsia="仿宋_GB2312" w:cs="仿宋_GB2312"/>
          <w:sz w:val="32"/>
          <w:lang w:val="en-US" w:eastAsia="zh-CN"/>
        </w:rPr>
        <w:t>六、一般公共预算支出表（一般预算支出6）</w:t>
      </w:r>
      <w:bookmarkEnd w:id="11"/>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2" w:name="_Toc31587"/>
      <w:r>
        <w:rPr>
          <w:rFonts w:hint="eastAsia" w:ascii="仿宋_GB2312" w:hAnsi="仿宋_GB2312" w:eastAsia="仿宋_GB2312" w:cs="仿宋_GB2312"/>
          <w:sz w:val="32"/>
          <w:lang w:val="en-US" w:eastAsia="zh-CN"/>
        </w:rPr>
        <w:t>七、一般公共预算基本支出表（基本支出7）</w:t>
      </w:r>
      <w:bookmarkEnd w:id="12"/>
      <w:r>
        <w:rPr>
          <w:rFonts w:hint="eastAsia" w:ascii="仿宋_GB2312" w:hAnsi="仿宋_GB2312" w:eastAsia="仿宋_GB2312" w:cs="仿宋_GB2312"/>
          <w:sz w:val="32"/>
          <w:lang w:val="en-US" w:eastAsia="zh-CN"/>
        </w:rPr>
        <w:t xml:space="preserve"> </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3" w:name="_Toc23750"/>
      <w:r>
        <w:rPr>
          <w:rFonts w:hint="eastAsia" w:ascii="仿宋_GB2312" w:hAnsi="仿宋_GB2312" w:eastAsia="仿宋_GB2312" w:cs="仿宋_GB2312"/>
          <w:sz w:val="32"/>
          <w:lang w:val="en-US" w:eastAsia="zh-CN"/>
        </w:rPr>
        <w:t>八、一般公共预算“三公”经费支出预算表（三公8）</w:t>
      </w:r>
      <w:bookmarkEnd w:id="13"/>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4" w:name="_Toc26074"/>
      <w:r>
        <w:rPr>
          <w:rFonts w:hint="eastAsia" w:ascii="仿宋_GB2312" w:hAnsi="仿宋_GB2312" w:eastAsia="仿宋_GB2312" w:cs="仿宋_GB2312"/>
          <w:sz w:val="32"/>
          <w:lang w:val="en-US" w:eastAsia="zh-CN"/>
        </w:rPr>
        <w:t>九、政府性基金预算支出表（基金9）</w:t>
      </w:r>
      <w:bookmarkEnd w:id="14"/>
      <w:r>
        <w:rPr>
          <w:rFonts w:hint="eastAsia" w:ascii="仿宋_GB2312" w:hAnsi="仿宋_GB2312" w:eastAsia="仿宋_GB2312" w:cs="仿宋_GB2312"/>
          <w:sz w:val="32"/>
          <w:lang w:val="en-US" w:eastAsia="zh-CN"/>
        </w:rPr>
        <w:t xml:space="preserve"> </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5" w:name="_Toc17747"/>
      <w:r>
        <w:rPr>
          <w:rFonts w:hint="eastAsia" w:ascii="仿宋_GB2312" w:hAnsi="仿宋_GB2312" w:eastAsia="仿宋_GB2312" w:cs="仿宋_GB2312"/>
          <w:sz w:val="32"/>
          <w:lang w:val="en-US" w:eastAsia="zh-CN"/>
        </w:rPr>
        <w:t>十、国有资本经营预算支出表（国资10）</w:t>
      </w:r>
      <w:bookmarkEnd w:id="15"/>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6" w:name="_Toc28533"/>
      <w:r>
        <w:rPr>
          <w:rFonts w:hint="eastAsia" w:ascii="仿宋_GB2312" w:hAnsi="仿宋_GB2312" w:eastAsia="仿宋_GB2312" w:cs="仿宋_GB2312"/>
          <w:sz w:val="32"/>
          <w:lang w:val="en-US" w:eastAsia="zh-CN"/>
        </w:rPr>
        <w:t>十一、支出功能分类预算表（支出功能11）</w:t>
      </w:r>
      <w:bookmarkEnd w:id="1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7" w:name="_Toc11609"/>
      <w:r>
        <w:rPr>
          <w:rFonts w:hint="eastAsia" w:ascii="仿宋_GB2312" w:hAnsi="仿宋_GB2312" w:eastAsia="仿宋_GB2312" w:cs="仿宋_GB2312"/>
          <w:sz w:val="32"/>
          <w:lang w:val="en-US" w:eastAsia="zh-CN"/>
        </w:rPr>
        <w:t>十二、支出经济分类预算表（支出经济分类12）</w:t>
      </w:r>
      <w:bookmarkEnd w:id="17"/>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8" w:name="_Toc15617"/>
      <w:r>
        <w:rPr>
          <w:rFonts w:hint="eastAsia" w:ascii="仿宋_GB2312" w:hAnsi="仿宋_GB2312" w:eastAsia="仿宋_GB2312" w:cs="仿宋_GB2312"/>
          <w:sz w:val="32"/>
          <w:lang w:val="en-US" w:eastAsia="zh-CN"/>
        </w:rPr>
        <w:t>十三、上级资金安排情况表（上级资金安排13）</w:t>
      </w:r>
      <w:bookmarkEnd w:id="18"/>
      <w:r>
        <w:rPr>
          <w:rFonts w:hint="eastAsia" w:ascii="仿宋_GB2312" w:hAnsi="仿宋_GB2312" w:eastAsia="仿宋_GB2312" w:cs="仿宋_GB2312"/>
          <w:sz w:val="32"/>
          <w:lang w:val="en-US" w:eastAsia="zh-CN"/>
        </w:rPr>
        <w:t xml:space="preserve"> </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19" w:name="_Toc30594"/>
      <w:r>
        <w:rPr>
          <w:rFonts w:hint="eastAsia" w:ascii="仿宋_GB2312" w:hAnsi="仿宋_GB2312" w:eastAsia="仿宋_GB2312" w:cs="仿宋_GB2312"/>
          <w:sz w:val="32"/>
          <w:lang w:val="en-US" w:eastAsia="zh-CN"/>
        </w:rPr>
        <w:t>十四、项目支出表（项目支出14）</w:t>
      </w:r>
      <w:bookmarkEnd w:id="1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0" w:name="_Toc31559"/>
      <w:r>
        <w:rPr>
          <w:rFonts w:hint="eastAsia" w:ascii="仿宋_GB2312" w:hAnsi="仿宋_GB2312" w:eastAsia="仿宋_GB2312" w:cs="仿宋_GB2312"/>
          <w:sz w:val="32"/>
          <w:lang w:val="en-US" w:eastAsia="zh-CN"/>
        </w:rPr>
        <w:t>十五、项目支出预算明细表（项目明细表</w:t>
      </w:r>
      <w:r>
        <w:rPr>
          <w:rFonts w:hint="eastAsia" w:cs="仿宋_GB2312"/>
          <w:sz w:val="32"/>
          <w:lang w:val="en-US" w:eastAsia="zh-CN"/>
        </w:rPr>
        <w:t>15</w:t>
      </w:r>
      <w:r>
        <w:rPr>
          <w:rFonts w:hint="eastAsia" w:ascii="仿宋_GB2312" w:hAnsi="仿宋_GB2312" w:eastAsia="仿宋_GB2312" w:cs="仿宋_GB2312"/>
          <w:sz w:val="32"/>
          <w:lang w:val="en-US" w:eastAsia="zh-CN"/>
        </w:rPr>
        <w:t>）</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十六、政府购买服务预算表（购买服务16）</w:t>
      </w:r>
      <w:bookmarkEnd w:id="2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1" w:name="_Toc18193"/>
      <w:bookmarkStart w:id="22" w:name="_Toc16458"/>
      <w:r>
        <w:rPr>
          <w:rFonts w:hint="eastAsia" w:ascii="仿宋_GB2312" w:hAnsi="仿宋_GB2312" w:eastAsia="仿宋_GB2312" w:cs="仿宋_GB2312"/>
          <w:sz w:val="32"/>
          <w:lang w:val="en-US" w:eastAsia="zh-CN"/>
        </w:rPr>
        <w:t>十七、采购需求表（采购需求表17）</w:t>
      </w:r>
      <w:bookmarkEnd w:id="21"/>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3" w:name="_Toc19349"/>
      <w:r>
        <w:rPr>
          <w:rFonts w:hint="eastAsia" w:ascii="仿宋_GB2312" w:hAnsi="仿宋_GB2312" w:eastAsia="仿宋_GB2312" w:cs="仿宋_GB2312"/>
          <w:sz w:val="32"/>
          <w:lang w:val="en-US" w:eastAsia="zh-CN"/>
        </w:rPr>
        <w:t>十八、国有资产配置预算表（资产18）</w:t>
      </w:r>
      <w:bookmarkEnd w:id="23"/>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4" w:name="_Toc32464"/>
      <w:r>
        <w:rPr>
          <w:rFonts w:hint="eastAsia" w:ascii="仿宋_GB2312" w:hAnsi="仿宋_GB2312" w:eastAsia="仿宋_GB2312" w:cs="仿宋_GB2312"/>
          <w:sz w:val="32"/>
          <w:lang w:val="en-US" w:eastAsia="zh-CN"/>
        </w:rPr>
        <w:t>十九、项目支出绩效表（项目绩效19）</w:t>
      </w:r>
      <w:bookmarkEnd w:id="24"/>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5" w:name="_Toc31102"/>
      <w:r>
        <w:rPr>
          <w:rFonts w:hint="eastAsia" w:ascii="仿宋_GB2312" w:hAnsi="仿宋_GB2312" w:eastAsia="仿宋_GB2312" w:cs="仿宋_GB2312"/>
          <w:sz w:val="32"/>
          <w:lang w:val="en-US" w:eastAsia="zh-CN"/>
        </w:rPr>
        <w:t>二十、部门绩效表（部门绩效20）</w:t>
      </w:r>
      <w:bookmarkEnd w:id="25"/>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6" w:name="_Toc2120"/>
      <w:r>
        <w:rPr>
          <w:rFonts w:hint="eastAsia" w:ascii="仿宋_GB2312" w:hAnsi="仿宋_GB2312" w:eastAsia="仿宋_GB2312" w:cs="仿宋_GB2312"/>
          <w:sz w:val="32"/>
          <w:lang w:val="en-US" w:eastAsia="zh-CN"/>
        </w:rPr>
        <w:t>二十一、年初政府采购项目预算表（政府采购项目预算表21）</w:t>
      </w:r>
      <w:bookmarkEnd w:id="2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7" w:name="_Toc27545"/>
      <w:r>
        <w:rPr>
          <w:rFonts w:hint="eastAsia" w:ascii="仿宋_GB2312" w:hAnsi="仿宋_GB2312" w:eastAsia="仿宋_GB2312" w:cs="仿宋_GB2312"/>
          <w:sz w:val="32"/>
          <w:lang w:val="en-US" w:eastAsia="zh-CN"/>
        </w:rPr>
        <w:t>二十二、2026-2028年支出计划总表（三年计划总表22）</w:t>
      </w:r>
      <w:bookmarkEnd w:id="27"/>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8" w:name="_Toc11783"/>
      <w:r>
        <w:rPr>
          <w:rFonts w:hint="eastAsia" w:ascii="仿宋_GB2312" w:hAnsi="仿宋_GB2312" w:eastAsia="仿宋_GB2312" w:cs="仿宋_GB2312"/>
          <w:sz w:val="32"/>
          <w:lang w:val="en-US" w:eastAsia="zh-CN"/>
        </w:rPr>
        <w:t>二十三、2026-2028年支出计划明细表（三年计划明细表23）</w:t>
      </w:r>
      <w:bookmarkEnd w:id="2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left="660" w:leftChars="300" w:right="660" w:rightChars="300"/>
        <w:jc w:val="left"/>
        <w:textAlignment w:val="auto"/>
        <w:outlineLvl w:val="1"/>
        <w:rPr>
          <w:rFonts w:hint="eastAsia" w:ascii="仿宋_GB2312" w:hAnsi="仿宋_GB2312" w:eastAsia="仿宋_GB2312" w:cs="仿宋_GB2312"/>
          <w:sz w:val="32"/>
          <w:lang w:val="en-US" w:eastAsia="zh-CN"/>
        </w:rPr>
      </w:pPr>
      <w:bookmarkStart w:id="29" w:name="_Toc3917"/>
      <w:r>
        <w:rPr>
          <w:rFonts w:hint="eastAsia" w:ascii="仿宋_GB2312" w:hAnsi="仿宋_GB2312" w:eastAsia="仿宋_GB2312" w:cs="仿宋_GB2312"/>
          <w:sz w:val="32"/>
          <w:lang w:val="en-US" w:eastAsia="zh-CN"/>
        </w:rPr>
        <w:t>二十四、人员和车辆基本情况表（人员24）</w:t>
      </w:r>
      <w:bookmarkEnd w:id="2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70" w:lineRule="exact"/>
        <w:ind w:right="660" w:rightChars="300" w:firstLine="643" w:firstLineChars="200"/>
        <w:jc w:val="left"/>
        <w:textAlignment w:val="auto"/>
        <w:outlineLvl w:val="1"/>
        <w:rPr>
          <w:rFonts w:hint="eastAsia" w:ascii="仿宋_GB2312" w:hAnsi="仿宋_GB2312" w:eastAsia="仿宋_GB2312" w:cs="仿宋_GB2312"/>
          <w:b/>
          <w:bCs/>
          <w:sz w:val="32"/>
          <w:lang w:val="en-US" w:eastAsia="zh-CN"/>
        </w:rPr>
      </w:pPr>
      <w:bookmarkStart w:id="30" w:name="_Toc26810"/>
      <w:r>
        <w:rPr>
          <w:rFonts w:hint="eastAsia" w:ascii="仿宋_GB2312" w:hAnsi="仿宋_GB2312" w:eastAsia="仿宋_GB2312" w:cs="仿宋_GB2312"/>
          <w:b/>
          <w:bCs/>
          <w:sz w:val="32"/>
          <w:lang w:val="en-US" w:eastAsia="zh-CN"/>
        </w:rPr>
        <w:t>以上所有表格详见部门说明后附件。</w:t>
      </w:r>
      <w:bookmarkEnd w:id="22"/>
      <w:bookmarkEnd w:id="30"/>
    </w:p>
    <w:p>
      <w:pPr>
        <w:rPr>
          <w:rFonts w:ascii="宋体" w:hAnsi="宋体"/>
          <w:sz w:val="20"/>
        </w:rPr>
      </w:pPr>
      <w:r>
        <w:rPr>
          <w:rFonts w:ascii="宋体" w:hAnsi="宋体"/>
          <w:sz w:val="20"/>
        </w:rPr>
        <w:br w:type="page"/>
      </w: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numPr>
          <w:ilvl w:val="0"/>
          <w:numId w:val="2"/>
        </w:numPr>
        <w:jc w:val="center"/>
        <w:outlineLvl w:val="0"/>
        <w:rPr>
          <w:rFonts w:hint="eastAsia" w:ascii="宋体" w:hAnsi="宋体" w:eastAsia="方正小标宋简体" w:cs="方正小标宋简体"/>
          <w:b/>
          <w:bCs/>
          <w:sz w:val="52"/>
          <w:szCs w:val="52"/>
          <w:lang w:val="en-US" w:eastAsia="zh-CN"/>
        </w:rPr>
        <w:sectPr>
          <w:headerReference r:id="rId6" w:type="default"/>
          <w:pgSz w:w="11910" w:h="16840"/>
          <w:pgMar w:top="2098" w:right="1474" w:bottom="1984" w:left="1587" w:header="737" w:footer="737" w:gutter="0"/>
          <w:pgNumType w:fmt="decimal"/>
          <w:cols w:space="0" w:num="1"/>
          <w:rtlGutter w:val="0"/>
          <w:docGrid w:linePitch="0" w:charSpace="0"/>
        </w:sectPr>
      </w:pPr>
      <w:bookmarkStart w:id="31" w:name="_Toc16363"/>
      <w:r>
        <w:rPr>
          <w:rFonts w:hint="eastAsia" w:ascii="宋体" w:hAnsi="宋体" w:eastAsia="方正小标宋简体" w:cs="方正小标宋简体"/>
          <w:b/>
          <w:bCs/>
          <w:sz w:val="52"/>
          <w:szCs w:val="52"/>
          <w:lang w:val="en-US" w:eastAsia="zh-CN"/>
        </w:rPr>
        <w:t>五通桥区人大常委会办公室机关2026年</w:t>
      </w:r>
      <w:bookmarkStart w:id="32" w:name="_Toc1047"/>
      <w:r>
        <w:rPr>
          <w:rFonts w:hint="eastAsia" w:ascii="宋体" w:hAnsi="宋体" w:eastAsia="方正小标宋简体" w:cs="方正小标宋简体"/>
          <w:b/>
          <w:bCs/>
          <w:sz w:val="52"/>
          <w:szCs w:val="52"/>
          <w:lang w:val="en-US" w:eastAsia="zh-CN"/>
        </w:rPr>
        <w:t>部门预算情况说明</w:t>
      </w:r>
      <w:bookmarkEnd w:id="31"/>
      <w:bookmarkEnd w:id="32"/>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33" w:name="_Toc15966"/>
      <w:r>
        <w:rPr>
          <w:rFonts w:hint="eastAsia" w:ascii="黑体" w:hAnsi="黑体" w:eastAsia="黑体" w:cs="黑体"/>
          <w:sz w:val="32"/>
          <w:szCs w:val="32"/>
        </w:rPr>
        <w:t>一、收支预算情况说明</w:t>
      </w:r>
      <w:bookmarkEnd w:id="33"/>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五通桥区人大常委会办公室机关部门所有收入和支出均纳入部门预算管理。收入包括：一般公共预算拨款收入717.61万元；一般公共预算上年结转3万元、其他收入40.08万元，收入总计760.69万元。支出包括：一般公共服务支出、社会保障和就业支出、卫生健康支出、住房保障支出。五通桥区人大常委会办公室部门2026年收支预算总数760.69万元,比2025年收支预算总数484.21万元增加276.48万元。主要原因：主要是因为一般公共服务支出比上年增加264.92万元、社会保障和就业支出比上年增加6.92万元，卫生健康支出比上年增加1.6万元，住房保障支出比上年增加3.04万元所致。</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eastAsia="zh-CN"/>
        </w:rPr>
      </w:pPr>
      <w:bookmarkStart w:id="34" w:name="_Toc27555"/>
      <w:r>
        <w:rPr>
          <w:rFonts w:hint="eastAsia" w:ascii="楷体_GB2312" w:hAnsi="楷体_GB2312" w:eastAsia="楷体_GB2312" w:cs="楷体_GB2312"/>
          <w:sz w:val="32"/>
          <w:szCs w:val="32"/>
          <w:lang w:eastAsia="zh-CN"/>
        </w:rPr>
        <w:t>（一）收入预算情况</w:t>
      </w:r>
      <w:bookmarkEnd w:id="34"/>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机关部门2026年收入预算760.69万元，其中：上年结转3万元，占0.39%；一般公共预算拨款收入717.61万元，占94.34%；政府基金预算拨款收入0万元，占0%；事业收入0万元，占0%；事业单位经营收入0万元，占0%；其他收入40.08万元，占5.27%。</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eastAsia="zh-CN"/>
        </w:rPr>
      </w:pPr>
      <w:bookmarkStart w:id="35" w:name="_Toc3046"/>
      <w:r>
        <w:rPr>
          <w:rFonts w:hint="eastAsia" w:ascii="楷体_GB2312" w:hAnsi="楷体_GB2312" w:eastAsia="楷体_GB2312" w:cs="楷体_GB2312"/>
          <w:sz w:val="32"/>
          <w:szCs w:val="32"/>
          <w:lang w:eastAsia="zh-CN"/>
        </w:rPr>
        <w:t>（二）支出预算情况</w:t>
      </w:r>
      <w:bookmarkEnd w:id="35"/>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五通桥区人大常委会办公室机关部门2026年支出预算760.69万元，其中：人员支出318.26万元，日常公用支出58.43万元，对个人和家庭的补助支出15.93万元，专项支出368.08万元。</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36" w:name="_Toc3353"/>
      <w:r>
        <w:rPr>
          <w:rFonts w:hint="eastAsia" w:ascii="黑体" w:hAnsi="黑体" w:eastAsia="黑体" w:cs="黑体"/>
          <w:sz w:val="32"/>
          <w:szCs w:val="32"/>
        </w:rPr>
        <w:t>二、财政拨款收支预算情况说明</w:t>
      </w:r>
      <w:bookmarkEnd w:id="36"/>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机关部门2026年财政拨款收支预算总数720.61万元,比2025年收支预算总数484.21万元增加236.4万元。主要原因：主要是因为一般公共服务支出比上年增加224.84万元、社会保障和就业支出比上年增加6.92万元，卫生健康支出比上年增加1.6万元，住房保障支出比上年增加3.04万元所致。</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其中：基本支出392.61万元，占54.48%；项目支出328.00万元，占45.52%。</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基本支出，是用于保障五通桥区人大常委会办公室机关正常运转的日常支出，包括基本工资、津贴补贴等人员经费以及办公费、印刷费、水电费、办公设备购置等日常公用经费。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项目支出，是用于保障五通桥区人大常委会办公室为完成特定的行政工作任务或事业发展目标，用于专项业务工作的经费支出。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37" w:name="_Toc5369"/>
      <w:r>
        <w:rPr>
          <w:rFonts w:hint="eastAsia" w:ascii="黑体" w:hAnsi="黑体" w:eastAsia="黑体" w:cs="黑体"/>
          <w:sz w:val="32"/>
          <w:szCs w:val="32"/>
        </w:rPr>
        <w:t>三、一般公共预算当年拨款情况说明</w:t>
      </w:r>
      <w:bookmarkEnd w:id="37"/>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eastAsia="zh-CN"/>
        </w:rPr>
      </w:pPr>
      <w:bookmarkStart w:id="38" w:name="_Toc1698"/>
      <w:r>
        <w:rPr>
          <w:rFonts w:hint="eastAsia" w:ascii="楷体_GB2312" w:hAnsi="楷体_GB2312" w:eastAsia="楷体_GB2312" w:cs="楷体_GB2312"/>
          <w:sz w:val="32"/>
          <w:szCs w:val="32"/>
          <w:lang w:eastAsia="zh-CN"/>
        </w:rPr>
        <w:t>（一）一般公共预算当年拨款规模变化情况</w:t>
      </w:r>
      <w:bookmarkEnd w:id="38"/>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机关部门2026年一般公共预算当年拨款720.61万元，比2025年财政拨款收支预算总数484.21万元增加236.4万元。主要原因：主要是因为一般公共服务支出比上年增加224.84万元、社会保障和就业支出比上年增加6.92万元，卫生健康支出比上年增加1.6万元，住房保障支出比上年增加3.04万元所致。</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eastAsia="zh-CN"/>
        </w:rPr>
      </w:pPr>
      <w:bookmarkStart w:id="39" w:name="_Toc21176"/>
      <w:r>
        <w:rPr>
          <w:rFonts w:hint="eastAsia" w:ascii="楷体_GB2312" w:hAnsi="楷体_GB2312" w:eastAsia="楷体_GB2312" w:cs="楷体_GB2312"/>
          <w:sz w:val="32"/>
          <w:szCs w:val="32"/>
          <w:lang w:eastAsia="zh-CN"/>
        </w:rPr>
        <w:t>（二）一般公共预算当年拨款结构情况</w:t>
      </w:r>
      <w:bookmarkEnd w:id="39"/>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机关部门2026年一般公共预算支出720.61万元，主要包括一般公共服务支出627.25万元，占87.04%；外交支出0万元，占0%；国防支出0万元，占0%；公共安全支出0万元，占0%；教育支出0万元，占0%；科学技术支出0万元，占0%；文化旅游体育与传媒支出0万元，占0%；社会保障和就业支出57.81万元，占8.02%；卫生健康支出11.07万元，占1.54%；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24.48万元，占3.4%；粮油物资储备支出0万元，占0%；灾害防治及应急管理支出0万元，占0%；预备费0万元，占0%；其他支出0万元，占0%；转移性支出0万元，占0%；债务还本支出0万元，占0%；债务付息支出0万元，占0%；债务发行费支出0万元，占0%。</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eastAsia="zh-CN"/>
        </w:rPr>
      </w:pPr>
      <w:bookmarkStart w:id="40" w:name="_Toc5238"/>
      <w:r>
        <w:rPr>
          <w:rFonts w:hint="eastAsia" w:ascii="楷体_GB2312" w:hAnsi="楷体_GB2312" w:eastAsia="楷体_GB2312" w:cs="楷体_GB2312"/>
          <w:sz w:val="32"/>
          <w:szCs w:val="32"/>
          <w:lang w:eastAsia="zh-CN"/>
        </w:rPr>
        <w:t>（三）一般公共预算当年拨款具体使用情况</w:t>
      </w:r>
      <w:bookmarkEnd w:id="40"/>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1.一般公共服务（类）人大事务（款）行政运行（项）: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275.41</w:t>
      </w:r>
      <w:r>
        <w:rPr>
          <w:rFonts w:hint="eastAsia" w:ascii="仿宋_GB2312" w:hAnsi="仿宋_GB2312" w:eastAsia="仿宋_GB2312" w:cs="仿宋_GB2312"/>
          <w:sz w:val="32"/>
          <w:szCs w:val="32"/>
        </w:rPr>
        <w:t>万元，主要用于：机关正常运转的基本支出，包括基本工资、津贴补贴等人员经费以及办公费、印刷费、水电费等日常公用经费。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.一般公共服务（类）人大事务（款）一般行政管理事务（项）: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一般行政管理事务3</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人大事务未单独设置项级科目的其他支出。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一般公共服务（类）人大事务（款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人大会议（项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190.00</w:t>
      </w:r>
      <w:r>
        <w:rPr>
          <w:rFonts w:hint="eastAsia" w:ascii="仿宋_GB2312" w:hAnsi="仿宋_GB2312" w:eastAsia="仿宋_GB2312" w:cs="仿宋_GB2312"/>
          <w:sz w:val="32"/>
          <w:szCs w:val="32"/>
        </w:rPr>
        <w:t>万元，主要用于：召开人民代表大会等专门会议的支出。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一般公共服务（类）人大事务（款）人大监督（项）: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2026年预算数为</w:t>
      </w:r>
      <w:r>
        <w:rPr>
          <w:rFonts w:hint="eastAsia" w:ascii="仿宋_GB2312" w:hAnsi="仿宋_GB2312" w:eastAsia="仿宋_GB2312" w:cs="仿宋_GB2312"/>
          <w:sz w:val="32"/>
          <w:szCs w:val="32"/>
          <w:lang w:val="en-US" w:eastAsia="zh-CN"/>
        </w:rPr>
        <w:t>50.00</w:t>
      </w:r>
      <w:r>
        <w:rPr>
          <w:rFonts w:hint="eastAsia" w:ascii="仿宋_GB2312" w:hAnsi="仿宋_GB2312" w:eastAsia="仿宋_GB2312" w:cs="仿宋_GB2312"/>
          <w:sz w:val="32"/>
          <w:szCs w:val="32"/>
          <w:lang w:eastAsia="zh-CN"/>
        </w:rPr>
        <w:t>万元，主要用于：各级人大开展监督工作</w:t>
      </w:r>
      <w:r>
        <w:rPr>
          <w:rFonts w:hint="eastAsia" w:ascii="仿宋_GB2312" w:hAnsi="仿宋_GB2312" w:eastAsia="仿宋_GB2312" w:cs="仿宋_GB2312"/>
          <w:sz w:val="32"/>
          <w:szCs w:val="32"/>
        </w:rPr>
        <w:t>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一般公共服务（类）人大事务（款）</w:t>
      </w:r>
      <w:r>
        <w:rPr>
          <w:rFonts w:hint="eastAsia" w:ascii="仿宋_GB2312" w:hAnsi="仿宋_GB2312" w:eastAsia="仿宋_GB2312" w:cs="仿宋_GB2312"/>
          <w:sz w:val="32"/>
          <w:szCs w:val="32"/>
          <w:lang w:eastAsia="zh-CN"/>
        </w:rPr>
        <w:t>人大代表履职能力提升</w:t>
      </w:r>
      <w:r>
        <w:rPr>
          <w:rFonts w:hint="eastAsia" w:ascii="仿宋_GB2312" w:hAnsi="仿宋_GB2312" w:eastAsia="仿宋_GB2312" w:cs="仿宋_GB2312"/>
          <w:sz w:val="32"/>
          <w:szCs w:val="32"/>
        </w:rPr>
        <w:t>（项）: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eastAsia="zh-CN"/>
        </w:rPr>
        <w:t>各级人大代表开展履职能力提升工作</w:t>
      </w:r>
      <w:r>
        <w:rPr>
          <w:rFonts w:hint="eastAsia" w:ascii="仿宋_GB2312" w:hAnsi="仿宋_GB2312" w:eastAsia="仿宋_GB2312" w:cs="仿宋_GB2312"/>
          <w:sz w:val="32"/>
          <w:szCs w:val="32"/>
        </w:rPr>
        <w:t>的支出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一般公共服务（类）人大事务（款）代表工作（项）: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eastAsia="zh-CN"/>
        </w:rPr>
        <w:t>人大代表之家组织</w:t>
      </w:r>
      <w:r>
        <w:rPr>
          <w:rFonts w:hint="eastAsia" w:ascii="仿宋_GB2312" w:hAnsi="仿宋_GB2312" w:eastAsia="仿宋_GB2312" w:cs="仿宋_GB2312"/>
          <w:sz w:val="32"/>
          <w:szCs w:val="32"/>
        </w:rPr>
        <w:t>开展</w:t>
      </w:r>
      <w:r>
        <w:rPr>
          <w:rFonts w:hint="eastAsia" w:ascii="仿宋_GB2312" w:hAnsi="仿宋_GB2312" w:eastAsia="仿宋_GB2312" w:cs="仿宋_GB2312"/>
          <w:sz w:val="32"/>
          <w:szCs w:val="32"/>
          <w:lang w:eastAsia="zh-CN"/>
        </w:rPr>
        <w:t>各类视察等方面的</w:t>
      </w:r>
      <w:r>
        <w:rPr>
          <w:rFonts w:hint="eastAsia" w:ascii="仿宋_GB2312" w:hAnsi="仿宋_GB2312" w:eastAsia="仿宋_GB2312" w:cs="仿宋_GB2312"/>
          <w:sz w:val="32"/>
          <w:szCs w:val="32"/>
        </w:rPr>
        <w:t>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一般公共服务（类）人大事务（款）事业运行（项）: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23.84</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eastAsia="zh-CN"/>
        </w:rPr>
        <w:t>事业单位</w:t>
      </w:r>
      <w:r>
        <w:rPr>
          <w:rFonts w:hint="eastAsia" w:ascii="仿宋_GB2312" w:hAnsi="仿宋_GB2312" w:eastAsia="仿宋_GB2312" w:cs="仿宋_GB2312"/>
          <w:sz w:val="32"/>
          <w:szCs w:val="32"/>
        </w:rPr>
        <w:t>正常运转的基本支出，包括基本工资、津贴补贴等人员经费以及办公费、印刷费、水电费等日常公用经费。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一般公共服务（类）人大事务（款）其他人大事务支出（项）: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万元，主要用于：开展</w:t>
      </w:r>
      <w:r>
        <w:rPr>
          <w:rFonts w:hint="eastAsia" w:ascii="仿宋_GB2312" w:hAnsi="仿宋_GB2312" w:eastAsia="仿宋_GB2312" w:cs="仿宋_GB2312"/>
          <w:sz w:val="32"/>
          <w:szCs w:val="32"/>
          <w:lang w:eastAsia="zh-CN"/>
        </w:rPr>
        <w:t>“数字</w:t>
      </w:r>
      <w:r>
        <w:rPr>
          <w:rFonts w:hint="eastAsia" w:ascii="仿宋_GB2312" w:hAnsi="仿宋_GB2312" w:eastAsia="仿宋_GB2312" w:cs="仿宋_GB2312"/>
          <w:sz w:val="32"/>
          <w:szCs w:val="32"/>
          <w:lang w:val="en-US" w:eastAsia="zh-CN"/>
        </w:rPr>
        <w:t>人大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平台建设</w:t>
      </w:r>
      <w:r>
        <w:rPr>
          <w:rFonts w:hint="eastAsia" w:ascii="仿宋_GB2312" w:hAnsi="仿宋_GB2312" w:eastAsia="仿宋_GB2312" w:cs="仿宋_GB2312"/>
          <w:sz w:val="32"/>
          <w:szCs w:val="32"/>
          <w:lang w:eastAsia="zh-CN"/>
        </w:rPr>
        <w:t>方面的</w:t>
      </w:r>
      <w:r>
        <w:rPr>
          <w:rFonts w:hint="eastAsia" w:ascii="仿宋_GB2312" w:hAnsi="仿宋_GB2312" w:eastAsia="仿宋_GB2312" w:cs="仿宋_GB2312"/>
          <w:sz w:val="32"/>
          <w:szCs w:val="32"/>
        </w:rPr>
        <w:t>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社会保障和就业（类）行政事业单位离退休（款）机关事业单位基本养老保险缴费支出（项）: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28.19</w:t>
      </w:r>
      <w:r>
        <w:rPr>
          <w:rFonts w:hint="eastAsia" w:ascii="仿宋_GB2312" w:hAnsi="仿宋_GB2312" w:eastAsia="仿宋_GB2312" w:cs="仿宋_GB2312"/>
          <w:sz w:val="32"/>
          <w:szCs w:val="32"/>
        </w:rPr>
        <w:t>万元，主要用于：实施养老保险制度后，部门按规定由单位缴纳的基本养老保险费支出。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社会保障和就业（类）行政事业单位离退休（款）机关事业单位职业年金缴费支出（项）: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14.09</w:t>
      </w:r>
      <w:r>
        <w:rPr>
          <w:rFonts w:hint="eastAsia" w:ascii="仿宋_GB2312" w:hAnsi="仿宋_GB2312" w:eastAsia="仿宋_GB2312" w:cs="仿宋_GB2312"/>
          <w:sz w:val="32"/>
          <w:szCs w:val="32"/>
        </w:rPr>
        <w:t>万元，主要用于：实施养老保险制度后，部门按规定由单位缴纳的职业年金支出。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社会保障和就业（类）行政事业单位离退休（款）其他行政事业单位养老支出（项）: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14.94</w:t>
      </w:r>
      <w:r>
        <w:rPr>
          <w:rFonts w:hint="eastAsia" w:ascii="仿宋_GB2312" w:hAnsi="仿宋_GB2312" w:eastAsia="仿宋_GB2312" w:cs="仿宋_GB2312"/>
          <w:sz w:val="32"/>
          <w:szCs w:val="32"/>
        </w:rPr>
        <w:t>万元，主要用于：保障离退休人员养老相关经费的支出。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社会保障和就业（类）其他社会保障和就业支出（款）其他社会保障和就业支出（项）: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0.59</w:t>
      </w:r>
      <w:r>
        <w:rPr>
          <w:rFonts w:hint="eastAsia" w:ascii="仿宋_GB2312" w:hAnsi="仿宋_GB2312" w:eastAsia="仿宋_GB2312" w:cs="仿宋_GB2312"/>
          <w:sz w:val="32"/>
          <w:szCs w:val="32"/>
        </w:rPr>
        <w:t>万元，主要用于：其他社会保障和就业</w:t>
      </w:r>
      <w:r>
        <w:rPr>
          <w:rFonts w:hint="eastAsia" w:ascii="仿宋_GB2312" w:hAnsi="仿宋_GB2312" w:eastAsia="仿宋_GB2312" w:cs="仿宋_GB2312"/>
          <w:sz w:val="32"/>
          <w:szCs w:val="32"/>
          <w:lang w:eastAsia="zh-CN"/>
        </w:rPr>
        <w:t>方面</w:t>
      </w:r>
      <w:r>
        <w:rPr>
          <w:rFonts w:hint="eastAsia" w:ascii="仿宋_GB2312" w:hAnsi="仿宋_GB2312" w:eastAsia="仿宋_GB2312" w:cs="仿宋_GB2312"/>
          <w:sz w:val="32"/>
          <w:szCs w:val="32"/>
        </w:rPr>
        <w:t>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卫生健康支出（类）行政事业单位医疗（款）行政单位医疗（项）: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6.86</w:t>
      </w:r>
      <w:r>
        <w:rPr>
          <w:rFonts w:hint="eastAsia" w:ascii="仿宋_GB2312" w:hAnsi="仿宋_GB2312" w:eastAsia="仿宋_GB2312" w:cs="仿宋_GB2312"/>
          <w:sz w:val="32"/>
          <w:szCs w:val="32"/>
        </w:rPr>
        <w:t>万元，主要用于：机关及参公管理事业单位基本医疗保险缴费支出。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卫生健康支出（类）行政事业单位医疗（款）事业单位医疗（项）: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1.01</w:t>
      </w:r>
      <w:r>
        <w:rPr>
          <w:rFonts w:hint="eastAsia" w:ascii="仿宋_GB2312" w:hAnsi="仿宋_GB2312" w:eastAsia="仿宋_GB2312" w:cs="仿宋_GB2312"/>
          <w:sz w:val="32"/>
          <w:szCs w:val="32"/>
        </w:rPr>
        <w:t>万元，主要用于：事业单位基本医疗保险缴费支出。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卫生健康支出（类）行政事业单位医疗（款）公务员医疗补助（项）: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3.20</w:t>
      </w:r>
      <w:r>
        <w:rPr>
          <w:rFonts w:hint="eastAsia" w:ascii="仿宋_GB2312" w:hAnsi="仿宋_GB2312" w:eastAsia="仿宋_GB2312" w:cs="仿宋_GB2312"/>
          <w:sz w:val="32"/>
          <w:szCs w:val="32"/>
        </w:rPr>
        <w:t>万元，主要用于：机关及参公管理事业单位公务员医疗补助医疗保险缴费支出。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住房保障（类）住房改革支出（款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24.48</w:t>
      </w:r>
      <w:r>
        <w:rPr>
          <w:rFonts w:hint="eastAsia" w:ascii="仿宋_GB2312" w:hAnsi="仿宋_GB2312" w:eastAsia="仿宋_GB2312" w:cs="仿宋_GB2312"/>
          <w:sz w:val="32"/>
          <w:szCs w:val="32"/>
        </w:rPr>
        <w:t>万元，主要用于：部门按人力资源和社会保障部、财政部规定的基本工资和津贴补贴以及规定比例为职工缴纳的住房公积金支出。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41" w:name="_Toc432"/>
      <w:r>
        <w:rPr>
          <w:rFonts w:hint="eastAsia" w:ascii="黑体" w:hAnsi="黑体" w:eastAsia="黑体" w:cs="黑体"/>
          <w:sz w:val="32"/>
          <w:szCs w:val="32"/>
        </w:rPr>
        <w:t>四、一般公共预算基本支出情况说明</w:t>
      </w:r>
      <w:bookmarkEnd w:id="41"/>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五通桥区人大常委会办公室机关部门2026年一般公共预算基本支出392.61万元，其中：</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334.19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58.43万元，主要包括：主要包括：办公费、印刷费、水费、电费、邮电费、差旅费、维修（护）费、会议费、培训费、公务接待费、劳务费、工会经费、福利费、公务用车运行维护费、其他交通费、其他商品和服务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42" w:name="_Toc30036"/>
      <w:r>
        <w:rPr>
          <w:rFonts w:hint="eastAsia" w:ascii="黑体" w:hAnsi="黑体" w:eastAsia="黑体" w:cs="黑体"/>
          <w:sz w:val="32"/>
          <w:szCs w:val="32"/>
        </w:rPr>
        <w:t>五、“三公”经费财政拨款预算安排情况说明</w:t>
      </w:r>
      <w:bookmarkEnd w:id="42"/>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五通桥区人大常委会办公室机关部门2026年“三公”经费财政拨款预算数4万元，其中：公务接待费4万元，公务用车购置0万元，公车运行维护费0万元。</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2026年公务接待费计划用于日常工作和特定项目的接待事项等。</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eastAsia="zh-CN"/>
        </w:rPr>
      </w:pPr>
      <w:bookmarkStart w:id="43" w:name="_Toc12388"/>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lang w:val="en-US" w:eastAsia="zh-CN"/>
        </w:rPr>
        <w:t>公务接待费变化情况</w:t>
      </w:r>
      <w:bookmarkEnd w:id="43"/>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公务接待费较2025年预算3万元增加1万元。主要原因是因工作需要增加了接待事项，相应增加了接待费用。</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eastAsia="zh-CN"/>
        </w:rPr>
      </w:pPr>
      <w:bookmarkStart w:id="44" w:name="_Toc9581"/>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公务用车购置及运行维护费变化情况</w:t>
      </w:r>
      <w:bookmarkEnd w:id="44"/>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公务用车购置及运行维护费较2025预算0万元预算持平。主要原因是厉行节约，规范公务出行，尽量乘坐公共交通工具。</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单位实有公务用车1辆，其中：轿车1辆，多功能乘用车0辆。</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2026年安排公务用车购置费0万元，拟购置公务用车0辆，其中：轿车0辆，旅行车（含商务车）0辆，越野车0辆，大型客、货车0辆。</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2026年安排公务用车运行维护费0万元。</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45" w:name="_Toc23313"/>
      <w:r>
        <w:rPr>
          <w:rFonts w:hint="eastAsia" w:ascii="黑体" w:hAnsi="黑体" w:eastAsia="黑体" w:cs="黑体"/>
          <w:sz w:val="32"/>
          <w:szCs w:val="32"/>
        </w:rPr>
        <w:t>六、政府性基金预算支出情况说明</w:t>
      </w:r>
      <w:bookmarkEnd w:id="45"/>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五通桥区人大常委会办公室机关部门2026年政府性基金预算拨款安排支出0万元，较上年预算数持平。</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rPr>
      </w:pPr>
      <w:bookmarkStart w:id="46" w:name="_Toc9625"/>
      <w:r>
        <w:rPr>
          <w:rFonts w:hint="eastAsia" w:ascii="黑体" w:hAnsi="黑体" w:eastAsia="黑体" w:cs="黑体"/>
          <w:sz w:val="32"/>
          <w:szCs w:val="32"/>
          <w:lang w:val="en-US" w:eastAsia="zh-CN"/>
        </w:rPr>
        <w:t>七、</w:t>
      </w:r>
      <w:r>
        <w:rPr>
          <w:rFonts w:hint="eastAsia" w:ascii="黑体" w:hAnsi="黑体" w:eastAsia="黑体" w:cs="黑体"/>
          <w:sz w:val="32"/>
          <w:szCs w:val="32"/>
        </w:rPr>
        <w:t>国有资本经营预算情况说明</w:t>
      </w:r>
      <w:bookmarkEnd w:id="46"/>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五通桥区人大常委会办公室机关部门2026年国有资本经营预算拨款安排支出0万元,较上年预算数持平。</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黑体" w:hAnsi="黑体" w:eastAsia="黑体" w:cs="黑体"/>
          <w:sz w:val="32"/>
          <w:szCs w:val="32"/>
          <w:lang w:val="en-US" w:eastAsia="zh-CN"/>
        </w:rPr>
      </w:pPr>
      <w:bookmarkStart w:id="47" w:name="_Toc18069"/>
      <w:r>
        <w:rPr>
          <w:rFonts w:hint="eastAsia" w:ascii="黑体" w:hAnsi="黑体" w:eastAsia="黑体" w:cs="黑体"/>
          <w:sz w:val="32"/>
          <w:szCs w:val="32"/>
          <w:lang w:val="en-US" w:eastAsia="zh-CN"/>
        </w:rPr>
        <w:t>八、其他重要事项的情况说明</w:t>
      </w:r>
      <w:bookmarkEnd w:id="47"/>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val="en-US" w:eastAsia="zh-CN"/>
        </w:rPr>
      </w:pPr>
      <w:bookmarkStart w:id="48" w:name="_Toc22806"/>
      <w:r>
        <w:rPr>
          <w:rFonts w:hint="eastAsia" w:ascii="楷体_GB2312" w:hAnsi="楷体_GB2312" w:eastAsia="楷体_GB2312" w:cs="楷体_GB2312"/>
          <w:sz w:val="32"/>
          <w:szCs w:val="32"/>
          <w:lang w:eastAsia="zh-CN"/>
        </w:rPr>
        <w:t>（一）机关运行经费情况</w:t>
      </w:r>
      <w:bookmarkEnd w:id="48"/>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五通桥区人大常委会办公室部门下属1家行政单位、1家事业单位的机关运行经费财政拨款预算为58.43万元，比2025年预算52.85万元增加5.58万元，增长10.56%。主要原因是办公费、差旅费、公务接待费、工会费、其他商品和服务支出所致。</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eastAsia="zh-CN"/>
        </w:rPr>
      </w:pPr>
      <w:bookmarkStart w:id="49" w:name="_Toc7080"/>
      <w:r>
        <w:rPr>
          <w:rFonts w:hint="eastAsia" w:ascii="楷体_GB2312" w:hAnsi="楷体_GB2312" w:eastAsia="楷体_GB2312" w:cs="楷体_GB2312"/>
          <w:sz w:val="32"/>
          <w:szCs w:val="32"/>
          <w:lang w:eastAsia="zh-CN"/>
        </w:rPr>
        <w:t>（二）政府采购情况</w:t>
      </w:r>
      <w:bookmarkEnd w:id="49"/>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2026年，五通桥区人大常委会办公室机关政府采购项目0万元。其中，政府采购货物预算0万元；政府采购工程预算0万元；政府采购服务预算0万元。</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lang w:eastAsia="zh-CN"/>
        </w:rPr>
      </w:pPr>
      <w:bookmarkStart w:id="50" w:name="_Toc5732"/>
      <w:r>
        <w:rPr>
          <w:rFonts w:hint="eastAsia" w:ascii="楷体_GB2312" w:hAnsi="楷体_GB2312" w:eastAsia="楷体_GB2312" w:cs="楷体_GB2312"/>
          <w:sz w:val="32"/>
          <w:szCs w:val="32"/>
          <w:lang w:eastAsia="zh-CN"/>
        </w:rPr>
        <w:t>（三）国有资产占有使用情况</w:t>
      </w:r>
      <w:bookmarkEnd w:id="50"/>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截至2026年底，五通桥区人大常委会办公室机关部门所属各预算单位共有车辆1辆。单位价值100万元以上大型设备0套，为无。</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2026年部门预算未安排购置车辆及单位价值100万元以上大型设备。</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楷体_GB2312" w:hAnsi="楷体_GB2312" w:eastAsia="楷体_GB2312" w:cs="楷体_GB2312"/>
          <w:sz w:val="32"/>
          <w:szCs w:val="32"/>
        </w:rPr>
      </w:pPr>
      <w:bookmarkStart w:id="51" w:name="_Toc3271"/>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四</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预算绩效情况</w:t>
      </w:r>
      <w:bookmarkEnd w:id="51"/>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2026年五通桥区人大常委会办公室机关局开展绩效目标管理的项目34个，涉及预算757.69万元。其中：人员类项目20个，涉及预算334.18万元；运转类项目8个，涉及预算58.43万元；特定目标类项目6个，涉及预算365.08万元。</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sectPr>
          <w:headerReference r:id="rId7" w:type="default"/>
          <w:footerReference r:id="rId8" w:type="default"/>
          <w:pgSz w:w="11910" w:h="16840"/>
          <w:pgMar w:top="2098" w:right="1474" w:bottom="1984" w:left="1587" w:header="737" w:footer="737" w:gutter="0"/>
          <w:pgNumType w:fmt="decimal"/>
          <w:cols w:space="0" w:num="1"/>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方正小标宋简体" w:hAnsi="方正小标宋简体" w:eastAsia="方正小标宋简体" w:cs="方正小标宋简体"/>
          <w:b/>
          <w:bCs/>
          <w:sz w:val="52"/>
          <w:szCs w:val="52"/>
          <w:lang w:val="en-US" w:eastAsia="zh-CN"/>
        </w:rPr>
      </w:pPr>
      <w:bookmarkStart w:id="52" w:name="_Toc11271"/>
      <w:r>
        <w:rPr>
          <w:rFonts w:hint="eastAsia" w:ascii="方正小标宋简体" w:hAnsi="方正小标宋简体" w:eastAsia="方正小标宋简体" w:cs="方正小标宋简体"/>
          <w:b/>
          <w:bCs/>
          <w:sz w:val="52"/>
          <w:szCs w:val="52"/>
          <w:lang w:val="en-US" w:eastAsia="zh-CN"/>
        </w:rPr>
        <w:t>第四部分  名词解释</w:t>
      </w:r>
      <w:bookmarkEnd w:id="52"/>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sectPr>
          <w:headerReference r:id="rId9" w:type="default"/>
          <w:footerReference r:id="rId10" w:type="default"/>
          <w:pgSz w:w="11910" w:h="16840"/>
          <w:pgMar w:top="2098" w:right="1474" w:bottom="1984" w:left="1587" w:header="737" w:footer="737" w:gutter="0"/>
          <w:pgNumType w:fmt="decimal"/>
          <w:cols w:space="0" w:num="1"/>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1.财政拨款收支情况：是指一般公共预算、政府性基金预算、国有资本经营预算拨款收支情况。</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2.一般公共预算拨款收入：指区级财政当年拨付的资金。</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3.事业收入：指事业单位开展专业业务活动及辅助活动所取得的收入。</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4.事业单位经营收入：指事业单位在专业业务活动及其辅助活动之外开展非独立核算经营活动取得的收入。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5.其他收入：指除上述“一般公共预算拨款收入”、“事业收入”、“事业单位经营收入”等以外的收入。主要是利息收入、国有资产出租收入等。</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7.上年结转：指以前年度尚未完成，结转到本年仍按原规定用途继续使用的资金。</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8.社会保障和就业（类）行政事业单位离退休（款）事业单位离退休（项）：指离退休人员的支出。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9.社会保障和就业（类）行政事业单位离退休（款）未归口管理的行政单位离退休（项）：指离退休人员的支出。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10.社会保障和就业（类）行政事业单位离退休（款）机关事业单位基本养老保险缴费支出（项）：指部门实施养老保险制度由单位缴纳的养老保险费的支出。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11.社会保障和就业（类）行政事业单位离退休（款）机关事业单位职业年金缴费支出（项）：指部门实施养老保险制度由单位缴纳的职业年金的支出。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12.社会保障和就业（类）其他社会保障和就业（款）其他社会保障和就业支出（项）：指除上述项目外，其他用于行政事业单位离退休方面的支出。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13.卫生健康（类）行政事业单位医疗（款）行政单位医疗（项）：指行政单位及参公管理事业单位用于缴纳单位基本医疗保险支出。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14.卫生健康（类）行政事业单位医疗（款）事业单位医疗（项）：指事业单位用于缴纳单位基本医疗保险支出。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15.卫生健康（类）行政事业单位医疗（款）公务员医疗补助（项）：指行政单位及参公管理事业单位用于集中缴纳公务员医疗补助支出。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16.住房保障（类）住房改革支出（款）住房公积金（项）：指由单位及其在职职工按规定缴存的住房公积金支出。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17.基本支出：指为保证机构正常运转，完成日常工作任务而发生的人员支出和公用支出。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一般公共服务（类）人大事务（款） 人大会议（项）:</w:t>
      </w:r>
      <w:r>
        <w:rPr>
          <w:rFonts w:hint="eastAsia" w:ascii="仿宋_GB2312" w:hAnsi="仿宋_GB2312" w:eastAsia="仿宋_GB2312" w:cs="仿宋_GB2312"/>
          <w:sz w:val="32"/>
          <w:szCs w:val="32"/>
          <w:lang w:eastAsia="zh-CN"/>
        </w:rPr>
        <w:t>是指</w:t>
      </w:r>
      <w:r>
        <w:rPr>
          <w:rFonts w:hint="eastAsia" w:ascii="仿宋_GB2312" w:hAnsi="仿宋_GB2312" w:eastAsia="仿宋_GB2312" w:cs="仿宋_GB2312"/>
          <w:sz w:val="32"/>
          <w:szCs w:val="32"/>
        </w:rPr>
        <w:t>召开人民代表大会等专门会议的支出。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一般公共服务（类）人大事务（款）</w:t>
      </w:r>
      <w:r>
        <w:rPr>
          <w:rFonts w:hint="eastAsia" w:ascii="仿宋_GB2312" w:hAnsi="仿宋_GB2312" w:eastAsia="仿宋_GB2312" w:cs="仿宋_GB2312"/>
          <w:sz w:val="32"/>
          <w:szCs w:val="32"/>
          <w:lang w:eastAsia="zh-CN"/>
        </w:rPr>
        <w:t>人大监督</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是指各级人大开展监督工作</w:t>
      </w:r>
      <w:r>
        <w:rPr>
          <w:rFonts w:hint="eastAsia" w:ascii="仿宋_GB2312" w:hAnsi="仿宋_GB2312" w:eastAsia="仿宋_GB2312" w:cs="仿宋_GB2312"/>
          <w:sz w:val="32"/>
          <w:szCs w:val="32"/>
        </w:rPr>
        <w:t>的支出。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一般公共服务（类）人大事务（款） 代表工作（项）:</w:t>
      </w:r>
      <w:r>
        <w:rPr>
          <w:rFonts w:hint="eastAsia" w:ascii="仿宋_GB2312" w:hAnsi="仿宋_GB2312" w:eastAsia="仿宋_GB2312" w:cs="仿宋_GB2312"/>
          <w:sz w:val="32"/>
          <w:szCs w:val="32"/>
          <w:lang w:eastAsia="zh-CN"/>
        </w:rPr>
        <w:t>是指人大代表</w:t>
      </w:r>
      <w:r>
        <w:rPr>
          <w:rFonts w:hint="eastAsia" w:ascii="仿宋_GB2312" w:hAnsi="仿宋_GB2312" w:eastAsia="仿宋_GB2312" w:cs="仿宋_GB2312"/>
          <w:sz w:val="32"/>
          <w:szCs w:val="32"/>
        </w:rPr>
        <w:t>开展</w:t>
      </w:r>
      <w:r>
        <w:rPr>
          <w:rFonts w:hint="eastAsia" w:ascii="仿宋_GB2312" w:hAnsi="仿宋_GB2312" w:eastAsia="仿宋_GB2312" w:cs="仿宋_GB2312"/>
          <w:sz w:val="32"/>
          <w:szCs w:val="32"/>
          <w:lang w:eastAsia="zh-CN"/>
        </w:rPr>
        <w:t>各类视察等方面的</w:t>
      </w:r>
      <w:r>
        <w:rPr>
          <w:rFonts w:hint="eastAsia" w:ascii="仿宋_GB2312" w:hAnsi="仿宋_GB2312" w:eastAsia="仿宋_GB2312" w:cs="仿宋_GB2312"/>
          <w:sz w:val="32"/>
          <w:szCs w:val="32"/>
        </w:rPr>
        <w:t>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一般公共服务（类）人大事务（款）</w:t>
      </w:r>
      <w:r>
        <w:rPr>
          <w:rFonts w:hint="eastAsia" w:ascii="仿宋_GB2312" w:hAnsi="仿宋_GB2312" w:eastAsia="仿宋_GB2312" w:cs="仿宋_GB2312"/>
          <w:sz w:val="32"/>
          <w:szCs w:val="32"/>
          <w:lang w:eastAsia="zh-CN"/>
        </w:rPr>
        <w:t> 人大代表履职能力提升</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是指各级人大代表开展履职能力提升工作</w:t>
      </w:r>
      <w:r>
        <w:rPr>
          <w:rFonts w:hint="eastAsia" w:ascii="仿宋_GB2312" w:hAnsi="仿宋_GB2312" w:eastAsia="仿宋_GB2312" w:cs="仿宋_GB2312"/>
          <w:sz w:val="32"/>
          <w:szCs w:val="32"/>
        </w:rPr>
        <w:t>的支出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一般公共服务（类）人大事务（款）事业运行（项）:</w:t>
      </w:r>
      <w:r>
        <w:rPr>
          <w:rFonts w:hint="eastAsia" w:ascii="仿宋_GB2312" w:hAnsi="仿宋_GB2312" w:eastAsia="仿宋_GB2312" w:cs="仿宋_GB2312"/>
          <w:sz w:val="32"/>
          <w:szCs w:val="32"/>
          <w:lang w:eastAsia="zh-CN"/>
        </w:rPr>
        <w:t>反映事业单位</w:t>
      </w:r>
      <w:r>
        <w:rPr>
          <w:rFonts w:hint="eastAsia" w:ascii="仿宋_GB2312" w:hAnsi="仿宋_GB2312" w:eastAsia="仿宋_GB2312" w:cs="仿宋_GB2312"/>
          <w:sz w:val="32"/>
          <w:szCs w:val="32"/>
        </w:rPr>
        <w:t>正常运转的基本支出，包括基本工资、津贴补贴等人员经费以及办公费、印刷费、水电费等日常公用经费。</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卫生健康支出（类）行政事业单位医疗（款）事业单位医疗（项）:</w:t>
      </w:r>
      <w:r>
        <w:rPr>
          <w:rFonts w:hint="eastAsia" w:ascii="仿宋_GB2312" w:hAnsi="仿宋_GB2312" w:eastAsia="仿宋_GB2312" w:cs="仿宋_GB2312"/>
          <w:sz w:val="32"/>
          <w:szCs w:val="32"/>
          <w:lang w:eastAsia="zh-CN"/>
        </w:rPr>
        <w:t>反映</w:t>
      </w:r>
      <w:r>
        <w:rPr>
          <w:rFonts w:hint="eastAsia" w:ascii="仿宋_GB2312" w:hAnsi="仿宋_GB2312" w:eastAsia="仿宋_GB2312" w:cs="仿宋_GB2312"/>
          <w:sz w:val="32"/>
          <w:szCs w:val="32"/>
        </w:rPr>
        <w:t>事业单位基本医疗保险缴费支出。</w:t>
      </w: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570" w:lineRule="exact"/>
        <w:ind w:firstLine="640" w:firstLineChars="200"/>
        <w:textAlignment w:val="auto"/>
        <w:rPr>
          <w:rFonts w:hint="eastAsia" w:ascii="仿宋_GB2312" w:hAnsi="仿宋_GB2312" w:eastAsia="仿宋_GB2312" w:cs="仿宋_GB2312"/>
          <w:sz w:val="32"/>
          <w:szCs w:val="32"/>
          <w:lang w:val="en-US" w:eastAsia="zh-CN"/>
        </w:rPr>
      </w:pPr>
    </w:p>
    <w:sectPr>
      <w:headerReference r:id="rId11" w:type="default"/>
      <w:footerReference r:id="rId12" w:type="default"/>
      <w:pgSz w:w="11910" w:h="16840"/>
      <w:pgMar w:top="2098" w:right="1474" w:bottom="1984" w:left="1587" w:header="737" w:footer="737"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60C7F380-6561-4E65-82F4-BBFE379F744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C8BAAF07-E398-4E57-9E36-3725FF8E222F}"/>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26151D6C-C4F4-4D54-B228-DCA18209E689}"/>
  </w:font>
  <w:font w:name="方正小标宋简体">
    <w:panose1 w:val="02010601030101010101"/>
    <w:charset w:val="86"/>
    <w:family w:val="script"/>
    <w:pitch w:val="default"/>
    <w:sig w:usb0="00000001" w:usb1="080E0000" w:usb2="00000000" w:usb3="00000000" w:csb0="00040000" w:csb1="00000000"/>
    <w:embedRegular r:id="rId4" w:fontKey="{0150A31D-24D4-4726-A041-B31278E90668}"/>
  </w:font>
  <w:font w:name="楷体_GB2312">
    <w:panose1 w:val="02010609030101010101"/>
    <w:charset w:val="86"/>
    <w:family w:val="auto"/>
    <w:pitch w:val="default"/>
    <w:sig w:usb0="00000001" w:usb1="080E0000" w:usb2="00000000" w:usb3="00000000" w:csb0="00040000" w:csb1="00000000"/>
    <w:embedRegular r:id="rId5" w:fontKey="{ECA5ED09-7018-486C-843C-2E03C0AB3FD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32"/>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r>
                      <w:rPr>
                        <w:rFonts w:hint="eastAsia"/>
                        <w:lang w:eastAsia="zh-CN"/>
                      </w:rP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r>
      <w:rPr>
        <w:sz w:val="2"/>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17</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17</w:t>
                    </w:r>
                    <w:r>
                      <w:rPr>
                        <w:rFonts w:hint="eastAsia"/>
                        <w:lang w:eastAsia="zh-CN"/>
                      </w:rPr>
                      <w:fldChar w:fldCharType="end"/>
                    </w:r>
                    <w:r>
                      <w:rPr>
                        <w:rFonts w:hint="eastAsia"/>
                        <w:lang w:eastAsia="zh-CN"/>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32"/>
      </w:rPr>
      <mc:AlternateContent>
        <mc:Choice Requires="wps">
          <w:drawing>
            <wp:anchor distT="0" distB="0" distL="114300" distR="114300" simplePos="0" relativeHeight="251665408" behindDoc="0" locked="0" layoutInCell="1" allowOverlap="1">
              <wp:simplePos x="0" y="0"/>
              <wp:positionH relativeFrom="margin">
                <wp:posOffset>0</wp:posOffset>
              </wp:positionH>
              <wp:positionV relativeFrom="paragraph">
                <wp:posOffset>-168275</wp:posOffset>
              </wp:positionV>
              <wp:extent cx="1828800" cy="23876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2387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sz w:val="28"/>
                              <w:szCs w:val="28"/>
                              <w:lang w:eastAsia="zh-CN"/>
                            </w:rPr>
                          </w:pPr>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18</w:t>
                          </w:r>
                          <w:r>
                            <w:rPr>
                              <w:rFonts w:hint="eastAsia"/>
                              <w:sz w:val="28"/>
                              <w:szCs w:val="28"/>
                              <w:lang w:eastAsia="zh-CN"/>
                            </w:rPr>
                            <w:fldChar w:fldCharType="end"/>
                          </w:r>
                          <w:r>
                            <w:rPr>
                              <w:rFonts w:hint="eastAsia"/>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13.25pt;height:18.8pt;width:144pt;mso-position-horizontal-relative:margin;mso-wrap-style:none;z-index:251665408;mso-width-relative:page;mso-height-relative:page;" filled="f" stroked="f" coordsize="21600,21600" o:gfxdata="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m3OJBdYAAAAHAQAADwAA&#10;AAAAAAABACAAAAAiAAAAZHJzL2Rvd25yZXYueG1sUEsBAhQAFAAAAAgAh07iQNu5dxUYAgAAEgQA&#10;AA4AAAAAAAAAAQAgAAAAJQEAAGRycy9lMm9Eb2MueG1sUEsFBgAAAAAGAAYAWQEAAK8FAAAAAA==&#10;">
              <v:fill on="f" focussize="0,0"/>
              <v:stroke on="f" weight="0.5pt"/>
              <v:imagedata o:title=""/>
              <o:lock v:ext="edit" aspectratio="f"/>
              <v:textbox inset="0mm,0mm,0mm,0mm">
                <w:txbxContent>
                  <w:p>
                    <w:pPr>
                      <w:pStyle w:val="2"/>
                      <w:rPr>
                        <w:rFonts w:hint="eastAsia" w:eastAsia="宋体"/>
                        <w:sz w:val="28"/>
                        <w:szCs w:val="28"/>
                        <w:lang w:eastAsia="zh-CN"/>
                      </w:rPr>
                    </w:pPr>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18</w:t>
                    </w:r>
                    <w:r>
                      <w:rPr>
                        <w:rFonts w:hint="eastAsia"/>
                        <w:sz w:val="28"/>
                        <w:szCs w:val="28"/>
                        <w:lang w:eastAsia="zh-CN"/>
                      </w:rPr>
                      <w:fldChar w:fldCharType="end"/>
                    </w:r>
                    <w:r>
                      <w:rPr>
                        <w:rFonts w:hint="eastAsia"/>
                        <w:sz w:val="28"/>
                        <w:szCs w:val="28"/>
                        <w:lang w:eastAsia="zh-CN"/>
                      </w:rP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kY2FlMGQyNDEzM2Q3ODNlYmRhZTM0YmMzNGFlY2MifQ=="/>
    <w:docVar w:name="KSO_WPS_MARK_KEY" w:val="48d2c7c5-5ca7-4a62-94c0-78ba1c7e0ebc"/>
  </w:docVars>
  <w:rsids>
    <w:rsidRoot w:val="00000000"/>
    <w:rsid w:val="00822E7F"/>
    <w:rsid w:val="014445BB"/>
    <w:rsid w:val="017B1B00"/>
    <w:rsid w:val="02ED1707"/>
    <w:rsid w:val="02F925FF"/>
    <w:rsid w:val="07F35BA2"/>
    <w:rsid w:val="08F93370"/>
    <w:rsid w:val="0A1B2C7F"/>
    <w:rsid w:val="0B0A5CA9"/>
    <w:rsid w:val="0BF67607"/>
    <w:rsid w:val="10501686"/>
    <w:rsid w:val="115668B7"/>
    <w:rsid w:val="13320EEE"/>
    <w:rsid w:val="13CB5FFB"/>
    <w:rsid w:val="14E51FCD"/>
    <w:rsid w:val="17A41277"/>
    <w:rsid w:val="17D7697E"/>
    <w:rsid w:val="1815422F"/>
    <w:rsid w:val="187167F1"/>
    <w:rsid w:val="18D94D16"/>
    <w:rsid w:val="1C4565B4"/>
    <w:rsid w:val="1D230E05"/>
    <w:rsid w:val="1E8847B1"/>
    <w:rsid w:val="1E902E47"/>
    <w:rsid w:val="1E9115A9"/>
    <w:rsid w:val="20D9567F"/>
    <w:rsid w:val="21211D8E"/>
    <w:rsid w:val="240622C9"/>
    <w:rsid w:val="247F2477"/>
    <w:rsid w:val="26504DE2"/>
    <w:rsid w:val="27611158"/>
    <w:rsid w:val="29374EBC"/>
    <w:rsid w:val="2A574361"/>
    <w:rsid w:val="2BD66371"/>
    <w:rsid w:val="2E5D5E97"/>
    <w:rsid w:val="3170631D"/>
    <w:rsid w:val="32B65657"/>
    <w:rsid w:val="37444DB2"/>
    <w:rsid w:val="3805550E"/>
    <w:rsid w:val="384E35E9"/>
    <w:rsid w:val="3E7A3FF5"/>
    <w:rsid w:val="3FF9336B"/>
    <w:rsid w:val="402D34AD"/>
    <w:rsid w:val="41175652"/>
    <w:rsid w:val="467953D4"/>
    <w:rsid w:val="47DA3080"/>
    <w:rsid w:val="4C7C2564"/>
    <w:rsid w:val="4D3C563B"/>
    <w:rsid w:val="4ECA03CC"/>
    <w:rsid w:val="54BB49E6"/>
    <w:rsid w:val="54C30EEA"/>
    <w:rsid w:val="5543046B"/>
    <w:rsid w:val="57BE03B8"/>
    <w:rsid w:val="58EE6347"/>
    <w:rsid w:val="595E3E2E"/>
    <w:rsid w:val="5AE90F4A"/>
    <w:rsid w:val="5B65451D"/>
    <w:rsid w:val="5F496EF3"/>
    <w:rsid w:val="60C44632"/>
    <w:rsid w:val="60EA1E1C"/>
    <w:rsid w:val="61AE5BF0"/>
    <w:rsid w:val="6479649B"/>
    <w:rsid w:val="67CB299A"/>
    <w:rsid w:val="6AB3181E"/>
    <w:rsid w:val="6CFA5E47"/>
    <w:rsid w:val="6D1353A5"/>
    <w:rsid w:val="70BB2D4C"/>
    <w:rsid w:val="7209340F"/>
    <w:rsid w:val="7331318E"/>
    <w:rsid w:val="76A30804"/>
    <w:rsid w:val="78D85A8E"/>
    <w:rsid w:val="7AB2580A"/>
    <w:rsid w:val="7C6130B2"/>
    <w:rsid w:val="7CBB7A89"/>
    <w:rsid w:val="7F840C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2">
    <w:name w:val="Default Paragraph Font"/>
    <w:semiHidden/>
    <w:unhideWhenUsed/>
    <w:qFormat/>
    <w:uiPriority w:val="1"/>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Body Text"/>
    <w:basedOn w:val="1"/>
    <w:qFormat/>
    <w:uiPriority w:val="1"/>
    <w:rPr>
      <w:rFonts w:ascii="仿宋_GB2312" w:hAnsi="仿宋_GB2312" w:eastAsia="仿宋_GB2312" w:cs="仿宋_GB2312"/>
      <w:sz w:val="32"/>
      <w:szCs w:val="32"/>
      <w:lang w:val="zh-CN" w:eastAsia="zh-CN" w:bidi="zh-CN"/>
    </w:rPr>
  </w:style>
  <w:style w:type="paragraph" w:styleId="6">
    <w:name w:val="toc 3"/>
    <w:basedOn w:val="1"/>
    <w:next w:val="1"/>
    <w:qFormat/>
    <w:uiPriority w:val="0"/>
    <w:pPr>
      <w:ind w:left="840" w:leftChars="400"/>
    </w:p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13">
    <w:name w:val="BodyText"/>
    <w:basedOn w:val="1"/>
    <w:next w:val="14"/>
    <w:qFormat/>
    <w:uiPriority w:val="99"/>
    <w:pPr>
      <w:spacing w:after="120"/>
      <w:textAlignment w:val="baseline"/>
    </w:pPr>
    <w:rPr>
      <w:rFonts w:ascii="Times New Roman" w:hAnsi="Times New Roman"/>
      <w:szCs w:val="21"/>
    </w:rPr>
  </w:style>
  <w:style w:type="paragraph" w:customStyle="1" w:styleId="14">
    <w:name w:val="Index8"/>
    <w:basedOn w:val="1"/>
    <w:next w:val="1"/>
    <w:qFormat/>
    <w:uiPriority w:val="0"/>
    <w:pPr>
      <w:ind w:left="2940"/>
      <w:jc w:val="both"/>
      <w:textAlignment w:val="baseline"/>
    </w:pPr>
    <w:rPr>
      <w:rFonts w:ascii="Times New Roman" w:hAnsi="Times New Roman" w:eastAsia="宋体"/>
      <w:kern w:val="2"/>
      <w:sz w:val="21"/>
      <w:szCs w:val="22"/>
      <w:lang w:val="en-US" w:eastAsia="zh-CN" w:bidi="ar-SA"/>
    </w:rPr>
  </w:style>
  <w:style w:type="table" w:customStyle="1" w:styleId="15">
    <w:name w:val="Table Normal"/>
    <w:semiHidden/>
    <w:unhideWhenUsed/>
    <w:qFormat/>
    <w:uiPriority w:val="2"/>
    <w:tblPr>
      <w:tblLayout w:type="fixed"/>
      <w:tblCellMar>
        <w:top w:w="0" w:type="dxa"/>
        <w:left w:w="0" w:type="dxa"/>
        <w:bottom w:w="0" w:type="dxa"/>
        <w:right w:w="0" w:type="dxa"/>
      </w:tblCellMar>
    </w:tblPr>
  </w:style>
  <w:style w:type="paragraph" w:styleId="16">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WPSOffice手动目录 1"/>
    <w:qFormat/>
    <w:uiPriority w:val="0"/>
    <w:pPr>
      <w:ind w:leftChars="0"/>
    </w:pPr>
    <w:rPr>
      <w:rFonts w:asciiTheme="minorHAnsi" w:hAnsiTheme="minorHAnsi" w:eastAsiaTheme="minorHAnsi" w:cstheme="minorBidi"/>
      <w:sz w:val="20"/>
      <w:szCs w:val="20"/>
    </w:rPr>
  </w:style>
  <w:style w:type="paragraph" w:customStyle="1" w:styleId="19">
    <w:name w:val="WPSOffice手动目录 2"/>
    <w:qFormat/>
    <w:uiPriority w:val="0"/>
    <w:pPr>
      <w:ind w:leftChars="200"/>
    </w:pPr>
    <w:rPr>
      <w:rFonts w:asciiTheme="minorHAnsi" w:hAnsiTheme="minorHAnsi" w:eastAsiaTheme="minorHAnsi" w:cstheme="minorBidi"/>
      <w:sz w:val="20"/>
      <w:szCs w:val="20"/>
    </w:rPr>
  </w:style>
  <w:style w:type="paragraph" w:customStyle="1" w:styleId="20">
    <w:name w:val="WPSOffice手动目录 3"/>
    <w:qFormat/>
    <w:uiPriority w:val="0"/>
    <w:pPr>
      <w:ind w:leftChars="400"/>
    </w:pPr>
    <w:rPr>
      <w:rFonts w:asciiTheme="minorHAnsi" w:hAnsiTheme="minorHAnsi" w:eastAsiaTheme="minorHAnsi" w:cstheme="minorBidi"/>
      <w:sz w:val="20"/>
      <w:szCs w:val="20"/>
    </w:rPr>
  </w:style>
  <w:style w:type="paragraph" w:customStyle="1" w:styleId="21">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5241</Words>
  <Characters>6214</Characters>
  <TotalTime>19</TotalTime>
  <ScaleCrop>false</ScaleCrop>
  <LinksUpToDate>false</LinksUpToDate>
  <CharactersWithSpaces>6454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dcterms:modified xsi:type="dcterms:W3CDTF">2026-03-03T06:30:05Z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2052-11.8.2.8411</vt:lpwstr>
  </property>
  <property fmtid="{D5CDD505-2E9C-101B-9397-08002B2CF9AE}" pid="6" name="ICV">
    <vt:lpwstr>19A6489293D14499A2E447A850DEABA6</vt:lpwstr>
  </property>
</Properties>
</file>