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五通桥区人大常委会办公室信息服务和预算联网中心</w:t>
      </w: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5"/>
        <w:spacing w:before="2"/>
        <w:rPr>
          <w:rFonts w:ascii="宋体" w:hAnsi="宋体"/>
          <w:sz w:val="4"/>
        </w:rPr>
      </w:pPr>
    </w:p>
    <w:p>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9"/>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_Toc19670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_Toc19670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_Toc18671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_Toc18671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_Toc2022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_Toc2022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_Toc12566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_Toc12566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_Toc2840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_Toc2840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_Toc18677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 xml:space="preserve">第二部分 </w:t>
          </w:r>
          <w:r>
            <w:rPr>
              <w:rFonts w:hint="eastAsia" w:eastAsia="方正小标宋简体" w:cs="方正小标宋简体"/>
              <w:bCs/>
              <w:szCs w:val="52"/>
              <w:lang w:val="en-US" w:eastAsia="zh-CN"/>
            </w:rPr>
            <w:t>五通桥区人大常委会办公室信息服务和预算联网中心2026</w:t>
          </w:r>
          <w:r>
            <w:rPr>
              <w:rFonts w:hint="eastAsia" w:ascii="宋体" w:hAnsi="宋体" w:eastAsia="方正小标宋简体" w:cs="方正小标宋简体"/>
              <w:bCs/>
              <w:szCs w:val="52"/>
              <w:lang w:val="en-US" w:eastAsia="zh-CN"/>
            </w:rPr>
            <w:t>年部门预算表</w:t>
          </w:r>
          <w:r>
            <w:tab/>
          </w:r>
          <w:r>
            <w:fldChar w:fldCharType="begin"/>
          </w:r>
          <w:r>
            <w:instrText xml:space="preserve"> PAGEREF _Toc18677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_Toc31973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_Toc31973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_Toc25837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_Toc25837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_Toc31742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_Toc31742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_Toc31035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_Toc31035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_Toc27240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_Toc27240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_Toc2978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_Toc2978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_Toc31587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_Toc31587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_Toc23750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_Toc23750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_Toc26074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_Toc26074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_Toc17747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_Toc17747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_Toc28533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_Toc28533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_Toc11609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_Toc15617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_Toc15617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_Toc30594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_Toc30594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rPr>
              <w:rFonts w:hint="eastAsia" w:ascii="宋体" w:hAnsi="宋体" w:eastAsia="方正小标宋简体" w:cs="方正小标宋简体"/>
              <w:bCs/>
              <w:szCs w:val="48"/>
              <w:lang w:val="en-US" w:eastAsia="zh-CN"/>
            </w:rPr>
          </w:pPr>
          <w:r>
            <w:rPr>
              <w:rFonts w:hint="eastAsia" w:ascii="宋体" w:hAnsi="宋体"/>
              <w:lang w:val="en-US" w:eastAsia="zh-CN"/>
            </w:rPr>
            <w:t>十五、项目支出预算明细表（</w:t>
          </w:r>
          <w:r>
            <w:rPr>
              <w:rFonts w:hint="eastAsia"/>
              <w:lang w:val="en-US" w:eastAsia="zh-CN"/>
            </w:rPr>
            <w:t>项目明细表15</w:t>
          </w:r>
          <w:r>
            <w:rPr>
              <w:rFonts w:hint="eastAsia" w:ascii="宋体" w:hAnsi="宋体"/>
              <w:lang w:val="en-US" w:eastAsia="zh-CN"/>
            </w:rPr>
            <w:t>）</w:t>
          </w:r>
          <w:r>
            <w:tab/>
          </w:r>
          <w:r>
            <w:fldChar w:fldCharType="begin"/>
          </w:r>
          <w:r>
            <w:instrText xml:space="preserve"> PAGEREF _Toc31559 \h </w:instrText>
          </w:r>
          <w:r>
            <w:fldChar w:fldCharType="separate"/>
          </w:r>
          <w:r>
            <w:t>6</w:t>
          </w:r>
          <w: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_Toc31559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_Toc31559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_Toc18193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_Toc18193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_Toc19349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_Toc19349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_Toc32464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_Toc32464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_Toc31102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_Toc31102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_Toc2120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_Toc2120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_Toc27545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_Toc27545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_Toc11783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_Toc11783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_Toc3917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_Toc3917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_Toc26810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_Toc26810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_Toc16363 </w:instrText>
          </w:r>
          <w:r>
            <w:rPr>
              <w:rFonts w:hint="eastAsia" w:ascii="宋体" w:hAnsi="宋体" w:eastAsia="方正小标宋简体" w:cs="方正小标宋简体"/>
              <w:bCs/>
              <w:szCs w:val="48"/>
              <w:lang w:val="en-US" w:eastAsia="zh-CN"/>
            </w:rPr>
            <w:fldChar w:fldCharType="separate"/>
          </w:r>
          <w:r>
            <w:rPr>
              <w:rFonts w:hint="eastAsia" w:ascii="宋体" w:hAnsi="宋体"/>
              <w:szCs w:val="48"/>
              <w:lang w:val="en-US"/>
            </w:rPr>
            <w:t xml:space="preserve">第三部分 </w:t>
          </w:r>
          <w:r>
            <w:rPr>
              <w:rFonts w:hint="eastAsia" w:eastAsia="方正小标宋简体" w:cs="方正小标宋简体"/>
              <w:szCs w:val="48"/>
              <w:lang w:val="en-US" w:eastAsia="zh-CN"/>
            </w:rPr>
            <w:t>五通桥区人大常委会办公室信息服务和预算联网中心2026</w:t>
          </w:r>
          <w:r>
            <w:rPr>
              <w:rFonts w:hint="eastAsia" w:ascii="宋体" w:hAnsi="宋体" w:eastAsia="方正小标宋简体" w:cs="方正小标宋简体"/>
              <w:szCs w:val="48"/>
              <w:lang w:val="en-US" w:eastAsia="zh-CN"/>
            </w:rPr>
            <w:t>年部门预算情况说明</w:t>
          </w:r>
          <w:r>
            <w:tab/>
          </w:r>
          <w:r>
            <w:fldChar w:fldCharType="begin"/>
          </w:r>
          <w:r>
            <w:instrText xml:space="preserve"> PAGEREF _Toc16363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_Toc15966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_Toc15966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_Toc27555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_Toc27555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_Toc3046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_Toc3046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_Toc3353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_Toc3353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_Toc5369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_Toc5369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_Toc1698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_Toc1698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_Toc21176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_Toc21176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_Toc5238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_Toc5238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_Toc432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_Toc432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_Toc30036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_Toc30036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_Toc12388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_Toc12388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_Toc9581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_Toc9581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_Toc23313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_Toc23313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_Toc9625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_Toc9625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_Toc18069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_Toc18069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_Toc22806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_Toc22806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_Toc7080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_Toc7080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_Toc5732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_Toc5732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_Toc3271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_Toc3271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_Toc11271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_Toc11271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5"/>
        <w:rPr>
          <w:rFonts w:ascii="宋体" w:hAnsi="宋体"/>
          <w:sz w:val="20"/>
        </w:rPr>
        <w:sectPr>
          <w:headerReference r:id="rId3" w:type="default"/>
          <w:footerReference r:id="rId4" w:type="default"/>
          <w:pgSz w:w="11910" w:h="16840"/>
          <w:pgMar w:top="2098" w:right="1474" w:bottom="1984" w:left="1587" w:header="737" w:footer="737" w:gutter="0"/>
          <w:pgNumType w:fmt="decimal" w:start="1"/>
          <w:cols w:space="0" w:num="1"/>
          <w:rtlGutter w:val="0"/>
          <w:docGrid w:linePitch="0" w:charSpace="0"/>
        </w:sect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spacing w:before="3"/>
        <w:rPr>
          <w:rFonts w:ascii="宋体" w:hAnsi="宋体"/>
          <w:sz w:val="28"/>
        </w:rPr>
      </w:pPr>
    </w:p>
    <w:p>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9670"/>
      <w:r>
        <w:rPr>
          <w:rFonts w:hint="eastAsia" w:ascii="宋体" w:hAnsi="宋体" w:eastAsia="方正小标宋简体" w:cs="方正小标宋简体"/>
          <w:b/>
          <w:bCs/>
          <w:sz w:val="52"/>
          <w:szCs w:val="52"/>
          <w:lang w:val="en-US" w:eastAsia="zh-CN"/>
        </w:rPr>
        <w:t>部门概况</w:t>
      </w:r>
      <w:bookmarkEnd w:id="0"/>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5" w:type="default"/>
          <w:pgSz w:w="11910" w:h="16840"/>
          <w:pgMar w:top="2098" w:right="1474" w:bottom="1984" w:left="1587" w:header="737" w:footer="737" w:gutter="0"/>
          <w:pgNumType w:fmt="decimal" w:start="1"/>
          <w:cols w:space="0" w:num="1"/>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1" w:name="_Toc18671"/>
      <w:r>
        <w:rPr>
          <w:rFonts w:hint="eastAsia" w:ascii="黑体" w:hAnsi="黑体" w:eastAsia="黑体" w:cs="黑体"/>
          <w:sz w:val="32"/>
          <w:szCs w:val="32"/>
        </w:rPr>
        <w:t>一、基本职能及主要工作</w:t>
      </w:r>
      <w:bookmarkEnd w:id="1"/>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2" w:name="_Toc2022"/>
      <w:r>
        <w:rPr>
          <w:rFonts w:hint="eastAsia" w:ascii="楷体_GB2312" w:hAnsi="楷体_GB2312" w:eastAsia="楷体_GB2312" w:cs="楷体_GB2312"/>
          <w:sz w:val="32"/>
          <w:szCs w:val="32"/>
        </w:rPr>
        <w:t>（一）部门职能简介</w:t>
      </w:r>
      <w:bookmarkEnd w:id="2"/>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eastAsia="zh-CN"/>
        </w:rPr>
      </w:pPr>
      <w:bookmarkStart w:id="3" w:name="_Toc12566"/>
      <w:r>
        <w:rPr>
          <w:rFonts w:hint="eastAsia" w:ascii="仿宋_GB2312" w:hAnsi="仿宋_GB2312" w:eastAsia="仿宋_GB2312" w:cs="仿宋_GB2312"/>
          <w:sz w:val="32"/>
          <w:szCs w:val="32"/>
          <w:lang w:val="en-US" w:eastAsia="zh-CN"/>
        </w:rPr>
        <w:t>乐山市五通桥区人大常委会办公室信息服务和预算联网中心主要职责：负责区人民代表大会会议、区人大常委会会议、区人大常委会主任会议等的电子表决系统、会议文件数字化系统等各类会议应用系统的技术服务保障；负责区人大常委会机关信息化建设工作的调查研究、规划设计、推广应用、信息安全等；承担办公自动化系统、业务应用信息系统等建设、运维相关事务性工作；负责区人大预算联网监督系统的建设、运行、维护相关技术支持和信息保障；完成区人大常委会及机关交办的其他工作。</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（二）部门</w:t>
      </w:r>
      <w:r>
        <w:rPr>
          <w:rFonts w:hint="eastAsia" w:ascii="楷体_GB2312" w:hAnsi="楷体_GB2312" w:eastAsia="楷体_GB2312" w:cs="楷体_GB2312"/>
          <w:sz w:val="32"/>
          <w:szCs w:val="32"/>
          <w:lang w:val="en-US" w:eastAsia="zh-CN"/>
        </w:rPr>
        <w:t>2026</w:t>
      </w:r>
      <w:r>
        <w:rPr>
          <w:rFonts w:hint="eastAsia" w:ascii="楷体_GB2312" w:hAnsi="楷体_GB2312" w:eastAsia="楷体_GB2312" w:cs="楷体_GB2312"/>
          <w:sz w:val="32"/>
          <w:szCs w:val="32"/>
        </w:rPr>
        <w:t>年重点工作</w:t>
      </w:r>
      <w:bookmarkEnd w:id="3"/>
      <w:bookmarkStart w:id="4" w:name="_Toc2840"/>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托“数字人大”系统，进一步推进系统功能优化和深度运用，实现代表建议办理、预算监督、代表履职等工作的数字化管理，提升人大工作现代化水平。加强干部信息化技能培训，提升运用数字化手段开展服务、保障监督的能力，让数字赋能成为人大履职的重要支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二、部门预算单位构成</w:t>
      </w:r>
      <w:bookmarkEnd w:id="4"/>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部门下属预算单位1个，其中行政单位0个，参照公务员法管理的事业单位0个，其他事业单位1个。主要包括：</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tbl>
      <w:tblPr>
        <w:tblStyle w:val="11"/>
        <w:tblW w:w="828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jc w:val="center"/>
        </w:trPr>
        <w:tc>
          <w:tcPr>
            <w:tcW w:w="2007" w:type="dxa"/>
          </w:tcPr>
          <w:p>
            <w:pPr>
              <w:pStyle w:val="15"/>
              <w:spacing w:before="159"/>
              <w:ind w:left="748"/>
              <w:rPr>
                <w:rFonts w:hint="eastAsia" w:ascii="黑体" w:hAnsi="黑体" w:eastAsia="黑体" w:cs="黑体"/>
                <w:sz w:val="32"/>
              </w:rPr>
            </w:pPr>
            <w:r>
              <w:rPr>
                <w:rFonts w:hint="eastAsia" w:ascii="黑体" w:hAnsi="黑体" w:eastAsia="黑体" w:cs="黑体"/>
                <w:color w:val="333333"/>
                <w:sz w:val="32"/>
              </w:rPr>
              <w:t>序号</w:t>
            </w:r>
          </w:p>
        </w:tc>
        <w:tc>
          <w:tcPr>
            <w:tcW w:w="6282" w:type="dxa"/>
          </w:tcPr>
          <w:p>
            <w:pPr>
              <w:pStyle w:val="15"/>
              <w:spacing w:before="159"/>
              <w:jc w:val="center"/>
              <w:rPr>
                <w:rFonts w:hint="eastAsia" w:ascii="黑体" w:hAnsi="黑体" w:eastAsia="黑体" w:cs="黑体"/>
                <w:sz w:val="32"/>
              </w:rPr>
            </w:pPr>
            <w:r>
              <w:rPr>
                <w:rFonts w:hint="eastAsia" w:ascii="黑体" w:hAnsi="黑体" w:eastAsia="黑体" w:cs="黑体"/>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1" w:hRule="atLeast"/>
          <w:jc w:val="center"/>
        </w:trPr>
        <w:tc>
          <w:tcPr>
            <w:tcW w:w="2007" w:type="dxa"/>
            <w:vAlign w:val="center"/>
          </w:tcPr>
          <w:p>
            <w:pPr>
              <w:pStyle w:val="15"/>
              <w:spacing w:before="181"/>
              <w:jc w:val="center"/>
              <w:rPr>
                <w:rFonts w:ascii="宋体" w:hAnsi="宋体"/>
                <w:sz w:val="32"/>
              </w:rPr>
            </w:pPr>
            <w:r>
              <w:rPr>
                <w:rFonts w:ascii="宋体" w:hAnsi="宋体"/>
                <w:color w:val="333333"/>
                <w:w w:val="99"/>
                <w:sz w:val="32"/>
              </w:rPr>
              <w:t>1</w:t>
            </w:r>
          </w:p>
        </w:tc>
        <w:tc>
          <w:tcPr>
            <w:tcW w:w="6282" w:type="dxa"/>
          </w:tcPr>
          <w:p>
            <w:pPr>
              <w:pStyle w:val="15"/>
              <w:spacing w:before="160"/>
              <w:ind w:firstLine="640" w:firstLineChars="200"/>
              <w:rPr>
                <w:rFonts w:hint="eastAsia" w:ascii="宋体" w:hAnsi="宋体" w:eastAsia="仿宋_GB2312"/>
                <w:sz w:val="32"/>
                <w:lang w:eastAsia="zh-CN"/>
              </w:rPr>
            </w:pPr>
            <w:r>
              <w:rPr>
                <w:rFonts w:hint="eastAsia" w:eastAsia="仿宋_GB2312"/>
                <w:sz w:val="32"/>
                <w:lang w:val="en-US" w:eastAsia="zh-CN"/>
              </w:rPr>
              <w:t>201002-五通桥区人大常委会办公室信息服务和预算联网中心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jc w:val="center"/>
        </w:trPr>
        <w:tc>
          <w:tcPr>
            <w:tcW w:w="2007" w:type="dxa"/>
            <w:vAlign w:val="center"/>
          </w:tcPr>
          <w:p>
            <w:pPr>
              <w:pStyle w:val="15"/>
              <w:spacing w:before="183"/>
              <w:jc w:val="center"/>
              <w:rPr>
                <w:rFonts w:ascii="宋体" w:hAnsi="宋体"/>
                <w:sz w:val="32"/>
              </w:rPr>
            </w:pPr>
            <w:r>
              <w:rPr>
                <w:rFonts w:ascii="宋体" w:hAnsi="宋体"/>
                <w:color w:val="333333"/>
                <w:w w:val="99"/>
                <w:sz w:val="32"/>
              </w:rPr>
              <w:t>2</w:t>
            </w:r>
          </w:p>
        </w:tc>
        <w:tc>
          <w:tcPr>
            <w:tcW w:w="6282" w:type="dxa"/>
          </w:tcPr>
          <w:p>
            <w:pPr>
              <w:pStyle w:val="15"/>
              <w:spacing w:before="162"/>
              <w:ind w:left="746"/>
              <w:rPr>
                <w:rFonts w:hint="default" w:ascii="宋体" w:hAnsi="宋体" w:eastAsia="仿宋_GB2312"/>
                <w:sz w:val="3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jc w:val="center"/>
        </w:trPr>
        <w:tc>
          <w:tcPr>
            <w:tcW w:w="2007" w:type="dxa"/>
            <w:vAlign w:val="center"/>
          </w:tcPr>
          <w:p>
            <w:pPr>
              <w:pStyle w:val="15"/>
              <w:spacing w:before="183"/>
              <w:jc w:val="center"/>
              <w:rPr>
                <w:rFonts w:ascii="宋体" w:hAnsi="宋体"/>
                <w:sz w:val="32"/>
              </w:rPr>
            </w:pPr>
            <w:r>
              <w:rPr>
                <w:rFonts w:ascii="宋体" w:hAnsi="宋体"/>
                <w:color w:val="333333"/>
                <w:w w:val="99"/>
                <w:sz w:val="32"/>
              </w:rPr>
              <w:t>3</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3" w:hRule="atLeast"/>
          <w:jc w:val="center"/>
        </w:trPr>
        <w:tc>
          <w:tcPr>
            <w:tcW w:w="2007" w:type="dxa"/>
            <w:vAlign w:val="center"/>
          </w:tcPr>
          <w:p>
            <w:pPr>
              <w:pStyle w:val="15"/>
              <w:spacing w:before="183"/>
              <w:jc w:val="center"/>
              <w:rPr>
                <w:rFonts w:ascii="宋体" w:hAnsi="宋体"/>
                <w:sz w:val="32"/>
              </w:rPr>
            </w:pPr>
            <w:r>
              <w:rPr>
                <w:rFonts w:ascii="宋体" w:hAnsi="宋体"/>
                <w:color w:val="333333"/>
                <w:w w:val="99"/>
                <w:sz w:val="32"/>
              </w:rPr>
              <w:t>4</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jc w:val="center"/>
        </w:trPr>
        <w:tc>
          <w:tcPr>
            <w:tcW w:w="2007" w:type="dxa"/>
            <w:vAlign w:val="center"/>
          </w:tcPr>
          <w:p>
            <w:pPr>
              <w:pStyle w:val="15"/>
              <w:spacing w:before="183"/>
              <w:jc w:val="center"/>
              <w:rPr>
                <w:rFonts w:ascii="宋体" w:hAnsi="宋体"/>
                <w:sz w:val="32"/>
              </w:rPr>
            </w:pPr>
            <w:r>
              <w:rPr>
                <w:rFonts w:ascii="宋体" w:hAnsi="宋体"/>
                <w:color w:val="333333"/>
                <w:w w:val="99"/>
                <w:sz w:val="32"/>
              </w:rPr>
              <w:t>5</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jc w:val="center"/>
        </w:trPr>
        <w:tc>
          <w:tcPr>
            <w:tcW w:w="2007" w:type="dxa"/>
            <w:vAlign w:val="center"/>
          </w:tcPr>
          <w:p>
            <w:pPr>
              <w:pStyle w:val="15"/>
              <w:spacing w:before="184"/>
              <w:jc w:val="center"/>
              <w:rPr>
                <w:rFonts w:ascii="宋体" w:hAnsi="宋体"/>
                <w:sz w:val="32"/>
              </w:rPr>
            </w:pPr>
            <w:r>
              <w:rPr>
                <w:rFonts w:ascii="宋体" w:hAnsi="宋体"/>
                <w:color w:val="333333"/>
                <w:w w:val="99"/>
                <w:sz w:val="32"/>
              </w:rPr>
              <w:t>6</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3" w:hRule="atLeast"/>
          <w:jc w:val="center"/>
        </w:trPr>
        <w:tc>
          <w:tcPr>
            <w:tcW w:w="2007" w:type="dxa"/>
            <w:vAlign w:val="center"/>
          </w:tcPr>
          <w:p>
            <w:pPr>
              <w:pStyle w:val="15"/>
              <w:spacing w:before="183"/>
              <w:jc w:val="center"/>
              <w:rPr>
                <w:rFonts w:ascii="宋体" w:hAnsi="宋体"/>
                <w:sz w:val="32"/>
              </w:rPr>
            </w:pPr>
            <w:r>
              <w:rPr>
                <w:rFonts w:ascii="宋体" w:hAnsi="宋体"/>
                <w:color w:val="333333"/>
                <w:w w:val="99"/>
                <w:sz w:val="32"/>
              </w:rPr>
              <w:t>7</w:t>
            </w:r>
          </w:p>
        </w:tc>
        <w:tc>
          <w:tcPr>
            <w:tcW w:w="6282" w:type="dxa"/>
          </w:tcPr>
          <w:p>
            <w:pPr>
              <w:pStyle w:val="15"/>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18677"/>
      <w:r>
        <w:rPr>
          <w:rFonts w:hint="eastAsia" w:ascii="宋体" w:hAnsi="宋体" w:eastAsia="方正小标宋简体" w:cs="方正小标宋简体"/>
          <w:b/>
          <w:bCs/>
          <w:sz w:val="52"/>
          <w:szCs w:val="52"/>
          <w:lang w:val="en-US" w:eastAsia="zh-CN"/>
        </w:rPr>
        <w:t>五通桥区人大常委会办公室信息服务和预算联网中心2026年部门预算表</w:t>
      </w:r>
      <w:bookmarkEnd w:id="5"/>
    </w:p>
    <w:p>
      <w:pPr>
        <w:rPr>
          <w:rFonts w:hint="eastAsia" w:ascii="宋体" w:hAnsi="宋体"/>
          <w:sz w:val="32"/>
          <w:lang w:val="en-US" w:eastAsia="zh-CN"/>
        </w:rPr>
      </w:pPr>
      <w:r>
        <w:rPr>
          <w:rFonts w:ascii="宋体" w:hAnsi="宋体"/>
          <w:color w:val="333333"/>
        </w:rPr>
        <w:br w:type="page"/>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6" w:name="_Toc31973"/>
      <w:r>
        <w:rPr>
          <w:rFonts w:hint="eastAsia" w:ascii="仿宋_GB2312" w:hAnsi="仿宋_GB2312" w:eastAsia="仿宋_GB2312" w:cs="仿宋_GB2312"/>
          <w:sz w:val="32"/>
          <w:lang w:val="en-US" w:eastAsia="zh-CN"/>
        </w:rPr>
        <w:t>一、收支预算总表（收支总表1）</w:t>
      </w:r>
      <w:bookmarkEnd w:id="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7" w:name="_Toc25837"/>
      <w:r>
        <w:rPr>
          <w:rFonts w:hint="eastAsia" w:ascii="仿宋_GB2312" w:hAnsi="仿宋_GB2312" w:eastAsia="仿宋_GB2312" w:cs="仿宋_GB2312"/>
          <w:sz w:val="32"/>
          <w:lang w:val="en-US" w:eastAsia="zh-CN"/>
        </w:rPr>
        <w:t>二、收入预算总表（收入总表2）</w:t>
      </w:r>
      <w:bookmarkEnd w:id="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8" w:name="_Toc31742"/>
      <w:r>
        <w:rPr>
          <w:rFonts w:hint="eastAsia" w:ascii="仿宋_GB2312" w:hAnsi="仿宋_GB2312" w:eastAsia="仿宋_GB2312" w:cs="仿宋_GB2312"/>
          <w:sz w:val="32"/>
          <w:lang w:val="en-US" w:eastAsia="zh-CN"/>
        </w:rPr>
        <w:t>三、征收预期表（征收预期3）</w:t>
      </w:r>
      <w:bookmarkEnd w:id="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9" w:name="_Toc31035"/>
      <w:r>
        <w:rPr>
          <w:rFonts w:hint="eastAsia" w:ascii="仿宋_GB2312" w:hAnsi="仿宋_GB2312" w:eastAsia="仿宋_GB2312" w:cs="仿宋_GB2312"/>
          <w:sz w:val="32"/>
          <w:lang w:val="en-US" w:eastAsia="zh-CN"/>
        </w:rPr>
        <w:t>四、支出预算总表（支出总表4）</w:t>
      </w:r>
      <w:bookmarkEnd w:id="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0" w:name="_Toc27240"/>
      <w:r>
        <w:rPr>
          <w:rFonts w:hint="eastAsia" w:ascii="仿宋_GB2312" w:hAnsi="仿宋_GB2312" w:eastAsia="仿宋_GB2312" w:cs="仿宋_GB2312"/>
          <w:sz w:val="32"/>
          <w:lang w:val="en-US" w:eastAsia="zh-CN"/>
        </w:rPr>
        <w:t>五、财政拨款预算总表（财拨总表5）</w:t>
      </w:r>
      <w:bookmarkEnd w:id="1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1" w:name="_Toc2978"/>
      <w:r>
        <w:rPr>
          <w:rFonts w:hint="eastAsia" w:ascii="仿宋_GB2312" w:hAnsi="仿宋_GB2312" w:eastAsia="仿宋_GB2312" w:cs="仿宋_GB2312"/>
          <w:sz w:val="32"/>
          <w:lang w:val="en-US" w:eastAsia="zh-CN"/>
        </w:rPr>
        <w:t>六、一般公共预算支出表（一般预算支出6）</w:t>
      </w:r>
      <w:bookmarkEnd w:id="1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2" w:name="_Toc31587"/>
      <w:r>
        <w:rPr>
          <w:rFonts w:hint="eastAsia" w:ascii="仿宋_GB2312" w:hAnsi="仿宋_GB2312" w:eastAsia="仿宋_GB2312" w:cs="仿宋_GB2312"/>
          <w:sz w:val="32"/>
          <w:lang w:val="en-US" w:eastAsia="zh-CN"/>
        </w:rPr>
        <w:t>七、一般公共预算基本支出表（基本支出7）</w:t>
      </w:r>
      <w:bookmarkEnd w:id="12"/>
      <w:r>
        <w:rPr>
          <w:rFonts w:hint="eastAsia" w:ascii="仿宋_GB2312" w:hAnsi="仿宋_GB2312" w:eastAsia="仿宋_GB2312" w:cs="仿宋_GB2312"/>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3" w:name="_Toc23750"/>
      <w:r>
        <w:rPr>
          <w:rFonts w:hint="eastAsia" w:ascii="仿宋_GB2312" w:hAnsi="仿宋_GB2312" w:eastAsia="仿宋_GB2312" w:cs="仿宋_GB2312"/>
          <w:sz w:val="32"/>
          <w:lang w:val="en-US" w:eastAsia="zh-CN"/>
        </w:rPr>
        <w:t>八、一般公共预算“三公”经费支出预算表（三公8）</w:t>
      </w:r>
      <w:bookmarkEnd w:id="1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4" w:name="_Toc26074"/>
      <w:r>
        <w:rPr>
          <w:rFonts w:hint="eastAsia" w:ascii="仿宋_GB2312" w:hAnsi="仿宋_GB2312" w:eastAsia="仿宋_GB2312" w:cs="仿宋_GB2312"/>
          <w:sz w:val="32"/>
          <w:lang w:val="en-US" w:eastAsia="zh-CN"/>
        </w:rPr>
        <w:t>九、政府性基金预算支出表（基金9）</w:t>
      </w:r>
      <w:bookmarkEnd w:id="14"/>
      <w:r>
        <w:rPr>
          <w:rFonts w:hint="eastAsia" w:ascii="仿宋_GB2312" w:hAnsi="仿宋_GB2312" w:eastAsia="仿宋_GB2312" w:cs="仿宋_GB2312"/>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5" w:name="_Toc17747"/>
      <w:r>
        <w:rPr>
          <w:rFonts w:hint="eastAsia" w:ascii="仿宋_GB2312" w:hAnsi="仿宋_GB2312" w:eastAsia="仿宋_GB2312" w:cs="仿宋_GB2312"/>
          <w:sz w:val="32"/>
          <w:lang w:val="en-US" w:eastAsia="zh-CN"/>
        </w:rPr>
        <w:t>十、国有资本经营预算支出表（国资10）</w:t>
      </w:r>
      <w:bookmarkEnd w:id="1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6" w:name="_Toc28533"/>
      <w:r>
        <w:rPr>
          <w:rFonts w:hint="eastAsia" w:ascii="仿宋_GB2312" w:hAnsi="仿宋_GB2312" w:eastAsia="仿宋_GB2312" w:cs="仿宋_GB2312"/>
          <w:sz w:val="32"/>
          <w:lang w:val="en-US" w:eastAsia="zh-CN"/>
        </w:rPr>
        <w:t>十一、支出功能分类预算表（支出功能11）</w:t>
      </w:r>
      <w:bookmarkEnd w:id="1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7" w:name="_Toc11609"/>
      <w:r>
        <w:rPr>
          <w:rFonts w:hint="eastAsia" w:ascii="仿宋_GB2312" w:hAnsi="仿宋_GB2312" w:eastAsia="仿宋_GB2312" w:cs="仿宋_GB2312"/>
          <w:sz w:val="32"/>
          <w:lang w:val="en-US" w:eastAsia="zh-CN"/>
        </w:rPr>
        <w:t>十二、支出经济分类预算表（支出经济分类12）</w:t>
      </w:r>
      <w:bookmarkEnd w:id="1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8" w:name="_Toc15617"/>
      <w:r>
        <w:rPr>
          <w:rFonts w:hint="eastAsia" w:ascii="仿宋_GB2312" w:hAnsi="仿宋_GB2312" w:eastAsia="仿宋_GB2312" w:cs="仿宋_GB2312"/>
          <w:sz w:val="32"/>
          <w:lang w:val="en-US" w:eastAsia="zh-CN"/>
        </w:rPr>
        <w:t>十三、上级资金安排情况表（上级资金安排13）</w:t>
      </w:r>
      <w:bookmarkEnd w:id="18"/>
      <w:r>
        <w:rPr>
          <w:rFonts w:hint="eastAsia" w:ascii="仿宋_GB2312" w:hAnsi="仿宋_GB2312" w:eastAsia="仿宋_GB2312" w:cs="仿宋_GB2312"/>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9" w:name="_Toc30594"/>
      <w:r>
        <w:rPr>
          <w:rFonts w:hint="eastAsia" w:ascii="仿宋_GB2312" w:hAnsi="仿宋_GB2312" w:eastAsia="仿宋_GB2312" w:cs="仿宋_GB2312"/>
          <w:sz w:val="32"/>
          <w:lang w:val="en-US" w:eastAsia="zh-CN"/>
        </w:rPr>
        <w:t>十四、项目支出表（项目支出14）</w:t>
      </w:r>
      <w:bookmarkEnd w:id="1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0" w:name="_Toc31559"/>
      <w:r>
        <w:rPr>
          <w:rFonts w:hint="eastAsia" w:ascii="仿宋_GB2312" w:hAnsi="仿宋_GB2312" w:eastAsia="仿宋_GB2312" w:cs="仿宋_GB2312"/>
          <w:sz w:val="32"/>
          <w:lang w:val="en-US" w:eastAsia="zh-CN"/>
        </w:rPr>
        <w:t>十五、项目支出预算明细表（项目明细表</w:t>
      </w:r>
      <w:r>
        <w:rPr>
          <w:rFonts w:hint="eastAsia" w:cs="仿宋_GB2312"/>
          <w:sz w:val="32"/>
          <w:lang w:val="en-US" w:eastAsia="zh-CN"/>
        </w:rPr>
        <w:t>15</w:t>
      </w:r>
      <w:r>
        <w:rPr>
          <w:rFonts w:hint="eastAsia" w:ascii="仿宋_GB2312" w:hAnsi="仿宋_GB2312" w:eastAsia="仿宋_GB2312" w:cs="仿宋_GB2312"/>
          <w:sz w:val="32"/>
          <w:lang w:val="en-US" w:eastAsia="zh-CN"/>
        </w:rPr>
        <w:t>）</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十六、政府购买服务预算表（购买服务16）</w:t>
      </w:r>
      <w:bookmarkEnd w:id="2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1" w:name="_Toc18193"/>
      <w:bookmarkStart w:id="22" w:name="_Toc16458"/>
      <w:r>
        <w:rPr>
          <w:rFonts w:hint="eastAsia" w:ascii="仿宋_GB2312" w:hAnsi="仿宋_GB2312" w:eastAsia="仿宋_GB2312" w:cs="仿宋_GB2312"/>
          <w:sz w:val="32"/>
          <w:lang w:val="en-US" w:eastAsia="zh-CN"/>
        </w:rPr>
        <w:t>十七、采购需求表（采购需求表17）</w:t>
      </w:r>
      <w:bookmarkEnd w:id="2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3" w:name="_Toc19349"/>
      <w:r>
        <w:rPr>
          <w:rFonts w:hint="eastAsia" w:ascii="仿宋_GB2312" w:hAnsi="仿宋_GB2312" w:eastAsia="仿宋_GB2312" w:cs="仿宋_GB2312"/>
          <w:sz w:val="32"/>
          <w:lang w:val="en-US" w:eastAsia="zh-CN"/>
        </w:rPr>
        <w:t>十八、国有资产配置预算表（资产18）</w:t>
      </w:r>
      <w:bookmarkEnd w:id="2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4" w:name="_Toc32464"/>
      <w:r>
        <w:rPr>
          <w:rFonts w:hint="eastAsia" w:ascii="仿宋_GB2312" w:hAnsi="仿宋_GB2312" w:eastAsia="仿宋_GB2312" w:cs="仿宋_GB2312"/>
          <w:sz w:val="32"/>
          <w:lang w:val="en-US" w:eastAsia="zh-CN"/>
        </w:rPr>
        <w:t>十九、项目支出绩效表（项目绩效19）</w:t>
      </w:r>
      <w:bookmarkEnd w:id="2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5" w:name="_Toc31102"/>
      <w:r>
        <w:rPr>
          <w:rFonts w:hint="eastAsia" w:ascii="仿宋_GB2312" w:hAnsi="仿宋_GB2312" w:eastAsia="仿宋_GB2312" w:cs="仿宋_GB2312"/>
          <w:sz w:val="32"/>
          <w:lang w:val="en-US" w:eastAsia="zh-CN"/>
        </w:rPr>
        <w:t>二十、部门绩效表（部门绩效20）</w:t>
      </w:r>
      <w:bookmarkEnd w:id="2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6" w:name="_Toc2120"/>
      <w:r>
        <w:rPr>
          <w:rFonts w:hint="eastAsia" w:ascii="仿宋_GB2312" w:hAnsi="仿宋_GB2312" w:eastAsia="仿宋_GB2312" w:cs="仿宋_GB2312"/>
          <w:sz w:val="32"/>
          <w:lang w:val="en-US" w:eastAsia="zh-CN"/>
        </w:rPr>
        <w:t>二十一、年初政府采购项目预算表（政府采购项目预算表21）</w:t>
      </w:r>
      <w:bookmarkEnd w:id="2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7" w:name="_Toc27545"/>
      <w:r>
        <w:rPr>
          <w:rFonts w:hint="eastAsia" w:ascii="仿宋_GB2312" w:hAnsi="仿宋_GB2312" w:eastAsia="仿宋_GB2312" w:cs="仿宋_GB2312"/>
          <w:sz w:val="32"/>
          <w:lang w:val="en-US" w:eastAsia="zh-CN"/>
        </w:rPr>
        <w:t>二十二、2026-2028年支出计划总表（三年计划总表22）</w:t>
      </w:r>
      <w:bookmarkEnd w:id="2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8" w:name="_Toc11783"/>
      <w:r>
        <w:rPr>
          <w:rFonts w:hint="eastAsia" w:ascii="仿宋_GB2312" w:hAnsi="仿宋_GB2312" w:eastAsia="仿宋_GB2312" w:cs="仿宋_GB2312"/>
          <w:sz w:val="32"/>
          <w:lang w:val="en-US" w:eastAsia="zh-CN"/>
        </w:rPr>
        <w:t>二十三、2026-2028年支出计划明细表（三年计划明细表23）</w:t>
      </w:r>
      <w:bookmarkEnd w:id="2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9" w:name="_Toc3917"/>
      <w:r>
        <w:rPr>
          <w:rFonts w:hint="eastAsia" w:ascii="仿宋_GB2312" w:hAnsi="仿宋_GB2312" w:eastAsia="仿宋_GB2312" w:cs="仿宋_GB2312"/>
          <w:sz w:val="32"/>
          <w:lang w:val="en-US" w:eastAsia="zh-CN"/>
        </w:rPr>
        <w:t>二十四、人员和车辆基本情况表（人员24）</w:t>
      </w:r>
      <w:bookmarkEnd w:id="2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right="660" w:rightChars="300" w:firstLine="643" w:firstLineChars="200"/>
        <w:jc w:val="left"/>
        <w:textAlignment w:val="auto"/>
        <w:outlineLvl w:val="1"/>
        <w:rPr>
          <w:rFonts w:hint="eastAsia" w:ascii="仿宋_GB2312" w:hAnsi="仿宋_GB2312" w:eastAsia="仿宋_GB2312" w:cs="仿宋_GB2312"/>
          <w:b/>
          <w:bCs/>
          <w:sz w:val="32"/>
          <w:lang w:val="en-US" w:eastAsia="zh-CN"/>
        </w:rPr>
      </w:pPr>
      <w:bookmarkStart w:id="30" w:name="_Toc26810"/>
      <w:r>
        <w:rPr>
          <w:rFonts w:hint="eastAsia" w:ascii="仿宋_GB2312" w:hAnsi="仿宋_GB2312" w:eastAsia="仿宋_GB2312" w:cs="仿宋_GB2312"/>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spacing w:before="6"/>
        <w:ind w:left="0" w:leftChars="0" w:firstLine="0" w:firstLineChars="0"/>
        <w:jc w:val="center"/>
        <w:outlineLvl w:val="0"/>
        <w:rPr>
          <w:rFonts w:hint="default" w:ascii="宋体" w:hAnsi="宋体" w:eastAsia="方正小标宋简体" w:cs="方正小标宋简体"/>
          <w:b/>
          <w:bCs/>
          <w:sz w:val="52"/>
          <w:szCs w:val="52"/>
          <w:lang w:val="en-US" w:eastAsia="zh-CN"/>
        </w:rPr>
        <w:sectPr>
          <w:headerReference r:id="rId6" w:type="default"/>
          <w:pgSz w:w="11910" w:h="16840"/>
          <w:pgMar w:top="2098" w:right="1474" w:bottom="1984" w:left="1587" w:header="737" w:footer="737" w:gutter="0"/>
          <w:pgNumType w:fmt="decimal"/>
          <w:cols w:space="0" w:num="1"/>
          <w:rtlGutter w:val="0"/>
          <w:docGrid w:linePitch="0" w:charSpace="0"/>
        </w:sectPr>
      </w:pPr>
      <w:bookmarkStart w:id="31" w:name="_Toc16363"/>
      <w:r>
        <w:rPr>
          <w:rFonts w:hint="eastAsia" w:ascii="宋体" w:hAnsi="宋体" w:eastAsia="方正小标宋简体" w:cs="方正小标宋简体"/>
          <w:b/>
          <w:bCs/>
          <w:sz w:val="52"/>
          <w:szCs w:val="52"/>
          <w:lang w:val="en-US" w:eastAsia="zh-CN"/>
        </w:rPr>
        <w:t>五通桥区人大常委会办公室信息服务和预算联网中心2026年</w:t>
      </w:r>
      <w:bookmarkStart w:id="32" w:name="_Toc1047"/>
      <w:r>
        <w:rPr>
          <w:rFonts w:hint="eastAsia" w:ascii="宋体" w:hAnsi="宋体" w:eastAsia="方正小标宋简体" w:cs="方正小标宋简体"/>
          <w:b/>
          <w:bCs/>
          <w:sz w:val="52"/>
          <w:szCs w:val="52"/>
          <w:lang w:val="en-US" w:eastAsia="zh-CN"/>
        </w:rPr>
        <w:t>部门预算情况说明</w:t>
      </w:r>
      <w:bookmarkEnd w:id="31"/>
      <w:bookmarkEnd w:id="32"/>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33" w:name="_Toc15966"/>
      <w:r>
        <w:rPr>
          <w:rFonts w:hint="eastAsia" w:ascii="黑体" w:hAnsi="黑体" w:eastAsia="黑体" w:cs="黑体"/>
          <w:sz w:val="32"/>
          <w:szCs w:val="32"/>
        </w:rPr>
        <w:t>一、收支预算情况说明</w:t>
      </w:r>
      <w:bookmarkEnd w:id="33"/>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五通桥区人大常委会办公室信息服务和预算联网中心所有收入和支出均纳入部门预算管理。收入包括：一般公共预算拨款收入32.82万元；一般公共预算上年结转0万元、其他收入0万元，收入总计32.82万元。支出包括：一般公共服务支出、社会保障和就业支出、卫生健康支出、住房保障支出。五通桥区人大常委会办公室信息服务和预算联网中心2026年收支预算总数32.82万元,比2025年收支预算总数0万元增加32.82万元。主要原因：一般公共服务支出比上年增加23.84万元、社会保障和就业支出比上年增加5.03万元，卫生健康支出比上年增加1.21万元，住房保障支出比上年增加2.74万元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34" w:name="_Toc27555"/>
      <w:r>
        <w:rPr>
          <w:rFonts w:hint="eastAsia" w:ascii="楷体_GB2312" w:hAnsi="楷体_GB2312" w:eastAsia="楷体_GB2312" w:cs="楷体_GB2312"/>
          <w:sz w:val="32"/>
          <w:szCs w:val="32"/>
        </w:rPr>
        <w:t>（一）收入预算情况</w:t>
      </w:r>
      <w:bookmarkEnd w:id="34"/>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收入预算32.82万元，其中：上年结转0万元，占0%；一般公共预算拨款收入32.82万元，占100%；政府基金预算拨款收入0万元，占0%；事业收入0万元，占0%；事业单位经营收入0万元，占0%；其他收入0万元，占0%。</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35" w:name="_Toc3046"/>
      <w:r>
        <w:rPr>
          <w:rFonts w:hint="eastAsia" w:ascii="楷体_GB2312" w:hAnsi="楷体_GB2312" w:eastAsia="楷体_GB2312" w:cs="楷体_GB2312"/>
          <w:sz w:val="32"/>
          <w:szCs w:val="32"/>
        </w:rPr>
        <w:t>（二）支出预算情况</w:t>
      </w:r>
      <w:bookmarkEnd w:id="35"/>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五通桥区人大常委会办公室信息服务和预算联网中心2026年支出预算32.82万元，其中：人员支出28.79万元，日常公用支出4.02万元，对个人和家庭的补助支出0万元，专项支出0万元。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36" w:name="_Toc3353"/>
      <w:r>
        <w:rPr>
          <w:rFonts w:hint="eastAsia" w:ascii="黑体" w:hAnsi="黑体" w:eastAsia="黑体" w:cs="黑体"/>
          <w:sz w:val="32"/>
          <w:szCs w:val="32"/>
        </w:rPr>
        <w:t>二、财政拨款收支预算情况说明</w:t>
      </w:r>
      <w:bookmarkEnd w:id="36"/>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财政拨款收支预算总数32.82万元,比2025年收支预算总数0万元增加32.82万元。主要原因：一般公共服务支出比上年增加23.84万元、社会保障和就业支出比上年增加5.03万元，卫生健康支出比上年增加1.21万元，住房保障支出比上年增加2.74万元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其中：基本支出32.82万元，占100%；项目支出0万元，占0%。</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基本支出，是用于保障五通桥区人大常委会办公室信息服务和预算联网中心正常运转的日常支出，包括基本工资、津贴补贴等人员经费以及办公费、印刷费、水电费、办公设备购置等日常公用经费。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项目支出，是用于保障五通桥区人大常委会办公室信息服务和预算联网中心为完成特定的行政工作任务或事业发展目标，用于专项业务工作的经费支出。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37" w:name="_Toc5369"/>
      <w:r>
        <w:rPr>
          <w:rFonts w:hint="eastAsia" w:ascii="黑体" w:hAnsi="黑体" w:eastAsia="黑体" w:cs="黑体"/>
          <w:sz w:val="32"/>
          <w:szCs w:val="32"/>
        </w:rPr>
        <w:t>三、一般公共预算当年拨款情况说明</w:t>
      </w:r>
      <w:bookmarkEnd w:id="37"/>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38" w:name="_Toc1698"/>
      <w:r>
        <w:rPr>
          <w:rFonts w:hint="eastAsia" w:ascii="楷体_GB2312" w:hAnsi="楷体_GB2312" w:eastAsia="楷体_GB2312" w:cs="楷体_GB2312"/>
          <w:sz w:val="32"/>
          <w:szCs w:val="32"/>
        </w:rPr>
        <w:t>（一）一般公共预算当年拨款规模变化情况</w:t>
      </w:r>
      <w:bookmarkEnd w:id="38"/>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一般公共预算当年拨款32.82万元，比2025年财政拨款收支预算总数0万元增加32.82万元。主要原因：一般公共服务支出比上年增加23.84万元、社会保障和就业支出比上年增加5.03万元，卫生健康支出比上年增加1.21万元，住房保障支出比上年增加2.74万元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39" w:name="_Toc21176"/>
      <w:r>
        <w:rPr>
          <w:rFonts w:hint="eastAsia" w:ascii="楷体_GB2312" w:hAnsi="楷体_GB2312" w:eastAsia="楷体_GB2312" w:cs="楷体_GB2312"/>
          <w:sz w:val="32"/>
          <w:szCs w:val="32"/>
        </w:rPr>
        <w:t>（二）一般公共预算当年拨款结构情况</w:t>
      </w:r>
      <w:bookmarkEnd w:id="39"/>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一般公共预算支出32.82万元，主要包括一般公共服务支出23.84万元，占72.64%；外交支出0万元，占0%；国防支出0万元，占0%；公共安全支出0万元，占0%；教育支出0万元，占0%；科学技术支出0万元，占0%；文化旅游体育与传媒支出0万元，占0%；社会保障和就业支出5.03万元，占15.33%；卫生健康支出1.21万元，占3.69%；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2.74万元，占8.35%；粮油物资储备支出0万元，占0%；灾害防治及应急管理支出0万元，占0%；预备费0万元，占0%；其他支出0万元，占0%；转移性支出0万元，占0%；债务还本支出0万元，占0%；债务付息支出0万元，占0%；债务发行费支出0万元，占0%。</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40" w:name="_Toc5238"/>
      <w:r>
        <w:rPr>
          <w:rFonts w:hint="eastAsia" w:ascii="楷体_GB2312" w:hAnsi="楷体_GB2312" w:eastAsia="楷体_GB2312" w:cs="楷体_GB2312"/>
          <w:sz w:val="32"/>
          <w:szCs w:val="32"/>
        </w:rPr>
        <w:t>（三）一般公共预算当年拨款具体使用情况</w:t>
      </w:r>
      <w:bookmarkEnd w:id="40"/>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一般公共服务（类）人大事务（款）事业运行（</w:t>
      </w:r>
      <w:r>
        <w:rPr>
          <w:rFonts w:hint="eastAsia" w:ascii="仿宋_GB2312" w:hAnsi="仿宋_GB2312" w:eastAsia="仿宋_GB2312" w:cs="仿宋_GB2312"/>
          <w:sz w:val="32"/>
          <w:szCs w:val="32"/>
          <w:lang w:val="en-US" w:eastAsia="zh-CN"/>
        </w:rPr>
        <w:t>项）:2026</w:t>
      </w:r>
      <w:r>
        <w:rPr>
          <w:rFonts w:hint="eastAsia" w:ascii="仿宋_GB2312" w:hAnsi="仿宋_GB2312" w:eastAsia="仿宋_GB2312" w:cs="仿宋_GB2312"/>
          <w:sz w:val="32"/>
          <w:szCs w:val="32"/>
        </w:rPr>
        <w:t>年预算数</w:t>
      </w:r>
      <w:r>
        <w:rPr>
          <w:rFonts w:hint="eastAsia" w:ascii="仿宋_GB2312" w:hAnsi="仿宋_GB2312" w:eastAsia="仿宋_GB2312" w:cs="仿宋_GB2312"/>
          <w:sz w:val="32"/>
          <w:szCs w:val="32"/>
          <w:lang w:val="en-US" w:eastAsia="zh-CN"/>
        </w:rPr>
        <w:t>为23.84万元，主要用于：事业单位正常运转的基本支出</w:t>
      </w:r>
      <w:r>
        <w:rPr>
          <w:rFonts w:hint="eastAsia" w:ascii="仿宋_GB2312" w:hAnsi="仿宋_GB2312" w:eastAsia="仿宋_GB2312" w:cs="仿宋_GB2312"/>
          <w:sz w:val="32"/>
          <w:szCs w:val="32"/>
        </w:rPr>
        <w:t>，包括基本工资、津贴补贴等人员经费以及办公费、印刷费、水电费等日常公用经费。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社会保障和就业（类）行政事业单位离退休（款）机关事业单位基本养老保险缴费支出（项）:</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3.17</w:t>
      </w:r>
      <w:r>
        <w:rPr>
          <w:rFonts w:hint="eastAsia" w:ascii="仿宋_GB2312" w:hAnsi="仿宋_GB2312" w:eastAsia="仿宋_GB2312" w:cs="仿宋_GB2312"/>
          <w:sz w:val="32"/>
          <w:szCs w:val="32"/>
        </w:rPr>
        <w:t>万元，主要用于：实施养老保险制度后，部门按规定由单位缴纳的基本养老保险费支出。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社会保障和就业（类）行政事业单位离退休（款）机关事业单位职业年金缴费支出（项）:</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1.59</w:t>
      </w:r>
      <w:r>
        <w:rPr>
          <w:rFonts w:hint="eastAsia" w:ascii="仿宋_GB2312" w:hAnsi="仿宋_GB2312" w:eastAsia="仿宋_GB2312" w:cs="仿宋_GB2312"/>
          <w:sz w:val="32"/>
          <w:szCs w:val="32"/>
        </w:rPr>
        <w:t>万元，主要用于：实施养老保险制度后，部门按规定由单位缴纳的职业年金支出。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社会保障和就业（类）其他社会保障和就业支出（款）其他社会保障和就业支出（项）:</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万元，主要用于：其他社会保障和就业</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卫生健康支出（类）行政事业单位医疗（款）事业单位医疗（项）:</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万元，主要用于：事业单位基本医疗保险缴费支出。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 公务员医疗补助（项）:</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万元，主要用于：机关及参公管理事业单位公务员医疗补助医疗保险缴费支出。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住房保障（类）住房改革支出（款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住房公积金（项）:</w:t>
      </w: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2.74</w:t>
      </w:r>
      <w:r>
        <w:rPr>
          <w:rFonts w:hint="eastAsia" w:ascii="仿宋_GB2312" w:hAnsi="仿宋_GB2312" w:eastAsia="仿宋_GB2312" w:cs="仿宋_GB2312"/>
          <w:sz w:val="32"/>
          <w:szCs w:val="32"/>
        </w:rPr>
        <w:t>万元，主要用于：部门按人力资源和社会保障部、财政部规定的基本工资和津贴补贴以及规定比例为职工缴纳的住房公积金支出。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1" w:name="_Toc432"/>
      <w:r>
        <w:rPr>
          <w:rFonts w:hint="eastAsia" w:ascii="黑体" w:hAnsi="黑体" w:eastAsia="黑体" w:cs="黑体"/>
          <w:sz w:val="32"/>
          <w:szCs w:val="32"/>
        </w:rPr>
        <w:t>四、一般公共预算基本支出情况说明</w:t>
      </w:r>
      <w:bookmarkEnd w:id="41"/>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五通桥区人大常委会办公室信息服务和预算联网中心2026年一般公共预算基本支出32.82万元，其中：</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28.79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4.02万元，主要包括：主要包括：办公费、印刷费、水费、电费、邮电费、差旅费、维修（护）费、会议费、培训费、公务接待费、劳务费、工会经费、福利费、公务用车运行维护费、其他交通费、其他商品和服务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2" w:name="_Toc30036"/>
      <w:r>
        <w:rPr>
          <w:rFonts w:hint="eastAsia" w:ascii="黑体" w:hAnsi="黑体" w:eastAsia="黑体" w:cs="黑体"/>
          <w:sz w:val="32"/>
          <w:szCs w:val="32"/>
        </w:rPr>
        <w:t>五、“三公”经费财政拨款预算安排情况说明</w:t>
      </w:r>
      <w:bookmarkEnd w:id="42"/>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五通桥区人大常委会办公室信息服务和预算联网中心2026年“三公”经费财政拨款预算数0万元，其中：公务接待费0万元，公务用车购置0万元，公车运行维护费0万元。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2026年未安排公务接待费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43" w:name="_Toc12388"/>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公务接待费变化情况</w:t>
      </w:r>
      <w:bookmarkEnd w:id="43"/>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公务接待费较2025年预算0万元增加0万元。主要原因是本单位是新增单位，无上年数。</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44" w:name="_Toc9581"/>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公务用车购置及运行维护费变化情况</w:t>
      </w:r>
      <w:bookmarkEnd w:id="44"/>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公务用车购置及运行维护费较2025预算0万元预算持平。主要原因是本单位是新增单位，无上年数。</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单位实有公务用车0辆，其中：轿车0辆，多功能乘用车0辆。</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2026年安排公务用车购置费0万元，拟购置公务用车0辆，其中：轿车0辆，旅行车（含商务车）0辆，越野车0辆，大型客、货车0辆。</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2026年安排公务用车运行维护费0万元，用于0辆公务用车开展等工作所需的公务用车汽油费、维修费、过路过桥费、保险费、停车费等支出。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5" w:name="_Toc23313"/>
      <w:r>
        <w:rPr>
          <w:rFonts w:hint="eastAsia" w:ascii="黑体" w:hAnsi="黑体" w:eastAsia="黑体" w:cs="黑体"/>
          <w:sz w:val="32"/>
          <w:szCs w:val="32"/>
        </w:rPr>
        <w:t>六、政府性基金预算支出情况说明</w:t>
      </w:r>
      <w:bookmarkEnd w:id="45"/>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五通桥区人大常委会办公室信息服务和预算联网中心2026年政府性基金预算拨款安排支出0万元，较上年预算数持平。</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6" w:name="_Toc9625"/>
      <w:r>
        <w:rPr>
          <w:rFonts w:hint="eastAsia" w:ascii="黑体" w:hAnsi="黑体" w:eastAsia="黑体" w:cs="黑体"/>
          <w:sz w:val="32"/>
          <w:szCs w:val="32"/>
          <w:lang w:val="en-US" w:eastAsia="zh-CN"/>
        </w:rPr>
        <w:t>七、</w:t>
      </w:r>
      <w:r>
        <w:rPr>
          <w:rFonts w:hint="eastAsia" w:ascii="黑体" w:hAnsi="黑体" w:eastAsia="黑体" w:cs="黑体"/>
          <w:sz w:val="32"/>
          <w:szCs w:val="32"/>
        </w:rPr>
        <w:t>国有资本经营预算情况说明</w:t>
      </w:r>
      <w:bookmarkEnd w:id="46"/>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五通桥区人大常委会办公室信息服务和预算联网中心2026年国有资本经营预算拨款安排支出0万元,较上年预算数持平。</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lang w:val="en-US" w:eastAsia="zh-CN"/>
        </w:rPr>
      </w:pPr>
      <w:bookmarkStart w:id="47" w:name="_Toc18069"/>
      <w:r>
        <w:rPr>
          <w:rFonts w:hint="eastAsia" w:ascii="黑体" w:hAnsi="黑体" w:eastAsia="黑体" w:cs="黑体"/>
          <w:sz w:val="32"/>
          <w:szCs w:val="32"/>
          <w:lang w:val="en-US" w:eastAsia="zh-CN"/>
        </w:rPr>
        <w:t>八、其他重要事项的情况说明</w:t>
      </w:r>
      <w:bookmarkEnd w:id="47"/>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val="en-US" w:eastAsia="zh-CN"/>
        </w:rPr>
      </w:pPr>
      <w:bookmarkStart w:id="48" w:name="_Toc22806"/>
      <w:r>
        <w:rPr>
          <w:rFonts w:hint="eastAsia" w:ascii="楷体_GB2312" w:hAnsi="楷体_GB2312" w:eastAsia="楷体_GB2312" w:cs="楷体_GB2312"/>
          <w:sz w:val="32"/>
          <w:szCs w:val="32"/>
        </w:rPr>
        <w:t>（一）机关运行经费情况</w:t>
      </w:r>
      <w:bookmarkEnd w:id="48"/>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五通桥区人大常务委员会办公室信息服务和预算联网中心下属0家行政单位、1家事业单位的机关运行经费财政拨款预算为4.02万元，比2025年预算0万元增加4.02万元，增长0%。主要原因是本单位是新增单位，无上年数。</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49" w:name="_Toc7080"/>
      <w:r>
        <w:rPr>
          <w:rFonts w:hint="eastAsia" w:ascii="楷体_GB2312" w:hAnsi="楷体_GB2312" w:eastAsia="楷体_GB2312" w:cs="楷体_GB2312"/>
          <w:sz w:val="32"/>
          <w:szCs w:val="32"/>
        </w:rPr>
        <w:t>（二）政府采购情况</w:t>
      </w:r>
      <w:bookmarkEnd w:id="49"/>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2026年，五通桥区人大常委会办公室信息服务和预算联网中心政府采购项目0万元。其中，政府采购货物预算0万元；政府采购工程预算0万元；政府采购服务预算0万元。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50" w:name="_Toc5732"/>
      <w:r>
        <w:rPr>
          <w:rFonts w:hint="eastAsia" w:ascii="楷体_GB2312" w:hAnsi="楷体_GB2312" w:eastAsia="楷体_GB2312" w:cs="楷体_GB2312"/>
          <w:sz w:val="32"/>
          <w:szCs w:val="32"/>
        </w:rPr>
        <w:t>（三）国有资产占有使用情况</w:t>
      </w:r>
      <w:bookmarkEnd w:id="50"/>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截至2026年底，五通桥区人大常委会办公室信息服务和预算联网中心所属各预算单位共有车辆0辆</w:t>
      </w:r>
      <w:bookmarkStart w:id="53" w:name="_GoBack"/>
      <w:bookmarkEnd w:id="53"/>
      <w:r>
        <w:rPr>
          <w:rFonts w:hint="eastAsia" w:ascii="仿宋_GB2312" w:hAnsi="仿宋_GB2312" w:eastAsia="仿宋_GB2312" w:cs="仿宋_GB2312"/>
          <w:sz w:val="32"/>
          <w:szCs w:val="32"/>
          <w:lang w:val="en-US" w:eastAsia="zh-CN"/>
        </w:rPr>
        <w:t>。单位价值100万元以上大型设备0套，为无。</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2026年部门预算未安排购置车辆及单位价值100万元以上大型设备。</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51" w:name="_Toc3271"/>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预算绩效情况</w:t>
      </w:r>
      <w:bookmarkEnd w:id="51"/>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年五通桥区人大常委会办公室信息服务和预算联网中心局开展绩效目标管理的项目12个，涉及预算32.82万元。其中：人员类项目9个，涉及预算28.80万元；运转类项目3个，涉及预算4.02万元；特定目标类项目0个，涉及预算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sectPr>
          <w:headerReference r:id="rId7" w:type="default"/>
          <w:footerReference r:id="rId8" w:type="default"/>
          <w:pgSz w:w="11910" w:h="16840"/>
          <w:pgMar w:top="2098" w:right="1474" w:bottom="1984" w:left="1587" w:header="737" w:footer="737" w:gutter="0"/>
          <w:pgNumType w:fmt="decimal"/>
          <w:cols w:space="0" w:num="1"/>
          <w:rtlGutter w:val="0"/>
          <w:docGrid w:linePitch="0" w:charSpace="0"/>
        </w:sectPr>
      </w:pPr>
    </w:p>
    <w:p>
      <w:pPr>
        <w:rPr>
          <w:rFonts w:ascii="宋体" w:hAnsi="宋体"/>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jc w:val="center"/>
        <w:outlineLvl w:val="0"/>
        <w:rPr>
          <w:rFonts w:hint="eastAsia" w:ascii="宋体" w:hAnsi="宋体" w:eastAsia="方正小标宋简体" w:cs="方正小标宋简体"/>
          <w:sz w:val="52"/>
          <w:szCs w:val="52"/>
          <w:lang w:val="en-US" w:eastAsia="zh-CN"/>
        </w:rPr>
      </w:pPr>
      <w:bookmarkStart w:id="52" w:name="_Toc11271"/>
      <w:r>
        <w:rPr>
          <w:rFonts w:hint="eastAsia" w:ascii="宋体" w:hAnsi="宋体" w:eastAsia="方正小标宋简体" w:cs="方正小标宋简体"/>
          <w:sz w:val="52"/>
          <w:szCs w:val="52"/>
          <w:lang w:val="en-US" w:eastAsia="zh-CN"/>
        </w:rPr>
        <w:t>第四部分  名词解释</w:t>
      </w:r>
      <w:bookmarkEnd w:id="52"/>
    </w:p>
    <w:p>
      <w:pPr>
        <w:spacing w:after="0"/>
        <w:rPr>
          <w:rFonts w:ascii="宋体" w:hAnsi="宋体"/>
          <w:sz w:val="20"/>
        </w:rPr>
        <w:sectPr>
          <w:headerReference r:id="rId9" w:type="default"/>
          <w:footerReference r:id="rId10" w:type="default"/>
          <w:pgSz w:w="11910" w:h="16840"/>
          <w:pgMar w:top="2098" w:right="1474" w:bottom="1984" w:left="1587" w:header="737" w:footer="737" w:gutter="0"/>
          <w:pgNumType w:fmt="decimal"/>
          <w:cols w:space="0" w:num="1"/>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1.财政拨款收支情况：是指一般公共预算、政府性基金预算、国有资本经营预算拨款收支情况。</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2.一般公共预算拨款收入：指区级财政当年拨付的资金。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3.事业收入：指事业单位开展专业业务活动及辅助活动所取得的收入。</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4.事业单位经营收入：指事业单位在专业业务活动及其辅助活动之外开展非独立核算经营活动取得的收入。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5.其他收入：指除上述“一般公共预算拨款收入”、“事业收入”、“事业单位经营收入”等以外的收入。主要是利息收入、国有资产出租收入等。</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7.上年结转：指以前年度尚未完成，结转到本年仍按原规定用途继续使用的资金。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8.社会保障和就业（类）行政事业单位离退休（款）事业单位离退休（项）：指离退休人员的支出。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9.社会保障和就业（类）行政事业单位离退休（款）未归口管理的行政单位离退休（项）：指离退休人员的支出。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10.社会保障和就业（类）行政事业单位离退休（款）机关事业单位基本养老保险缴费支出（项）：指部门实施养老保险制度由单位缴纳的养老保险费的支出。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11.社会保障和就业（类）行政事业单位离退休（款）机关事业单位职业年金缴费支出（项）：指部门实施养老保险制度由单位缴纳的职业年金的支出。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12.社会保障和就业（类）其他社会保障和就业（款）其他社会保障和就业支出（项）：指除上述项目外，其他用于行政事业单位离退休方面的支出。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13.卫生健康（类）行政事业单位医疗（款）行政单位医疗（项）：指行政单位及参公管理事业单位用于缴纳单位基本医疗保险支出。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14.卫生健康（类）行政事业单位医疗（款）事业单位医疗（项）：指事业单位用于缴纳单位基本医疗保险支出。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15.卫生健康（类）行政事业单位医疗（款）公务员医疗补助（项）：指行政单位及参公管理事业单位用于集中缴纳公务员医疗补助支出。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16.住房保障（类）住房改革支出（款）住房公积金（项）：指由单位及其在职职工按规定缴存的住房公积金支出。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17.基本支出：指为保证机构正常运转，完成日常工作任务而发生的人员支出和公用支出。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一般公共服务（类）人大事务（款） 人大会议（项）:</w:t>
      </w:r>
      <w:r>
        <w:rPr>
          <w:rFonts w:hint="eastAsia" w:ascii="仿宋_GB2312" w:hAnsi="仿宋_GB2312" w:eastAsia="仿宋_GB2312" w:cs="仿宋_GB2312"/>
          <w:sz w:val="32"/>
          <w:szCs w:val="32"/>
          <w:lang w:eastAsia="zh-CN"/>
        </w:rPr>
        <w:t>是指</w:t>
      </w:r>
      <w:r>
        <w:rPr>
          <w:rFonts w:hint="eastAsia" w:ascii="仿宋_GB2312" w:hAnsi="仿宋_GB2312" w:eastAsia="仿宋_GB2312" w:cs="仿宋_GB2312"/>
          <w:sz w:val="32"/>
          <w:szCs w:val="32"/>
        </w:rPr>
        <w:t>召开人民代表大会等专门会议的支出。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一般公共服务（类）人大事务（款）</w:t>
      </w:r>
      <w:r>
        <w:rPr>
          <w:rFonts w:hint="eastAsia" w:ascii="仿宋_GB2312" w:hAnsi="仿宋_GB2312" w:eastAsia="仿宋_GB2312" w:cs="仿宋_GB2312"/>
          <w:sz w:val="32"/>
          <w:szCs w:val="32"/>
          <w:lang w:eastAsia="zh-CN"/>
        </w:rPr>
        <w:t>人大监督</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是指各级人大开展监督工作</w:t>
      </w:r>
      <w:r>
        <w:rPr>
          <w:rFonts w:hint="eastAsia" w:ascii="仿宋_GB2312" w:hAnsi="仿宋_GB2312" w:eastAsia="仿宋_GB2312" w:cs="仿宋_GB2312"/>
          <w:sz w:val="32"/>
          <w:szCs w:val="32"/>
        </w:rPr>
        <w:t>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一般公共服务（类）人大事务（款） 代表工作（项）:</w:t>
      </w:r>
      <w:r>
        <w:rPr>
          <w:rFonts w:hint="eastAsia" w:ascii="仿宋_GB2312" w:hAnsi="仿宋_GB2312" w:eastAsia="仿宋_GB2312" w:cs="仿宋_GB2312"/>
          <w:sz w:val="32"/>
          <w:szCs w:val="32"/>
          <w:lang w:eastAsia="zh-CN"/>
        </w:rPr>
        <w:t>是指人大代表</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各类视察等方面的</w:t>
      </w:r>
      <w:r>
        <w:rPr>
          <w:rFonts w:hint="eastAsia" w:ascii="仿宋_GB2312" w:hAnsi="仿宋_GB2312" w:eastAsia="仿宋_GB2312" w:cs="仿宋_GB2312"/>
          <w:sz w:val="32"/>
          <w:szCs w:val="32"/>
        </w:rPr>
        <w:t>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一般公共服务（类）人大事务（款）</w:t>
      </w:r>
      <w:r>
        <w:rPr>
          <w:rFonts w:hint="eastAsia" w:ascii="仿宋_GB2312" w:hAnsi="仿宋_GB2312" w:eastAsia="仿宋_GB2312" w:cs="仿宋_GB2312"/>
          <w:sz w:val="32"/>
          <w:szCs w:val="32"/>
          <w:lang w:eastAsia="zh-CN"/>
        </w:rPr>
        <w:t> 人大代表履职能力提升</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是指各级人大代表开展履职能力提升工作</w:t>
      </w:r>
      <w:r>
        <w:rPr>
          <w:rFonts w:hint="eastAsia" w:ascii="仿宋_GB2312" w:hAnsi="仿宋_GB2312" w:eastAsia="仿宋_GB2312" w:cs="仿宋_GB2312"/>
          <w:sz w:val="32"/>
          <w:szCs w:val="32"/>
        </w:rPr>
        <w:t>的支出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一般公共服务（类）人大事务（款）事业运行（项）:</w:t>
      </w:r>
      <w:r>
        <w:rPr>
          <w:rFonts w:hint="eastAsia" w:ascii="仿宋_GB2312" w:hAnsi="仿宋_GB2312" w:eastAsia="仿宋_GB2312" w:cs="仿宋_GB2312"/>
          <w:sz w:val="32"/>
          <w:szCs w:val="32"/>
          <w:lang w:eastAsia="zh-CN"/>
        </w:rPr>
        <w:t>反映事业单位</w:t>
      </w:r>
      <w:r>
        <w:rPr>
          <w:rFonts w:hint="eastAsia" w:ascii="仿宋_GB2312" w:hAnsi="仿宋_GB2312" w:eastAsia="仿宋_GB2312" w:cs="仿宋_GB2312"/>
          <w:sz w:val="32"/>
          <w:szCs w:val="32"/>
        </w:rPr>
        <w:t>正常运转的基本支出，包括基本工资、津贴补贴等人员经费以及办公费、印刷费、水电费等日常公用经费。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卫生健康支出（类）行政事业单位医疗（款）事业单位医疗（项）:</w:t>
      </w:r>
      <w:r>
        <w:rPr>
          <w:rFonts w:hint="eastAsia" w:ascii="仿宋_GB2312" w:hAnsi="仿宋_GB2312" w:eastAsia="仿宋_GB2312" w:cs="仿宋_GB2312"/>
          <w:sz w:val="32"/>
          <w:szCs w:val="32"/>
          <w:lang w:eastAsia="zh-CN"/>
        </w:rPr>
        <w:t>反映</w:t>
      </w:r>
      <w:r>
        <w:rPr>
          <w:rFonts w:hint="eastAsia" w:ascii="仿宋_GB2312" w:hAnsi="仿宋_GB2312" w:eastAsia="仿宋_GB2312" w:cs="仿宋_GB2312"/>
          <w:sz w:val="32"/>
          <w:szCs w:val="32"/>
        </w:rPr>
        <w:t>事业单位基本医疗保险缴费支出。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p>
    <w:sectPr>
      <w:headerReference r:id="rId11" w:type="default"/>
      <w:footerReference r:id="rId12" w:type="default"/>
      <w:pgSz w:w="11910" w:h="16840"/>
      <w:pgMar w:top="2098" w:right="1474" w:bottom="1984" w:left="1587" w:header="737" w:footer="73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58591217-10BD-489F-88DA-21619D02971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EDF8F42F-74C3-4804-A703-19AC5CB96242}"/>
  </w:font>
  <w:font w:name="Calibri">
    <w:panose1 w:val="020F0502020204030204"/>
    <w:charset w:val="86"/>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embedRegular r:id="rId3" w:fontKey="{CD2E6F8C-6BE7-4741-BE35-AA3053700F52}"/>
  </w:font>
  <w:font w:name="楷体_GB2312">
    <w:panose1 w:val="02010609030101010101"/>
    <w:charset w:val="86"/>
    <w:family w:val="modern"/>
    <w:pitch w:val="default"/>
    <w:sig w:usb0="00000001" w:usb1="080E0000" w:usb2="00000000" w:usb3="00000000" w:csb0="00040000" w:csb1="00000000"/>
    <w:embedRegular r:id="rId4" w:fontKey="{87ABCA62-014A-4691-A87E-852A2B8703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14445BB"/>
    <w:rsid w:val="017B1B00"/>
    <w:rsid w:val="02491653"/>
    <w:rsid w:val="02ED1707"/>
    <w:rsid w:val="02F925FF"/>
    <w:rsid w:val="031659FE"/>
    <w:rsid w:val="08F93370"/>
    <w:rsid w:val="0B0A5CA9"/>
    <w:rsid w:val="0BF67607"/>
    <w:rsid w:val="10501686"/>
    <w:rsid w:val="13CB5FFB"/>
    <w:rsid w:val="13D4420E"/>
    <w:rsid w:val="14E51FCD"/>
    <w:rsid w:val="17A41277"/>
    <w:rsid w:val="1815422F"/>
    <w:rsid w:val="187167F1"/>
    <w:rsid w:val="18D94D16"/>
    <w:rsid w:val="1A9729DB"/>
    <w:rsid w:val="1C4565B4"/>
    <w:rsid w:val="1D230E05"/>
    <w:rsid w:val="1E902E47"/>
    <w:rsid w:val="1E9115A9"/>
    <w:rsid w:val="20D9567F"/>
    <w:rsid w:val="21211D8E"/>
    <w:rsid w:val="240622C9"/>
    <w:rsid w:val="247F2477"/>
    <w:rsid w:val="26504DE2"/>
    <w:rsid w:val="26E230BE"/>
    <w:rsid w:val="29374EBC"/>
    <w:rsid w:val="2BD66371"/>
    <w:rsid w:val="2CB60A47"/>
    <w:rsid w:val="2E5D5E97"/>
    <w:rsid w:val="3170631D"/>
    <w:rsid w:val="37444DB2"/>
    <w:rsid w:val="3805550E"/>
    <w:rsid w:val="3E7A3FF5"/>
    <w:rsid w:val="3FF9336B"/>
    <w:rsid w:val="402D34AD"/>
    <w:rsid w:val="44B327EB"/>
    <w:rsid w:val="467953D4"/>
    <w:rsid w:val="47DA3080"/>
    <w:rsid w:val="48236963"/>
    <w:rsid w:val="4D3C563B"/>
    <w:rsid w:val="4ECA03CC"/>
    <w:rsid w:val="51D821BE"/>
    <w:rsid w:val="52CE2520"/>
    <w:rsid w:val="54BB49E6"/>
    <w:rsid w:val="54C30EEA"/>
    <w:rsid w:val="5543046B"/>
    <w:rsid w:val="58EE6347"/>
    <w:rsid w:val="595E3E2E"/>
    <w:rsid w:val="5AE90F4A"/>
    <w:rsid w:val="5B65451D"/>
    <w:rsid w:val="5F496EF3"/>
    <w:rsid w:val="60EA1E1C"/>
    <w:rsid w:val="66FC4903"/>
    <w:rsid w:val="6AB3181E"/>
    <w:rsid w:val="6CFA5E47"/>
    <w:rsid w:val="6D1353A5"/>
    <w:rsid w:val="70BB2D4C"/>
    <w:rsid w:val="7209340F"/>
    <w:rsid w:val="76565F7E"/>
    <w:rsid w:val="76A30804"/>
    <w:rsid w:val="77785EA7"/>
    <w:rsid w:val="78D85A8E"/>
    <w:rsid w:val="7AB2580A"/>
    <w:rsid w:val="7C6130B2"/>
    <w:rsid w:val="7CBB7A89"/>
    <w:rsid w:val="7E7531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Layout w:type="fixed"/>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20">
    <w:name w:val="BodyText"/>
    <w:basedOn w:val="1"/>
    <w:next w:val="21"/>
    <w:qFormat/>
    <w:uiPriority w:val="99"/>
    <w:pPr>
      <w:spacing w:after="120"/>
      <w:textAlignment w:val="baseline"/>
    </w:pPr>
    <w:rPr>
      <w:rFonts w:ascii="Times New Roman" w:hAnsi="Times New Roman"/>
      <w:szCs w:val="21"/>
    </w:rPr>
  </w:style>
  <w:style w:type="paragraph" w:customStyle="1" w:styleId="21">
    <w:name w:val="Index8"/>
    <w:basedOn w:val="1"/>
    <w:next w:val="1"/>
    <w:qFormat/>
    <w:uiPriority w:val="0"/>
    <w:pPr>
      <w:ind w:left="2940"/>
      <w:jc w:val="both"/>
      <w:textAlignment w:val="baseline"/>
    </w:pPr>
    <w:rPr>
      <w:rFonts w:ascii="Times New Roman" w:hAnsi="Times New Roman" w:eastAsia="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5241</Words>
  <Characters>6214</Characters>
  <TotalTime>9</TotalTime>
  <ScaleCrop>false</ScaleCrop>
  <LinksUpToDate>false</LinksUpToDate>
  <CharactersWithSpaces>6454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2026-03-03T06:36:38Z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2052-11.8.2.8411</vt:lpwstr>
  </property>
  <property fmtid="{D5CDD505-2E9C-101B-9397-08002B2CF9AE}" pid="6" name="ICV">
    <vt:lpwstr>19A6489293D14499A2E447A850DEABA6</vt:lpwstr>
  </property>
</Properties>
</file>