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D6DD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Cs/>
          <w:sz w:val="44"/>
          <w:szCs w:val="44"/>
          <w:lang w:val="en-US" w:eastAsia="zh-CN"/>
        </w:rPr>
      </w:pPr>
      <w:bookmarkStart w:id="2" w:name="_GoBack"/>
      <w:r>
        <w:rPr>
          <w:rFonts w:hint="eastAsia" w:ascii="方正小标宋简体" w:hAnsi="方正小标宋简体" w:eastAsia="方正小标宋简体" w:cs="方正小标宋简体"/>
          <w:bCs/>
          <w:sz w:val="44"/>
          <w:szCs w:val="44"/>
          <w:lang w:val="en-US" w:eastAsia="zh-CN"/>
        </w:rPr>
        <w:t>乐山市五通桥区人民政府</w:t>
      </w:r>
    </w:p>
    <w:p w14:paraId="403CA34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年法治政府建设重点工作安排</w:t>
      </w:r>
    </w:p>
    <w:bookmarkEnd w:id="2"/>
    <w:p w14:paraId="68BA04E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lang w:eastAsia="zh-CN"/>
        </w:rPr>
      </w:pPr>
    </w:p>
    <w:p w14:paraId="1EA9E954">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2026年是“十五五”开局之年，是法治政府建设服务全区高质量发展、支撑“工业强区、城市更新、文化赋能”三大战略的关键之年。全区法治政府建设坚持以习近平新时代中国特色社会主义思想为指导，深学笃行习近平法治思想，全面对标市委、市政府工作部署，紧扣区委、区政府重点工作任务，以提升依法行政能力、规范权力运行、优化营商环境、深化基层治理为核心，突出法治护航项目建设、产业发展、民生保障、安全稳定，着力解决依法行政突出问题，推动法治政府建设与中心工作深度融合、同向发力，重点抓好以下工作。</w:t>
      </w:r>
    </w:p>
    <w:p w14:paraId="44D00A70">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一、强化统筹引领，压实法治建设责任</w:t>
      </w:r>
    </w:p>
    <w:p w14:paraId="3734C2E9">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bookmarkStart w:id="0" w:name="OLE_LINK2"/>
      <w:r>
        <w:rPr>
          <w:rFonts w:hint="eastAsia" w:ascii="楷体_GB2312" w:hAnsi="楷体_GB2312" w:eastAsia="楷体_GB2312" w:cs="楷体_GB2312"/>
          <w:color w:val="auto"/>
          <w:kern w:val="2"/>
          <w:sz w:val="32"/>
          <w:szCs w:val="32"/>
          <w:lang w:val="en-US" w:eastAsia="zh-CN" w:bidi="ar-SA"/>
        </w:rPr>
        <w:t>（一）健全党领导法治政府建设机制。</w:t>
      </w:r>
      <w:r>
        <w:rPr>
          <w:rFonts w:hint="eastAsia" w:ascii="仿宋_GB2312" w:hAnsi="仿宋_GB2312" w:eastAsia="仿宋_GB2312" w:cs="仿宋_GB2312"/>
          <w:color w:val="auto"/>
          <w:kern w:val="2"/>
          <w:sz w:val="32"/>
          <w:szCs w:val="32"/>
          <w:lang w:val="en-US" w:eastAsia="zh-CN" w:bidi="ar-SA"/>
        </w:rPr>
        <w:t>深学细悟《习近平法治文选》第一卷、《习近平法治思想学习纲要（2025年版）》《习近平法治思想干部读本》等内容，坚持不懈用习近平法治思想武装头脑、指导实践。严格落实领导干部应知应会党内法规和法律法规清单制度，规范执行会前学法、重大决策前专题学法、年度述法制度，提升领导干部运用法治思维和法治方式推进项目、化解风险、服务发展能力。〔区司法局等区级各部门和各镇人民政府按职责分工负责〕</w:t>
      </w:r>
    </w:p>
    <w:bookmarkEnd w:id="0"/>
    <w:p w14:paraId="31F8FAB0">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（二）抓实示范创建与任务落地。</w:t>
      </w:r>
      <w:r>
        <w:rPr>
          <w:rFonts w:hint="eastAsia" w:ascii="仿宋_GB2312" w:hAnsi="仿宋_GB2312" w:eastAsia="仿宋_GB2312" w:cs="仿宋_GB2312"/>
          <w:color w:val="auto"/>
          <w:kern w:val="2"/>
          <w:sz w:val="32"/>
          <w:szCs w:val="32"/>
          <w:lang w:val="en-US" w:eastAsia="zh-CN" w:bidi="ar-SA"/>
        </w:rPr>
        <w:t>主动对接全市法治政府建设示范创建，培育打造涉企执法、矛盾化解、基层治理等特色亮点。健全法治政府建设与区政府重点工作同部署、同推进、同督查机制，自觉接受人大、司法、社会监督，强化监督结果运用，确保法治建设责任落地见效。〔区司法局等区级各部门和各镇人民政府按职责分工负责〕</w:t>
      </w:r>
    </w:p>
    <w:p w14:paraId="74FFFA61">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二、规范决策程序，提升依法决策水平</w:t>
      </w:r>
    </w:p>
    <w:p w14:paraId="1A76F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（三）严格落实重大行政决策全流程管理。</w:t>
      </w:r>
      <w:r>
        <w:rPr>
          <w:rFonts w:hint="eastAsia" w:ascii="仿宋_GB2312" w:hAnsi="仿宋_GB2312" w:eastAsia="仿宋_GB2312" w:cs="仿宋_GB2312"/>
          <w:color w:val="auto"/>
          <w:kern w:val="2"/>
          <w:sz w:val="32"/>
          <w:szCs w:val="32"/>
          <w:lang w:val="en-US" w:eastAsia="zh-CN" w:bidi="ar-SA"/>
        </w:rPr>
        <w:t>编制并公布区政府2026年度重大行政决策事项目录，全面落实公众参与、专家论证、风险评估、公平竞争审查、合法性审查、集体讨论决定等程序，同步开展政策一致性评估与基层减负评估。完善决策档案管理，实现全程留痕、可溯可查。〔区政府办公室、区发展改革局、区司法局、区市场监管局等区级有关部门按职责分工负责〕</w:t>
      </w:r>
    </w:p>
    <w:p w14:paraId="6211D207">
      <w:pPr>
        <w:pStyle w:val="4"/>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（四）强化重点领域合法性审查。</w:t>
      </w:r>
      <w:r>
        <w:rPr>
          <w:rFonts w:hint="eastAsia" w:ascii="仿宋_GB2312" w:hAnsi="仿宋_GB2312" w:eastAsia="仿宋_GB2312" w:cs="仿宋_GB2312"/>
          <w:color w:val="auto"/>
          <w:kern w:val="2"/>
          <w:sz w:val="32"/>
          <w:szCs w:val="32"/>
          <w:lang w:val="en-US" w:eastAsia="zh-CN" w:bidi="ar-SA"/>
        </w:rPr>
        <w:t xml:space="preserve">落实省市合法性审查工作规范，实现重大项目、招商引资协议、重大执法决定、规范性文件审查全覆盖。加强法律顾问、公职律师履职管理，为重点产业项目、园区建设、城市更新等提供全流程法治保障，防范法律风险。〔区司法局等区级各部门和各镇人民政府按职责分工负责〕 </w:t>
      </w:r>
    </w:p>
    <w:p w14:paraId="58C16F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三</w:t>
      </w:r>
      <w:r>
        <w:rPr>
          <w:rFonts w:hint="eastAsia" w:ascii="黑体" w:hAnsi="黑体" w:eastAsia="黑体" w:cs="黑体"/>
          <w:b w:val="0"/>
          <w:bCs w:val="0"/>
          <w:color w:val="auto"/>
          <w:kern w:val="2"/>
          <w:sz w:val="32"/>
          <w:szCs w:val="32"/>
        </w:rPr>
        <w:t>、优化营商环境，赋能产业高质量发展</w:t>
      </w:r>
    </w:p>
    <w:p w14:paraId="3E27DD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（五）深化“高效办成一件事”改革。</w:t>
      </w:r>
      <w:r>
        <w:rPr>
          <w:rFonts w:hint="eastAsia" w:ascii="仿宋_GB2312" w:hAnsi="仿宋_GB2312" w:eastAsia="仿宋_GB2312" w:cs="仿宋_GB2312"/>
          <w:color w:val="auto"/>
          <w:kern w:val="2"/>
          <w:sz w:val="32"/>
          <w:szCs w:val="32"/>
          <w:lang w:val="en-US" w:eastAsia="zh-CN" w:bidi="ar-SA"/>
        </w:rPr>
        <w:t>健全常态化推进机制，拓展企业开办、项目审批、不动产登记等特色“一件事”，推动政务服务标准化、增值化、便捷化。推广远程异地评标，强化惠企政策精准直达、全生命周期管理，服务光伏储能、绿色化工、稀土新材料等产业发展。〔区发展改革局、区行政审批局、区司法局等区级有关部门按职责分工负责〕</w:t>
      </w:r>
    </w:p>
    <w:p w14:paraId="0AD58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（六）全覆盖开展市场准入效能评估。</w:t>
      </w:r>
      <w:r>
        <w:rPr>
          <w:rFonts w:hint="eastAsia" w:ascii="仿宋_GB2312" w:hAnsi="仿宋_GB2312" w:eastAsia="仿宋_GB2312" w:cs="仿宋_GB2312"/>
          <w:color w:val="auto"/>
          <w:kern w:val="2"/>
          <w:sz w:val="32"/>
          <w:szCs w:val="32"/>
          <w:lang w:val="en-US" w:eastAsia="zh-CN" w:bidi="ar-SA"/>
        </w:rPr>
        <w:t>抓实营商环境评价，强化营商环境监测，聚焦营商环境考核，持续优化营商环境。加紧清理拖欠企业账款。严格落实招标投标、政府采购等领域公平竞争审查指南。深入整治“内卷式”竞争。开展清理规范涉企收费政策措施专项行动，加强涉企乱收费源头治理。〔区发展改革局、区经济信息化局、区行政审批局、区市场监管局等区级有关部门按职责分工负责〕</w:t>
      </w:r>
    </w:p>
    <w:p w14:paraId="76B9D9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四</w:t>
      </w:r>
      <w:r>
        <w:rPr>
          <w:rFonts w:hint="eastAsia" w:ascii="黑体" w:hAnsi="黑体" w:eastAsia="黑体" w:cs="黑体"/>
          <w:b w:val="0"/>
          <w:bCs w:val="0"/>
          <w:color w:val="auto"/>
          <w:kern w:val="2"/>
          <w:sz w:val="32"/>
          <w:szCs w:val="32"/>
        </w:rPr>
        <w:t>、规范行政执法，提升精准监管效能</w:t>
      </w:r>
    </w:p>
    <w:p w14:paraId="53A27D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color w:val="auto"/>
          <w:kern w:val="2"/>
          <w:sz w:val="32"/>
          <w:szCs w:val="32"/>
          <w:lang w:val="en-US" w:eastAsia="zh-CN" w:bidi="ar-SA"/>
        </w:rPr>
        <w:t>（七）推进严格规范公正文明执法。</w:t>
      </w:r>
      <w:r>
        <w:rPr>
          <w:rFonts w:hint="eastAsia" w:ascii="仿宋_GB2312" w:hAnsi="仿宋_GB2312" w:eastAsia="仿宋_GB2312" w:cs="仿宋_GB2312"/>
          <w:color w:val="auto"/>
          <w:kern w:val="2"/>
          <w:sz w:val="32"/>
          <w:szCs w:val="32"/>
          <w:lang w:val="en-US" w:eastAsia="zh-CN" w:bidi="ar-SA"/>
        </w:rPr>
        <w:t>宣传贯彻《行政执法监督条例》，完善行政裁量权基准，深化“一目录五清单”精准高效监管执法。实施“天府入企码”，深化“综合查一次”联合执法，健全规范涉企执法长效机制。开展行政执法规范化达标建设。扎实开展基层执法突出问题整治工作。集中清理行政处罚公示信息，整治基层执法简单化、一刀切、重罚轻管等突出问题。〔区公安分局、区司法局、五通桥生态环境局、区应急管理局、区市场监管局、区统计局等区级有关部门按职责分工负责〕</w:t>
      </w:r>
    </w:p>
    <w:p w14:paraId="74E34A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u w:val="none"/>
          <w:lang w:eastAsia="zh-CN"/>
        </w:rPr>
      </w:pPr>
      <w:r>
        <w:rPr>
          <w:rFonts w:hint="eastAsia" w:ascii="楷体_GB2312" w:hAnsi="楷体_GB2312" w:eastAsia="楷体_GB2312" w:cs="楷体_GB2312"/>
          <w:color w:val="auto"/>
          <w:kern w:val="2"/>
          <w:sz w:val="32"/>
          <w:szCs w:val="32"/>
          <w:lang w:val="en-US" w:eastAsia="zh-CN" w:bidi="ar-SA"/>
        </w:rPr>
        <w:t>（八）深化重点领域专项执法。</w:t>
      </w:r>
      <w:r>
        <w:rPr>
          <w:rFonts w:hint="eastAsia" w:ascii="仿宋_GB2312" w:hAnsi="仿宋_GB2312" w:eastAsia="仿宋_GB2312" w:cs="仿宋_GB2312"/>
          <w:color w:val="auto"/>
          <w:kern w:val="2"/>
          <w:sz w:val="32"/>
          <w:szCs w:val="32"/>
          <w:lang w:val="en-US" w:eastAsia="zh-CN" w:bidi="ar-SA"/>
        </w:rPr>
        <w:t>开展“春雷行动”等重点领域专项执法行动，实施固体废物综合治理行动，开展统计造假专项整治“回头看”。鼓励行政执法部门探索深化执法“嵌入式”数字监督。〔区发展改革局、区市场监管局</w:t>
      </w:r>
      <w:bookmarkStart w:id="1" w:name="OLE_LINK8"/>
      <w:r>
        <w:rPr>
          <w:rFonts w:hint="eastAsia" w:ascii="仿宋_GB2312" w:hAnsi="仿宋_GB2312" w:eastAsia="仿宋_GB2312" w:cs="仿宋_GB2312"/>
          <w:color w:val="auto"/>
          <w:kern w:val="2"/>
          <w:sz w:val="32"/>
          <w:szCs w:val="32"/>
          <w:lang w:val="en-US" w:eastAsia="zh-CN" w:bidi="ar-SA"/>
        </w:rPr>
        <w:t>等区级各部门按职责分工负责</w:t>
      </w:r>
      <w:bookmarkEnd w:id="1"/>
      <w:r>
        <w:rPr>
          <w:rFonts w:hint="eastAsia" w:ascii="仿宋_GB2312" w:hAnsi="仿宋_GB2312" w:eastAsia="仿宋_GB2312" w:cs="仿宋_GB2312"/>
          <w:color w:val="auto"/>
          <w:kern w:val="2"/>
          <w:sz w:val="32"/>
          <w:szCs w:val="32"/>
          <w:lang w:val="en-US" w:eastAsia="zh-CN" w:bidi="ar-SA"/>
        </w:rPr>
        <w:t>〕</w:t>
      </w:r>
    </w:p>
    <w:p w14:paraId="2CCAB1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五</w:t>
      </w:r>
      <w:r>
        <w:rPr>
          <w:rFonts w:hint="eastAsia" w:ascii="黑体" w:hAnsi="黑体" w:eastAsia="黑体" w:cs="黑体"/>
          <w:b w:val="0"/>
          <w:bCs w:val="0"/>
          <w:color w:val="auto"/>
          <w:kern w:val="2"/>
          <w:sz w:val="32"/>
          <w:szCs w:val="32"/>
        </w:rPr>
        <w:t>、多元化解纠纷，维护社会和谐稳定</w:t>
      </w:r>
    </w:p>
    <w:p w14:paraId="508A39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bidi="ar-SA"/>
        </w:rPr>
        <w:t>（九）推进行政争议实质化解。</w:t>
      </w:r>
      <w:r>
        <w:rPr>
          <w:rFonts w:hint="eastAsia" w:ascii="仿宋_GB2312" w:hAnsi="仿宋_GB2312" w:eastAsia="仿宋_GB2312" w:cs="仿宋_GB2312"/>
          <w:color w:val="auto"/>
          <w:kern w:val="2"/>
          <w:sz w:val="32"/>
          <w:szCs w:val="32"/>
          <w:lang w:val="en-US" w:eastAsia="zh-CN" w:bidi="ar-SA"/>
        </w:rPr>
        <w:t>加强行政复议规范化建设，深化“复调对接”，强化行政执法、行政复议、行政诉讼、行政检察联动，推进行政争议多元化解机制实体运行，从源头上预防和减少行政争议。深入开展行政复议纠错率、行政诉讼败诉率“双降”专项整治活动，梳理复盘涉案问题、逐项整改销号，完善长效机制，推动依法行政能力再提质。严格落实行政机关负责人参加行政复议听证、出庭应诉制度，鼓励领导干部带头参加旁听庭审活动。〔区司法局等区级各部门和各镇人民政府按职责分工负责〕</w:t>
      </w:r>
    </w:p>
    <w:p w14:paraId="27BC85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color w:val="auto"/>
          <w:kern w:val="2"/>
          <w:sz w:val="32"/>
          <w:szCs w:val="32"/>
          <w:lang w:val="en-US" w:eastAsia="zh-CN" w:bidi="ar-SA"/>
        </w:rPr>
        <w:t>（十）健全基层矛盾化解体系。</w:t>
      </w:r>
      <w:r>
        <w:rPr>
          <w:rFonts w:hint="eastAsia" w:ascii="仿宋_GB2312" w:hAnsi="仿宋_GB2312" w:eastAsia="仿宋_GB2312" w:cs="仿宋_GB2312"/>
          <w:color w:val="auto"/>
          <w:kern w:val="2"/>
          <w:sz w:val="32"/>
          <w:szCs w:val="32"/>
          <w:lang w:val="en-US" w:eastAsia="zh-CN" w:bidi="ar-SA"/>
        </w:rPr>
        <w:t>坚持和发展新时代“枫桥经验”，建强行业性、专业性调解组织，推动调解进园区、进企业、进项目、进社区。用好“邻聚里平安员”“同心联户长”机制，完善“桥通治慧”平台，深化“一站式”矛盾纠纷化解。推进信访工作法治化，开展信访治本攻坚，集中化解积案难案。健全劳动关系协调机制，强化新就业形态劳动者权益保障，扎实推进根治欠薪。〔区公安分局、区司法局、区人力资源社会保障局、区信访局等区级各部门和各镇人民政府按职责分工负责〕</w:t>
      </w:r>
    </w:p>
    <w:p w14:paraId="5B9E1B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六</w:t>
      </w:r>
      <w:r>
        <w:rPr>
          <w:rFonts w:hint="eastAsia" w:ascii="黑体" w:hAnsi="黑体" w:eastAsia="黑体" w:cs="黑体"/>
          <w:b w:val="0"/>
          <w:bCs w:val="0"/>
          <w:color w:val="auto"/>
          <w:kern w:val="2"/>
          <w:sz w:val="32"/>
          <w:szCs w:val="32"/>
        </w:rPr>
        <w:t>、深化依法治理，提升基层法治水平</w:t>
      </w:r>
    </w:p>
    <w:p w14:paraId="6211E1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（十一）实施“九五”普法与法治赋能。</w:t>
      </w:r>
      <w:r>
        <w:rPr>
          <w:rFonts w:hint="eastAsia" w:ascii="仿宋_GB2312" w:hAnsi="仿宋_GB2312" w:eastAsia="仿宋_GB2312" w:cs="仿宋_GB2312"/>
          <w:color w:val="auto"/>
          <w:kern w:val="2"/>
          <w:sz w:val="32"/>
          <w:szCs w:val="32"/>
          <w:lang w:val="en-US" w:eastAsia="zh-CN" w:bidi="ar-SA"/>
        </w:rPr>
        <w:t>全面实施“九五”普法规划，开展“一月一主题”宣传，深化公民法治素养提升。开展青少年“法治护航·成长赋能”行动，加强未成年人保护与学生欺凌防治。围绕盐文化、龙舟文化、美食文化开展特色普法，服务文旅产业发展。〔区教育局、区公安分局、区司法局、区文广体育旅游局等区级有关部门按职责分工负责〕</w:t>
      </w:r>
    </w:p>
    <w:p w14:paraId="6D588F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bidi="ar-SA"/>
        </w:rPr>
        <w:t>（十二）推进基层与重点领域治理。</w:t>
      </w:r>
      <w:r>
        <w:rPr>
          <w:rFonts w:hint="eastAsia" w:ascii="仿宋_GB2312" w:hAnsi="仿宋_GB2312" w:eastAsia="仿宋_GB2312" w:cs="仿宋_GB2312"/>
          <w:color w:val="auto"/>
          <w:kern w:val="2"/>
          <w:sz w:val="32"/>
          <w:szCs w:val="32"/>
          <w:lang w:val="en-US" w:eastAsia="zh-CN" w:bidi="ar-SA"/>
        </w:rPr>
        <w:t>深化“深耕善治、以治促稳”，健全社会治安防控体系，严打电信网络诈骗、黄赌毒等违法犯罪。推进乡镇（街道）应急管理规范化建设，积极创建“全国民主法治示范村（社区）”，培育“法律明白人”，服务和美乡村建设。强化城市更新、老旧小区改造、城中村改造等领域法治保障。〔区公安分局、区司法局、区农业农村局、区应急管理局和各镇人民政府按职责分工负责〕</w:t>
      </w:r>
    </w:p>
    <w:p w14:paraId="6ACAE0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七</w:t>
      </w:r>
      <w:r>
        <w:rPr>
          <w:rFonts w:hint="eastAsia" w:ascii="黑体" w:hAnsi="黑体" w:eastAsia="黑体" w:cs="黑体"/>
          <w:b w:val="0"/>
          <w:bCs w:val="0"/>
          <w:color w:val="auto"/>
          <w:kern w:val="2"/>
          <w:sz w:val="32"/>
          <w:szCs w:val="32"/>
        </w:rPr>
        <w:t>、强化数字赋能，建设智慧法治政府</w:t>
      </w:r>
    </w:p>
    <w:p w14:paraId="75D7EE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bidi="ar-SA"/>
        </w:rPr>
        <w:t>（十三）加快数字政府建设。</w:t>
      </w:r>
      <w:r>
        <w:rPr>
          <w:rFonts w:hint="eastAsia" w:ascii="仿宋_GB2312" w:hAnsi="仿宋_GB2312" w:eastAsia="仿宋_GB2312" w:cs="仿宋_GB2312"/>
          <w:color w:val="auto"/>
          <w:kern w:val="2"/>
          <w:sz w:val="32"/>
          <w:szCs w:val="32"/>
          <w:lang w:val="en-US" w:eastAsia="zh-CN" w:bidi="ar-SA"/>
        </w:rPr>
        <w:t>推进数据共享与安全管理。落实政务数据共享、数据安全制度，规范政务信息化项目建设，深化跨部门数据赋能。加强个人信息与商业秘密保护，完善数据安全防护机制，支撑智慧政务、智慧监管、智慧治理。〔区数据局、区发展改革局、区行政审批局按职责分工负责〕</w:t>
      </w:r>
    </w:p>
    <w:p w14:paraId="54F609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bidi="ar-SA"/>
        </w:rPr>
        <w:t>（十四）提升智慧服务与监督能力。</w:t>
      </w:r>
      <w:r>
        <w:rPr>
          <w:rFonts w:hint="eastAsia" w:ascii="仿宋_GB2312" w:hAnsi="仿宋_GB2312" w:eastAsia="仿宋_GB2312" w:cs="仿宋_GB2312"/>
          <w:color w:val="auto"/>
          <w:kern w:val="2"/>
          <w:sz w:val="32"/>
          <w:szCs w:val="32"/>
          <w:lang w:val="en-US" w:eastAsia="zh-CN" w:bidi="ar-SA"/>
        </w:rPr>
        <w:t>优化政务服务平台，推动“川易办”“川商通”落地应用。规范12345热线运行，健全接诉即办、限时办结机制。推进城市“智慧大脑”与法治监督深度融合，提升行政决策、执法监管、风险预警智能化水平。〔区信访局、区行政审批局按职责分工负责〕</w:t>
      </w:r>
    </w:p>
    <w:p w14:paraId="7B6972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八、建强法治队伍，夯实履职保障</w:t>
      </w:r>
    </w:p>
    <w:p w14:paraId="039883DD">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（十五）提升队伍专业能力。</w:t>
      </w:r>
      <w:r>
        <w:rPr>
          <w:rFonts w:hint="eastAsia" w:ascii="仿宋_GB2312" w:hAnsi="仿宋_GB2312" w:eastAsia="仿宋_GB2312" w:cs="仿宋_GB2312"/>
          <w:bCs/>
          <w:color w:val="auto"/>
          <w:spacing w:val="0"/>
          <w:kern w:val="2"/>
          <w:sz w:val="32"/>
          <w:szCs w:val="32"/>
          <w:lang w:val="en-US" w:eastAsia="zh-CN" w:bidi="ar-SA"/>
        </w:rPr>
        <w:t>加强合法性审查、行政复议、行政执法队伍建设，常态化开展全员培训、岗位练兵、案卷评查。推行行政审判、行政复议、行政执法人员同堂培训，统一法律适用标准。建强专职、兼职、志愿者相结合的调解员队伍，提升基层法治服务能力。</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Cs/>
          <w:color w:val="auto"/>
          <w:spacing w:val="0"/>
          <w:kern w:val="2"/>
          <w:sz w:val="32"/>
          <w:szCs w:val="32"/>
          <w:lang w:val="en-US" w:eastAsia="zh-CN" w:bidi="ar-SA"/>
        </w:rPr>
        <w:t>区司法局等区级各部门</w:t>
      </w:r>
      <w:r>
        <w:rPr>
          <w:rFonts w:hint="eastAsia" w:ascii="仿宋_GB2312" w:hAnsi="仿宋_GB2312" w:eastAsia="仿宋_GB2312" w:cs="仿宋_GB2312"/>
          <w:color w:val="auto"/>
          <w:kern w:val="2"/>
          <w:sz w:val="32"/>
          <w:szCs w:val="32"/>
          <w:lang w:val="en-US" w:eastAsia="zh-CN" w:bidi="ar-SA"/>
        </w:rPr>
        <w:t>和各镇人民政府</w:t>
      </w:r>
      <w:r>
        <w:rPr>
          <w:rFonts w:hint="eastAsia" w:ascii="仿宋_GB2312" w:hAnsi="仿宋_GB2312" w:eastAsia="仿宋_GB2312" w:cs="仿宋_GB2312"/>
          <w:bCs/>
          <w:color w:val="auto"/>
          <w:spacing w:val="0"/>
          <w:kern w:val="2"/>
          <w:sz w:val="32"/>
          <w:szCs w:val="32"/>
          <w:lang w:val="en-US" w:eastAsia="zh-CN" w:bidi="ar-SA"/>
        </w:rPr>
        <w:t>按职责分工负责</w:t>
      </w:r>
      <w:r>
        <w:rPr>
          <w:rFonts w:hint="eastAsia" w:ascii="仿宋_GB2312" w:hAnsi="仿宋_GB2312" w:eastAsia="仿宋_GB2312" w:cs="仿宋_GB2312"/>
          <w:color w:val="auto"/>
          <w:kern w:val="2"/>
          <w:sz w:val="32"/>
          <w:szCs w:val="32"/>
          <w:lang w:val="en-US" w:eastAsia="zh-CN" w:bidi="ar-SA"/>
        </w:rPr>
        <w:t>〕</w:t>
      </w:r>
    </w:p>
    <w:p w14:paraId="1B6FEB5E">
      <w:pPr>
        <w:pStyle w:val="13"/>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6E39A5EF">
      <w:pPr>
        <w:pStyle w:val="13"/>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3D34F47A">
      <w:pPr>
        <w:pStyle w:val="13"/>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13FFA440">
      <w:pPr>
        <w:pStyle w:val="13"/>
        <w:keepNext w:val="0"/>
        <w:keepLines w:val="0"/>
        <w:pageBreakBefore w:val="0"/>
        <w:widowControl w:val="0"/>
        <w:numPr>
          <w:ilvl w:val="0"/>
          <w:numId w:val="0"/>
        </w:numPr>
        <w:kinsoku/>
        <w:wordWrap/>
        <w:overflowPunct/>
        <w:topLinePunct w:val="0"/>
        <w:autoSpaceDE/>
        <w:autoSpaceDN/>
        <w:bidi w:val="0"/>
        <w:adjustRightInd w:val="0"/>
        <w:snapToGri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14:paraId="6C1AC14C">
      <w:pPr>
        <w:pStyle w:val="13"/>
        <w:keepNext w:val="0"/>
        <w:keepLines w:val="0"/>
        <w:pageBreakBefore w:val="0"/>
        <w:widowControl w:val="0"/>
        <w:numPr>
          <w:ilvl w:val="0"/>
          <w:numId w:val="0"/>
        </w:numPr>
        <w:kinsoku/>
        <w:wordWrap/>
        <w:overflowPunct/>
        <w:topLinePunct w:val="0"/>
        <w:autoSpaceDE/>
        <w:autoSpaceDN/>
        <w:bidi w:val="0"/>
        <w:adjustRightInd w:val="0"/>
        <w:snapToGri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14:paraId="2D31A919">
      <w:pPr>
        <w:pStyle w:val="13"/>
        <w:keepNext w:val="0"/>
        <w:keepLines w:val="0"/>
        <w:pageBreakBefore w:val="0"/>
        <w:widowControl w:val="0"/>
        <w:numPr>
          <w:ilvl w:val="0"/>
          <w:numId w:val="0"/>
        </w:numPr>
        <w:kinsoku/>
        <w:wordWrap/>
        <w:overflowPunct/>
        <w:topLinePunct w:val="0"/>
        <w:autoSpaceDE/>
        <w:autoSpaceDN/>
        <w:bidi w:val="0"/>
        <w:adjustRightInd w:val="0"/>
        <w:snapToGri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14:paraId="4C3892FE">
      <w:pPr>
        <w:pStyle w:val="13"/>
        <w:keepNext w:val="0"/>
        <w:keepLines w:val="0"/>
        <w:pageBreakBefore w:val="0"/>
        <w:widowControl w:val="0"/>
        <w:numPr>
          <w:ilvl w:val="0"/>
          <w:numId w:val="0"/>
        </w:numPr>
        <w:kinsoku/>
        <w:wordWrap/>
        <w:overflowPunct/>
        <w:topLinePunct w:val="0"/>
        <w:autoSpaceDE/>
        <w:autoSpaceDN/>
        <w:bidi w:val="0"/>
        <w:adjustRightInd w:val="0"/>
        <w:snapToGri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14:paraId="19AC53C6">
      <w:pPr>
        <w:pStyle w:val="13"/>
        <w:keepNext w:val="0"/>
        <w:keepLines w:val="0"/>
        <w:pageBreakBefore w:val="0"/>
        <w:widowControl w:val="0"/>
        <w:numPr>
          <w:ilvl w:val="0"/>
          <w:numId w:val="0"/>
        </w:numPr>
        <w:kinsoku/>
        <w:wordWrap/>
        <w:overflowPunct/>
        <w:topLinePunct w:val="0"/>
        <w:autoSpaceDE/>
        <w:autoSpaceDN/>
        <w:bidi w:val="0"/>
        <w:adjustRightInd w:val="0"/>
        <w:snapToGri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14:paraId="6A862827">
      <w:pPr>
        <w:pStyle w:val="2"/>
        <w:spacing w:line="500" w:lineRule="exact"/>
        <w:ind w:left="0" w:leftChars="0" w:firstLine="0" w:firstLineChars="0"/>
        <w:rPr>
          <w:rFonts w:hint="default" w:ascii="仿宋_GB2312" w:eastAsia="仿宋_GB2312"/>
          <w:kern w:val="10"/>
          <w:sz w:val="28"/>
          <w:szCs w:val="28"/>
          <w:lang w:val="en-US" w:eastAsia="zh-CN"/>
        </w:rPr>
      </w:pP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138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101D9">
                          <w:pPr>
                            <w:pStyle w:val="5"/>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B101D9">
                    <w:pPr>
                      <w:pStyle w:val="5"/>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OTM2OTdlYjkwODg4ODgzNzg1OTA2MWNkYTg1NmYifQ=="/>
    <w:docVar w:name="KSO_WPS_MARK_KEY" w:val="09e4721f-a715-405c-8bfe-f939e238bb29"/>
  </w:docVars>
  <w:rsids>
    <w:rsidRoot w:val="00000000"/>
    <w:rsid w:val="01115B19"/>
    <w:rsid w:val="015763FE"/>
    <w:rsid w:val="020C62E0"/>
    <w:rsid w:val="02583491"/>
    <w:rsid w:val="059D6C05"/>
    <w:rsid w:val="05CF1AFF"/>
    <w:rsid w:val="067F1777"/>
    <w:rsid w:val="092B7994"/>
    <w:rsid w:val="094B38F4"/>
    <w:rsid w:val="09524F20"/>
    <w:rsid w:val="0E952209"/>
    <w:rsid w:val="0EAD28C3"/>
    <w:rsid w:val="10D67AAE"/>
    <w:rsid w:val="128B222B"/>
    <w:rsid w:val="12D469A6"/>
    <w:rsid w:val="12F157AA"/>
    <w:rsid w:val="1647538C"/>
    <w:rsid w:val="172123D6"/>
    <w:rsid w:val="188D37FD"/>
    <w:rsid w:val="1B635BBA"/>
    <w:rsid w:val="1BF65BDF"/>
    <w:rsid w:val="1C3237E2"/>
    <w:rsid w:val="1E004446"/>
    <w:rsid w:val="213700D2"/>
    <w:rsid w:val="21B81195"/>
    <w:rsid w:val="2234192D"/>
    <w:rsid w:val="237C053F"/>
    <w:rsid w:val="26185D90"/>
    <w:rsid w:val="2775292B"/>
    <w:rsid w:val="2D6C1D99"/>
    <w:rsid w:val="2DE64669"/>
    <w:rsid w:val="31864EB8"/>
    <w:rsid w:val="32DD4FAB"/>
    <w:rsid w:val="338C57B1"/>
    <w:rsid w:val="346A59A3"/>
    <w:rsid w:val="375717D0"/>
    <w:rsid w:val="392534B4"/>
    <w:rsid w:val="40E847DF"/>
    <w:rsid w:val="43D2007D"/>
    <w:rsid w:val="43F405D5"/>
    <w:rsid w:val="453C0257"/>
    <w:rsid w:val="46296783"/>
    <w:rsid w:val="46AF05B5"/>
    <w:rsid w:val="4D697710"/>
    <w:rsid w:val="4DB21076"/>
    <w:rsid w:val="50BB64D4"/>
    <w:rsid w:val="513B6B03"/>
    <w:rsid w:val="52846D9A"/>
    <w:rsid w:val="533F163E"/>
    <w:rsid w:val="551A3E74"/>
    <w:rsid w:val="55225122"/>
    <w:rsid w:val="57664CC0"/>
    <w:rsid w:val="58F509F1"/>
    <w:rsid w:val="5B255A9F"/>
    <w:rsid w:val="5B7F5C62"/>
    <w:rsid w:val="5D317F73"/>
    <w:rsid w:val="5FFE1F39"/>
    <w:rsid w:val="61967070"/>
    <w:rsid w:val="632443AD"/>
    <w:rsid w:val="655369AE"/>
    <w:rsid w:val="679B2764"/>
    <w:rsid w:val="68996CA3"/>
    <w:rsid w:val="68E51EE8"/>
    <w:rsid w:val="6A7A48B2"/>
    <w:rsid w:val="6B32518D"/>
    <w:rsid w:val="6B7E03D2"/>
    <w:rsid w:val="6BA02A3F"/>
    <w:rsid w:val="6E907F65"/>
    <w:rsid w:val="72941A92"/>
    <w:rsid w:val="730613D9"/>
    <w:rsid w:val="77822FF8"/>
    <w:rsid w:val="78E977D3"/>
    <w:rsid w:val="7A252A8D"/>
    <w:rsid w:val="7ABB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val="0"/>
      <w:keepLines w:val="0"/>
      <w:spacing w:beforeLines="0" w:beforeAutospacing="0" w:afterLines="0" w:afterAutospacing="0" w:line="600" w:lineRule="exact"/>
      <w:ind w:firstLine="0" w:firstLineChars="0"/>
      <w:jc w:val="center"/>
      <w:outlineLvl w:val="2"/>
    </w:pPr>
    <w:rPr>
      <w:rFonts w:eastAsia="方正小标宋简体" w:cs="Times New Roman"/>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szCs w:val="22"/>
    </w:rPr>
  </w:style>
  <w:style w:type="paragraph" w:styleId="4">
    <w:name w:val="Body Text"/>
    <w:basedOn w:val="1"/>
    <w:unhideWhenUsed/>
    <w:qFormat/>
    <w:uiPriority w:val="99"/>
    <w:pPr>
      <w:spacing w:after="120"/>
    </w:pPr>
    <w:rPr>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semiHidden/>
    <w:qFormat/>
    <w:uiPriority w:val="99"/>
    <w:pPr>
      <w:ind w:left="200" w:leftChars="200" w:hanging="200" w:hangingChars="200"/>
    </w:pPr>
    <w:rPr>
      <w:rFonts w:eastAsia="方正仿宋_GBK"/>
      <w:sz w:val="32"/>
      <w:szCs w:val="32"/>
    </w:rPr>
  </w:style>
  <w:style w:type="paragraph" w:styleId="8">
    <w:name w:val="toc 2"/>
    <w:basedOn w:val="1"/>
    <w:next w:val="1"/>
    <w:qFormat/>
    <w:uiPriority w:val="0"/>
    <w:pPr>
      <w:ind w:left="240"/>
      <w:jc w:val="left"/>
    </w:pPr>
    <w:rPr>
      <w:rFonts w:ascii="Calibri" w:hAnsi="Calibri"/>
      <w:smallCaps/>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Default"/>
    <w:basedOn w:val="1"/>
    <w:qFormat/>
    <w:uiPriority w:val="0"/>
    <w:pPr>
      <w:autoSpaceDE w:val="0"/>
      <w:autoSpaceDN w:val="0"/>
      <w:adjustRightInd w:val="0"/>
      <w:jc w:val="left"/>
    </w:pPr>
    <w:rPr>
      <w:rFonts w:cs="宋体"/>
      <w:color w:val="000000"/>
      <w:kern w:val="0"/>
      <w:sz w:val="24"/>
    </w:rPr>
  </w:style>
  <w:style w:type="paragraph" w:customStyle="1" w:styleId="14">
    <w:name w:val="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ee8acde0-47ff-4faf-bf15-19a8d5d90e3f</errorID>
      <errorWord>“十五五”规划开局之年</errorWord>
      <group>L1_Word</group>
      <groupName>字词问题</groupName>
      <ability>L2_Typo</ability>
      <abilityName>字词错误</abilityName>
      <candidateList>
        <item>“十五五”开局之年</item>
      </candidateList>
      <explain/>
      <paraID>1EA9E954</paraID>
      <start>6</start>
      <end>15</end>
      <status>modified</status>
      <modifiedWord>“十五五”开局之年</modifiedWord>
      <trackRevisions>false</trackRevisions>
    </reviewItem>
    <reviewItem>
      <errorID>426afd2d-e451-437d-9ddd-152eb2ad25e5</errorID>
      <errorWord>内卷</errorWord>
      <group>L1_Official</group>
      <groupName>公文问题</groupName>
      <ability>L2_Official</ability>
      <abilityName>公文问题</abilityName>
      <candidateList/>
      <explain>公文中禁止出现该词语</explain>
      <paraID> AD58383</paraID>
      <start>94</start>
      <end>96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f7ed4-bd31-47eb-be3d-ae6963f1016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3125</Words>
  <Characters>3158</Characters>
  <Lines>0</Lines>
  <Paragraphs>0</Paragraphs>
  <TotalTime>11</TotalTime>
  <ScaleCrop>false</ScaleCrop>
  <LinksUpToDate>false</LinksUpToDate>
  <CharactersWithSpaces>3192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2024-02-04T09:35:00Z</dcterms:created>
  <dc:creator>Administrator</dc:creator>
  <cp:lastModifiedBy>朱昆</cp:lastModifiedBy>
  <cp:lastPrinted>2026-06-12T02:10:00Z</cp:lastPrinted>
  <dcterms:modified xsi:type="dcterms:W3CDTF">2026-06-18T03:20:59Z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0AB6D21073EC43BBBFCC55991AED8E31_13</vt:lpwstr>
  </property>
  <property fmtid="{D5CDD505-2E9C-101B-9397-08002B2CF9AE}" pid="4" name="KSOTemplateDocerSaveRecord">
    <vt:lpwstr>eyJoZGlkIjoiNGYyOWE1ZTdiNjM3ZWVjYzIwYTg2NDM1ZWEzOTA1YTEiLCJ1c2VySWQiOiIxNDg0NTcwMjMwIn0=</vt:lpwstr>
  </property>
</Properties>
</file>